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E131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E131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5329B0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E131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E1310" w:rsidRPr="00B07193" w:rsidRDefault="00575FD6" w:rsidP="00005197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07193">
              <w:rPr>
                <w:rFonts w:ascii="Arial" w:hAnsi="Arial" w:cs="Arial"/>
                <w:b/>
                <w:iCs/>
                <w:sz w:val="16"/>
                <w:szCs w:val="16"/>
              </w:rPr>
              <w:t>MP-2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E1310" w:rsidRPr="00B07193" w:rsidRDefault="00575FD6" w:rsidP="00EA2BB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07193">
              <w:rPr>
                <w:rFonts w:ascii="Arial" w:hAnsi="Arial" w:cs="Arial"/>
                <w:b/>
                <w:iCs/>
                <w:sz w:val="16"/>
                <w:szCs w:val="16"/>
              </w:rPr>
              <w:t>M</w:t>
            </w:r>
            <w:r w:rsidR="00EA2BBA" w:rsidRPr="00B07193">
              <w:rPr>
                <w:rFonts w:ascii="Arial" w:hAnsi="Arial" w:cs="Arial"/>
                <w:b/>
                <w:iCs/>
                <w:sz w:val="16"/>
                <w:szCs w:val="16"/>
              </w:rPr>
              <w:t>EDIA ACCESS</w:t>
            </w:r>
          </w:p>
        </w:tc>
      </w:tr>
      <w:tr w:rsidR="002E1310" w:rsidRPr="00D54FC9" w:rsidTr="00F351C8">
        <w:trPr>
          <w:cantSplit/>
        </w:trPr>
        <w:tc>
          <w:tcPr>
            <w:tcW w:w="1166" w:type="dxa"/>
          </w:tcPr>
          <w:p w:rsidR="005329B0" w:rsidRDefault="005329B0" w:rsidP="000609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75FD6" w:rsidRPr="005073C2" w:rsidRDefault="00575FD6" w:rsidP="000609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</w:t>
            </w:r>
          </w:p>
          <w:p w:rsidR="00575FD6" w:rsidRPr="005073C2" w:rsidRDefault="00575FD6" w:rsidP="00575F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MP-2.1.1</w:t>
            </w:r>
          </w:p>
          <w:p w:rsidR="00575FD6" w:rsidRPr="005073C2" w:rsidRDefault="00575FD6" w:rsidP="00575F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MP-2.1.1a</w:t>
            </w:r>
          </w:p>
          <w:p w:rsidR="00575FD6" w:rsidRPr="005073C2" w:rsidRDefault="00575FD6" w:rsidP="00575F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MP-2.1.1b</w:t>
            </w:r>
          </w:p>
          <w:p w:rsidR="00575FD6" w:rsidRPr="005073C2" w:rsidRDefault="00575FD6" w:rsidP="005329B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MP-2.1.1c</w:t>
            </w:r>
          </w:p>
          <w:p w:rsidR="005329B0" w:rsidRDefault="005329B0" w:rsidP="005329B0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E1310" w:rsidRPr="005073C2" w:rsidRDefault="00575FD6" w:rsidP="005329B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MP-2.1.2</w:t>
            </w:r>
            <w:r w:rsidR="002E1310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474" w:type="dxa"/>
            <w:gridSpan w:val="2"/>
          </w:tcPr>
          <w:p w:rsidR="00575FD6" w:rsidRPr="005073C2" w:rsidRDefault="00575FD6" w:rsidP="00575FD6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073C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75FD6" w:rsidRPr="00786E04" w:rsidRDefault="00575FD6" w:rsidP="00575FD6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786E04">
              <w:rPr>
                <w:bCs/>
                <w:i/>
                <w:iCs/>
                <w:sz w:val="20"/>
                <w:szCs w:val="20"/>
              </w:rPr>
              <w:t>Determine if:</w:t>
            </w:r>
          </w:p>
          <w:p w:rsidR="00575FD6" w:rsidRPr="00786E04" w:rsidRDefault="00575FD6" w:rsidP="00575FD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786E04">
              <w:rPr>
                <w:i/>
                <w:iCs/>
                <w:sz w:val="20"/>
                <w:szCs w:val="20"/>
              </w:rPr>
              <w:t>the organization</w:t>
            </w:r>
            <w:r w:rsidRPr="00786E04">
              <w:rPr>
                <w:i/>
                <w:sz w:val="20"/>
                <w:szCs w:val="20"/>
              </w:rPr>
              <w:t xml:space="preserve"> defines:</w:t>
            </w:r>
          </w:p>
          <w:p w:rsidR="00575FD6" w:rsidRPr="00786E04" w:rsidRDefault="00575FD6" w:rsidP="00575FD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20"/>
              <w:ind w:left="706" w:hanging="270"/>
              <w:rPr>
                <w:i/>
                <w:sz w:val="20"/>
                <w:szCs w:val="20"/>
              </w:rPr>
            </w:pPr>
            <w:r w:rsidRPr="00786E04">
              <w:rPr>
                <w:i/>
                <w:sz w:val="20"/>
                <w:szCs w:val="20"/>
              </w:rPr>
              <w:t>digital and non-digital media requiring restricted access;</w:t>
            </w:r>
          </w:p>
          <w:p w:rsidR="00575FD6" w:rsidRPr="00786E04" w:rsidRDefault="00575FD6" w:rsidP="00575FD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20"/>
              <w:ind w:left="706" w:hanging="274"/>
              <w:rPr>
                <w:i/>
                <w:sz w:val="20"/>
                <w:szCs w:val="20"/>
              </w:rPr>
            </w:pPr>
            <w:r w:rsidRPr="00786E04">
              <w:rPr>
                <w:i/>
                <w:sz w:val="20"/>
                <w:szCs w:val="20"/>
              </w:rPr>
              <w:t>individuals authorized to access the media; and</w:t>
            </w:r>
          </w:p>
          <w:p w:rsidR="00575FD6" w:rsidRPr="00786E04" w:rsidRDefault="00575FD6" w:rsidP="00575FD6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120"/>
              <w:ind w:left="706" w:hanging="274"/>
              <w:rPr>
                <w:i/>
                <w:sz w:val="20"/>
                <w:szCs w:val="20"/>
              </w:rPr>
            </w:pPr>
            <w:proofErr w:type="gramStart"/>
            <w:r w:rsidRPr="00786E04">
              <w:rPr>
                <w:i/>
                <w:iCs/>
                <w:sz w:val="20"/>
                <w:szCs w:val="20"/>
              </w:rPr>
              <w:t>security</w:t>
            </w:r>
            <w:proofErr w:type="gramEnd"/>
            <w:r w:rsidRPr="00786E04">
              <w:rPr>
                <w:i/>
                <w:iCs/>
                <w:sz w:val="20"/>
                <w:szCs w:val="20"/>
              </w:rPr>
              <w:t xml:space="preserve"> measures taken  to restrict access.</w:t>
            </w:r>
          </w:p>
          <w:p w:rsidR="002E1310" w:rsidRPr="00575FD6" w:rsidRDefault="00575FD6" w:rsidP="00575FD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786E04">
              <w:rPr>
                <w:i/>
                <w:sz w:val="20"/>
                <w:szCs w:val="20"/>
              </w:rPr>
              <w:t>the</w:t>
            </w:r>
            <w:proofErr w:type="gramEnd"/>
            <w:r w:rsidRPr="00786E04">
              <w:rPr>
                <w:i/>
                <w:sz w:val="20"/>
                <w:szCs w:val="20"/>
              </w:rPr>
              <w:t xml:space="preserve"> organization restricts access to organization-defined information system media to organization-defined authorized individuals using organization-defined security measures</w:t>
            </w:r>
            <w:r w:rsidRPr="00786E04">
              <w:rPr>
                <w:i/>
                <w:iCs/>
                <w:sz w:val="20"/>
                <w:szCs w:val="20"/>
              </w:rPr>
              <w:t>.</w:t>
            </w:r>
          </w:p>
          <w:p w:rsidR="002E1310" w:rsidRPr="008F3AA0" w:rsidRDefault="002E131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E1310" w:rsidRPr="008F3AA0" w:rsidRDefault="002E1310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labeling; physical and environmental protection policy and procedures; security plan; removable storage media and information system output; other relevant documents or records].</w:t>
            </w:r>
          </w:p>
          <w:p w:rsidR="002E1310" w:rsidRPr="005073C2" w:rsidRDefault="002E1310" w:rsidP="00005197">
            <w:pPr>
              <w:spacing w:before="60" w:after="120"/>
              <w:ind w:left="749" w:hanging="749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media protection and marking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D4D69">
              <w:rPr>
                <w:rFonts w:ascii="Arial" w:hAnsi="Arial" w:cs="Arial"/>
                <w:iCs/>
                <w:smallCaps/>
                <w:sz w:val="16"/>
                <w:szCs w:val="16"/>
              </w:rPr>
              <w:t>RA-3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1B0BD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B3D5A" w:rsidRPr="001B0BD4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AC-2, AC-3, AC-19, CM-6, PE-2, PE-3, </w:t>
            </w:r>
            <w:r w:rsidR="001A7FCE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SC-28, </w:t>
            </w:r>
            <w:r w:rsidR="009D4D69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SC-34, SI-12</w:t>
            </w:r>
          </w:p>
          <w:p w:rsidR="00C70011" w:rsidRPr="005073C2" w:rsidRDefault="00C70011" w:rsidP="001B0BD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B0BD4">
              <w:rPr>
                <w:rFonts w:ascii="Arial" w:hAnsi="Arial" w:cs="Arial"/>
                <w:iCs/>
                <w:smallCaps/>
                <w:sz w:val="16"/>
                <w:szCs w:val="16"/>
              </w:rPr>
              <w:t>MP-3, MP-4, MP-5, MP-6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329B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329B0" w:rsidRPr="005073C2" w:rsidTr="00F351C8">
        <w:trPr>
          <w:cantSplit/>
        </w:trPr>
        <w:tc>
          <w:tcPr>
            <w:tcW w:w="1530" w:type="dxa"/>
            <w:gridSpan w:val="2"/>
          </w:tcPr>
          <w:p w:rsidR="005329B0" w:rsidRPr="005073C2" w:rsidRDefault="005329B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329B0" w:rsidRDefault="005329B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329B0" w:rsidRDefault="005329B0" w:rsidP="005329B0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329B0" w:rsidRPr="005C5B9C" w:rsidRDefault="005329B0" w:rsidP="005329B0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329B0" w:rsidRPr="005C5B9C" w:rsidRDefault="005329B0" w:rsidP="005329B0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6098D" w:rsidRPr="005073C2" w:rsidRDefault="0006098D" w:rsidP="000609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MP-2.1.1</w:t>
            </w:r>
            <w:r w:rsidR="0099150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6098D" w:rsidRDefault="0006098D" w:rsidP="000609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53D2" w:rsidRDefault="001653D2" w:rsidP="000609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9696F" w:rsidRDefault="0059696F" w:rsidP="000609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6098D" w:rsidRPr="005073C2" w:rsidRDefault="0006098D" w:rsidP="0059696F">
            <w:pPr>
              <w:spacing w:before="2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MP-2.1.1</w:t>
            </w:r>
            <w:r w:rsidR="005329B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D521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06098D" w:rsidRPr="005073C2" w:rsidRDefault="0006098D" w:rsidP="0059696F">
            <w:pPr>
              <w:spacing w:before="6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MP-2.1.1</w:t>
            </w:r>
            <w:r w:rsidR="005329B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D521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3111F5" w:rsidRPr="0006098D" w:rsidRDefault="0006098D" w:rsidP="0059696F">
            <w:pPr>
              <w:spacing w:before="4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MP-2.1.1</w:t>
            </w:r>
            <w:r w:rsidR="005329B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D521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Default="001653D2" w:rsidP="001653D2">
            <w:pPr>
              <w:spacing w:before="60" w:after="60"/>
              <w:rPr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information system media protection policy, </w:t>
            </w:r>
            <w:r w:rsidR="00B44EEB">
              <w:rPr>
                <w:iCs/>
                <w:sz w:val="18"/>
                <w:szCs w:val="18"/>
              </w:rPr>
              <w:t xml:space="preserve">access control policy, </w:t>
            </w:r>
            <w:r w:rsidR="00A043B0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 xml:space="preserve">procedures addressing media </w:t>
            </w:r>
            <w:r w:rsidR="00D677F2">
              <w:rPr>
                <w:iCs/>
                <w:sz w:val="18"/>
                <w:szCs w:val="18"/>
              </w:rPr>
              <w:t xml:space="preserve">access </w:t>
            </w:r>
            <w:r w:rsidR="00A043B0">
              <w:rPr>
                <w:iCs/>
                <w:sz w:val="18"/>
                <w:szCs w:val="18"/>
              </w:rPr>
              <w:t>protections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B44EEB">
              <w:rPr>
                <w:iCs/>
                <w:sz w:val="18"/>
                <w:szCs w:val="18"/>
              </w:rPr>
              <w:t>procedures addressing</w:t>
            </w:r>
            <w:r w:rsidR="00437EC2">
              <w:rPr>
                <w:iCs/>
                <w:sz w:val="18"/>
                <w:szCs w:val="18"/>
              </w:rPr>
              <w:t xml:space="preserve"> </w:t>
            </w:r>
            <w:r w:rsidR="00B44EEB">
              <w:rPr>
                <w:iCs/>
                <w:sz w:val="18"/>
                <w:szCs w:val="18"/>
              </w:rPr>
              <w:t>access control, procedures addressing</w:t>
            </w:r>
            <w:r w:rsidR="00437EC2">
              <w:rPr>
                <w:iCs/>
                <w:sz w:val="18"/>
                <w:szCs w:val="18"/>
              </w:rPr>
              <w:t xml:space="preserve"> access authorizations, </w:t>
            </w:r>
            <w:r w:rsidR="00A043B0">
              <w:rPr>
                <w:iCs/>
                <w:sz w:val="18"/>
                <w:szCs w:val="18"/>
              </w:rPr>
              <w:t xml:space="preserve">procedures addressing physical access control, procedures addressing physical access authorizations,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 w:rsidRPr="00AC2416">
              <w:rPr>
                <w:iCs/>
                <w:sz w:val="18"/>
                <w:szCs w:val="18"/>
              </w:rPr>
              <w:t>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>] for</w:t>
            </w:r>
            <w:r w:rsidR="00CD16D4">
              <w:rPr>
                <w:iCs/>
                <w:sz w:val="18"/>
                <w:szCs w:val="18"/>
              </w:rPr>
              <w:t xml:space="preserve"> the</w:t>
            </w:r>
            <w:r>
              <w:rPr>
                <w:iCs/>
                <w:sz w:val="18"/>
                <w:szCs w:val="18"/>
              </w:rPr>
              <w:t>:</w:t>
            </w:r>
          </w:p>
          <w:p w:rsidR="001653D2" w:rsidRPr="00023570" w:rsidRDefault="001653D2" w:rsidP="001653D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20"/>
              <w:ind w:left="706" w:hanging="270"/>
              <w:rPr>
                <w:sz w:val="18"/>
                <w:szCs w:val="18"/>
              </w:rPr>
            </w:pPr>
            <w:r w:rsidRPr="00023570">
              <w:rPr>
                <w:sz w:val="18"/>
                <w:szCs w:val="18"/>
              </w:rPr>
              <w:t xml:space="preserve">digital and non-digital media </w:t>
            </w:r>
            <w:r w:rsidR="00FE04F3">
              <w:rPr>
                <w:sz w:val="18"/>
                <w:szCs w:val="18"/>
              </w:rPr>
              <w:t xml:space="preserve">containing information </w:t>
            </w:r>
            <w:r w:rsidRPr="00023570">
              <w:rPr>
                <w:sz w:val="18"/>
                <w:szCs w:val="18"/>
              </w:rPr>
              <w:t>requiring restricted access;</w:t>
            </w:r>
          </w:p>
          <w:p w:rsidR="001653D2" w:rsidRPr="00023570" w:rsidRDefault="001653D2" w:rsidP="001653D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20"/>
              <w:ind w:left="706" w:hanging="274"/>
              <w:rPr>
                <w:sz w:val="18"/>
                <w:szCs w:val="18"/>
              </w:rPr>
            </w:pPr>
            <w:r w:rsidRPr="00023570">
              <w:rPr>
                <w:sz w:val="18"/>
                <w:szCs w:val="18"/>
              </w:rPr>
              <w:t>individuals authorized to access the media</w:t>
            </w:r>
            <w:r w:rsidR="005329B0">
              <w:rPr>
                <w:sz w:val="18"/>
                <w:szCs w:val="18"/>
              </w:rPr>
              <w:t xml:space="preserve"> identified in MP-2.1.1.1</w:t>
            </w:r>
            <w:r w:rsidR="006D5211">
              <w:rPr>
                <w:sz w:val="18"/>
                <w:szCs w:val="18"/>
              </w:rPr>
              <w:t>.</w:t>
            </w:r>
            <w:r w:rsidR="00575C8F">
              <w:rPr>
                <w:sz w:val="18"/>
                <w:szCs w:val="18"/>
              </w:rPr>
              <w:t>a</w:t>
            </w:r>
            <w:r w:rsidRPr="00023570">
              <w:rPr>
                <w:sz w:val="18"/>
                <w:szCs w:val="18"/>
              </w:rPr>
              <w:t>; and</w:t>
            </w:r>
          </w:p>
          <w:p w:rsidR="001653D2" w:rsidRPr="001653D2" w:rsidRDefault="00174BAD" w:rsidP="00CD16D4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120"/>
              <w:ind w:left="706" w:hanging="274"/>
              <w:rPr>
                <w:sz w:val="20"/>
                <w:szCs w:val="20"/>
              </w:rPr>
            </w:pPr>
            <w:proofErr w:type="gramStart"/>
            <w:r>
              <w:rPr>
                <w:iCs/>
                <w:sz w:val="18"/>
                <w:szCs w:val="18"/>
              </w:rPr>
              <w:t>security</w:t>
            </w:r>
            <w:proofErr w:type="gramEnd"/>
            <w:r>
              <w:rPr>
                <w:iCs/>
                <w:sz w:val="18"/>
                <w:szCs w:val="18"/>
              </w:rPr>
              <w:t xml:space="preserve"> measures </w:t>
            </w:r>
            <w:r w:rsidR="002364FF">
              <w:rPr>
                <w:iCs/>
                <w:sz w:val="18"/>
                <w:szCs w:val="18"/>
              </w:rPr>
              <w:t xml:space="preserve">to be employed </w:t>
            </w:r>
            <w:r>
              <w:rPr>
                <w:iCs/>
                <w:sz w:val="18"/>
                <w:szCs w:val="18"/>
              </w:rPr>
              <w:t>to</w:t>
            </w:r>
            <w:r w:rsidR="001653D2" w:rsidRPr="00023570">
              <w:rPr>
                <w:iCs/>
                <w:sz w:val="18"/>
                <w:szCs w:val="18"/>
              </w:rPr>
              <w:t xml:space="preserve"> restrict access</w:t>
            </w:r>
            <w:r w:rsidR="00575C8F">
              <w:rPr>
                <w:iCs/>
                <w:sz w:val="18"/>
                <w:szCs w:val="18"/>
              </w:rPr>
              <w:t xml:space="preserve"> to the</w:t>
            </w:r>
            <w:r w:rsidR="005329B0">
              <w:rPr>
                <w:iCs/>
                <w:sz w:val="18"/>
                <w:szCs w:val="18"/>
              </w:rPr>
              <w:t xml:space="preserve"> media identified in MP-2.1.1.1</w:t>
            </w:r>
            <w:r w:rsidR="006D5211">
              <w:rPr>
                <w:iCs/>
                <w:sz w:val="18"/>
                <w:szCs w:val="18"/>
              </w:rPr>
              <w:t>.</w:t>
            </w:r>
            <w:r w:rsidR="00575C8F">
              <w:rPr>
                <w:iCs/>
                <w:sz w:val="18"/>
                <w:szCs w:val="18"/>
              </w:rPr>
              <w:t>a</w:t>
            </w:r>
            <w:r w:rsidR="003B563A">
              <w:rPr>
                <w:iCs/>
                <w:sz w:val="18"/>
                <w:szCs w:val="18"/>
              </w:rPr>
              <w:t xml:space="preserve"> </w:t>
            </w:r>
            <w:r w:rsidR="00A043B0">
              <w:rPr>
                <w:iCs/>
                <w:sz w:val="18"/>
                <w:szCs w:val="18"/>
              </w:rPr>
              <w:t>to</w:t>
            </w:r>
            <w:r w:rsidR="003B563A">
              <w:rPr>
                <w:iCs/>
                <w:sz w:val="18"/>
                <w:szCs w:val="18"/>
              </w:rPr>
              <w:t xml:space="preserve"> the indiv</w:t>
            </w:r>
            <w:r w:rsidR="005329B0">
              <w:rPr>
                <w:iCs/>
                <w:sz w:val="18"/>
                <w:szCs w:val="18"/>
              </w:rPr>
              <w:t>iduals identified in MP-2.1.1.1</w:t>
            </w:r>
            <w:r w:rsidR="006D5211">
              <w:rPr>
                <w:iCs/>
                <w:sz w:val="18"/>
                <w:szCs w:val="18"/>
              </w:rPr>
              <w:t>.</w:t>
            </w:r>
            <w:r w:rsidR="003B563A">
              <w:rPr>
                <w:iCs/>
                <w:sz w:val="18"/>
                <w:szCs w:val="18"/>
              </w:rPr>
              <w:t>b</w:t>
            </w:r>
            <w:r w:rsidR="001653D2" w:rsidRPr="00023570">
              <w:rPr>
                <w:iCs/>
                <w:sz w:val="18"/>
                <w:szCs w:val="18"/>
              </w:rPr>
              <w:t>.</w:t>
            </w:r>
          </w:p>
        </w:tc>
      </w:tr>
      <w:tr w:rsidR="005329B0" w:rsidRPr="004F7EFC" w:rsidTr="005329B0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29B0" w:rsidRDefault="005329B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29B0" w:rsidRPr="008D7BED" w:rsidRDefault="005329B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06098D" w:rsidRDefault="0033117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MP-2.1.2.1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F31128" w:rsidP="00F13CB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77A71">
              <w:rPr>
                <w:iCs/>
                <w:sz w:val="18"/>
                <w:szCs w:val="18"/>
              </w:rPr>
              <w:t xml:space="preserve">the security measures employed to restrict access to </w:t>
            </w:r>
            <w:r>
              <w:rPr>
                <w:iCs/>
                <w:sz w:val="18"/>
                <w:szCs w:val="18"/>
              </w:rPr>
              <w:t xml:space="preserve">an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877A71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media identified in MP-</w:t>
            </w:r>
            <w:r w:rsidR="00103953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.1.1.1</w:t>
            </w:r>
            <w:r w:rsidR="006D5211">
              <w:rPr>
                <w:iCs/>
                <w:sz w:val="18"/>
                <w:szCs w:val="18"/>
              </w:rPr>
              <w:t>.</w:t>
            </w:r>
            <w:r w:rsidR="00103953">
              <w:rPr>
                <w:iCs/>
                <w:sz w:val="18"/>
                <w:szCs w:val="18"/>
              </w:rPr>
              <w:t>a</w:t>
            </w:r>
            <w:r w:rsidRPr="00580FB8">
              <w:rPr>
                <w:iCs/>
                <w:sz w:val="18"/>
                <w:szCs w:val="18"/>
              </w:rPr>
              <w:t>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</w:t>
            </w:r>
            <w:r w:rsidR="00636824">
              <w:rPr>
                <w:iCs/>
                <w:sz w:val="18"/>
                <w:szCs w:val="18"/>
              </w:rPr>
              <w:t>that the measures identified in</w:t>
            </w:r>
            <w:r w:rsidR="005329B0">
              <w:rPr>
                <w:iCs/>
                <w:sz w:val="18"/>
                <w:szCs w:val="18"/>
              </w:rPr>
              <w:t xml:space="preserve"> MP-2.1.1.1</w:t>
            </w:r>
            <w:r>
              <w:rPr>
                <w:iCs/>
                <w:sz w:val="18"/>
                <w:szCs w:val="18"/>
              </w:rPr>
              <w:t>c</w:t>
            </w:r>
            <w:r w:rsidR="00636824">
              <w:rPr>
                <w:iCs/>
                <w:sz w:val="18"/>
                <w:szCs w:val="18"/>
              </w:rPr>
              <w:t xml:space="preserve"> are being applied</w:t>
            </w:r>
            <w:r w:rsidR="00877A71">
              <w:rPr>
                <w:iCs/>
                <w:sz w:val="18"/>
                <w:szCs w:val="18"/>
              </w:rPr>
              <w:t xml:space="preserve"> to restrict access to </w:t>
            </w:r>
            <w:r w:rsidR="00F13CB3">
              <w:rPr>
                <w:iCs/>
                <w:sz w:val="18"/>
                <w:szCs w:val="18"/>
              </w:rPr>
              <w:t>the media identified i</w:t>
            </w:r>
            <w:r w:rsidR="005329B0">
              <w:rPr>
                <w:iCs/>
                <w:sz w:val="18"/>
                <w:szCs w:val="18"/>
              </w:rPr>
              <w:t>n MP-2.1.1.1</w:t>
            </w:r>
            <w:r w:rsidR="006D5211">
              <w:rPr>
                <w:iCs/>
                <w:sz w:val="18"/>
                <w:szCs w:val="18"/>
              </w:rPr>
              <w:t>.</w:t>
            </w:r>
            <w:r w:rsidR="00F13CB3">
              <w:rPr>
                <w:iCs/>
                <w:sz w:val="18"/>
                <w:szCs w:val="18"/>
              </w:rPr>
              <w:t>a</w:t>
            </w:r>
            <w:r w:rsidR="00877A71">
              <w:rPr>
                <w:iCs/>
                <w:sz w:val="18"/>
                <w:szCs w:val="18"/>
              </w:rPr>
              <w:t xml:space="preserve"> to the individuals identified in MP-2.1.1.</w:t>
            </w:r>
            <w:r w:rsidR="005329B0">
              <w:rPr>
                <w:iCs/>
                <w:sz w:val="18"/>
                <w:szCs w:val="18"/>
              </w:rPr>
              <w:t>1</w:t>
            </w:r>
            <w:r w:rsidR="006D5211">
              <w:rPr>
                <w:iCs/>
                <w:sz w:val="18"/>
                <w:szCs w:val="18"/>
              </w:rPr>
              <w:t>.</w:t>
            </w:r>
            <w:r w:rsidR="00877A71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47380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73807" w:rsidRPr="0006098D" w:rsidRDefault="0047380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MP-2.1.2.2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73807" w:rsidRPr="002F5405" w:rsidRDefault="00473807" w:rsidP="007839EF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D2644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protection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</w:t>
            </w:r>
            <w:r w:rsidR="00814D9F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</w:t>
            </w:r>
            <w:r w:rsidR="005329B0">
              <w:rPr>
                <w:iCs/>
                <w:sz w:val="18"/>
                <w:szCs w:val="18"/>
              </w:rPr>
              <w:t>asures identified in MP-2.1.1.1</w:t>
            </w:r>
            <w:r w:rsidR="006D5211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c are </w:t>
            </w:r>
            <w:r w:rsidR="00C31764">
              <w:rPr>
                <w:iCs/>
                <w:sz w:val="18"/>
                <w:szCs w:val="18"/>
              </w:rPr>
              <w:t xml:space="preserve">being applied to restrict access to </w:t>
            </w:r>
            <w:r w:rsidR="00814D9F">
              <w:rPr>
                <w:iCs/>
                <w:sz w:val="18"/>
                <w:szCs w:val="18"/>
              </w:rPr>
              <w:t>the</w:t>
            </w:r>
            <w:r w:rsidR="007839EF">
              <w:rPr>
                <w:iCs/>
                <w:sz w:val="18"/>
                <w:szCs w:val="18"/>
              </w:rPr>
              <w:t xml:space="preserve"> m</w:t>
            </w:r>
            <w:r w:rsidR="00C31764">
              <w:rPr>
                <w:iCs/>
                <w:sz w:val="18"/>
                <w:szCs w:val="18"/>
              </w:rPr>
              <w:t xml:space="preserve">edia </w:t>
            </w:r>
            <w:r w:rsidR="005329B0">
              <w:rPr>
                <w:iCs/>
                <w:sz w:val="18"/>
                <w:szCs w:val="18"/>
              </w:rPr>
              <w:t>identified in MP-2.1.1.1</w:t>
            </w:r>
            <w:r w:rsidR="006D5211">
              <w:rPr>
                <w:iCs/>
                <w:sz w:val="18"/>
                <w:szCs w:val="18"/>
              </w:rPr>
              <w:t>.</w:t>
            </w:r>
            <w:r w:rsidR="00814D9F">
              <w:rPr>
                <w:iCs/>
                <w:sz w:val="18"/>
                <w:szCs w:val="18"/>
              </w:rPr>
              <w:t xml:space="preserve">a </w:t>
            </w:r>
            <w:r w:rsidR="00C31764">
              <w:rPr>
                <w:iCs/>
                <w:sz w:val="18"/>
                <w:szCs w:val="18"/>
              </w:rPr>
              <w:t>to the individuals identified in MP-2.1.1.</w:t>
            </w:r>
            <w:r w:rsidR="005329B0">
              <w:rPr>
                <w:iCs/>
                <w:sz w:val="18"/>
                <w:szCs w:val="18"/>
              </w:rPr>
              <w:t>1</w:t>
            </w:r>
            <w:r w:rsidR="006D5211">
              <w:rPr>
                <w:iCs/>
                <w:sz w:val="18"/>
                <w:szCs w:val="18"/>
              </w:rPr>
              <w:t>.</w:t>
            </w:r>
            <w:r w:rsidR="00C31764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473807" w:rsidRPr="005073C2" w:rsidTr="001E3511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473807" w:rsidRPr="005073C2" w:rsidRDefault="00473807" w:rsidP="001E3511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473807" w:rsidRPr="005073C2" w:rsidTr="001E3511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473807" w:rsidRPr="005073C2" w:rsidTr="001E3511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329B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3807" w:rsidRPr="008F3AA0" w:rsidTr="001E3511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473807" w:rsidRPr="008F3AA0" w:rsidRDefault="00473807" w:rsidP="001E351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MP-2(1)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3807" w:rsidRPr="008F3AA0" w:rsidRDefault="00473807" w:rsidP="00E35EA5">
            <w:pPr>
              <w:pStyle w:val="control-name"/>
              <w:spacing w:before="120"/>
              <w:rPr>
                <w:highlight w:val="yellow"/>
              </w:rPr>
            </w:pPr>
            <w:r>
              <w:t>MEDIA ACCESS</w:t>
            </w:r>
          </w:p>
        </w:tc>
      </w:tr>
      <w:tr w:rsidR="00473807" w:rsidRPr="008F3AA0" w:rsidTr="001E3511">
        <w:trPr>
          <w:cantSplit/>
          <w:trHeight w:val="2411"/>
        </w:trPr>
        <w:tc>
          <w:tcPr>
            <w:tcW w:w="1530" w:type="dxa"/>
            <w:gridSpan w:val="2"/>
          </w:tcPr>
          <w:p w:rsidR="005329B0" w:rsidRDefault="005329B0" w:rsidP="005329B0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329B0" w:rsidRDefault="005329B0" w:rsidP="005329B0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3807" w:rsidRPr="005073C2" w:rsidRDefault="00473807" w:rsidP="00E35E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MP-2(1).1</w:t>
            </w:r>
          </w:p>
          <w:p w:rsidR="00473807" w:rsidRPr="005073C2" w:rsidRDefault="00473807" w:rsidP="005329B0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MP-2(1).1.1</w:t>
            </w:r>
          </w:p>
          <w:p w:rsidR="00473807" w:rsidRDefault="00473807" w:rsidP="00E35E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3807" w:rsidRPr="008F3AA0" w:rsidRDefault="00473807" w:rsidP="00E35EA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MP-2(1).1.2</w:t>
            </w:r>
          </w:p>
        </w:tc>
        <w:tc>
          <w:tcPr>
            <w:tcW w:w="7110" w:type="dxa"/>
          </w:tcPr>
          <w:p w:rsidR="00473807" w:rsidRPr="005073C2" w:rsidRDefault="00473807" w:rsidP="00E35EA5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073C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3807" w:rsidRPr="00786E04" w:rsidRDefault="00473807" w:rsidP="00E35EA5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786E04">
              <w:rPr>
                <w:bCs/>
                <w:i/>
                <w:iCs/>
                <w:sz w:val="20"/>
                <w:szCs w:val="20"/>
              </w:rPr>
              <w:t>Determine</w:t>
            </w:r>
            <w:r w:rsidRPr="00786E04">
              <w:rPr>
                <w:i/>
                <w:iCs/>
                <w:sz w:val="20"/>
                <w:szCs w:val="20"/>
              </w:rPr>
              <w:t xml:space="preserve"> if</w:t>
            </w:r>
            <w:r w:rsidRPr="00786E04">
              <w:rPr>
                <w:i/>
                <w:sz w:val="20"/>
                <w:szCs w:val="20"/>
              </w:rPr>
              <w:t>:</w:t>
            </w:r>
          </w:p>
          <w:p w:rsidR="00473807" w:rsidRPr="00786E04" w:rsidRDefault="00473807" w:rsidP="00E35EA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786E04">
              <w:rPr>
                <w:i/>
                <w:iCs/>
                <w:sz w:val="20"/>
                <w:szCs w:val="20"/>
              </w:rPr>
              <w:t>the organization employs automated mechanisms to restrict access to media storage areas; and</w:t>
            </w:r>
          </w:p>
          <w:p w:rsidR="00473807" w:rsidRPr="00786E04" w:rsidRDefault="00473807" w:rsidP="00E35EA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786E04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786E04">
              <w:rPr>
                <w:i/>
                <w:iCs/>
                <w:sz w:val="20"/>
                <w:szCs w:val="20"/>
              </w:rPr>
              <w:t xml:space="preserve"> organization employs automated mechanisms to audit access attempts and access granted to media storage areas.</w:t>
            </w:r>
          </w:p>
          <w:p w:rsidR="00473807" w:rsidRPr="005073C2" w:rsidRDefault="00473807" w:rsidP="00E35E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073C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3807" w:rsidRPr="005073C2" w:rsidRDefault="00473807" w:rsidP="00E35EA5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073C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073C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073C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5073C2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access; access control policy and procedures; physical and environmental protection policy and procedures; media storage facilities; access control devices; access control records; audit records; other relevant documents or records].</w:t>
            </w:r>
          </w:p>
          <w:p w:rsidR="00473807" w:rsidRPr="008F3AA0" w:rsidRDefault="00473807" w:rsidP="00E35EA5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5073C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073C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073C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073C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access restrictions to media storage areas].</w:t>
            </w:r>
          </w:p>
        </w:tc>
      </w:tr>
      <w:tr w:rsidR="00473807" w:rsidRPr="005073C2" w:rsidTr="001E3511">
        <w:trPr>
          <w:cantSplit/>
        </w:trPr>
        <w:tc>
          <w:tcPr>
            <w:tcW w:w="8640" w:type="dxa"/>
            <w:gridSpan w:val="3"/>
          </w:tcPr>
          <w:p w:rsidR="00473807" w:rsidRPr="005073C2" w:rsidRDefault="00473807" w:rsidP="001E3511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3807" w:rsidRPr="002F5405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3807" w:rsidRPr="005073C2" w:rsidRDefault="00473807" w:rsidP="001E3511"/>
        </w:tc>
        <w:tc>
          <w:tcPr>
            <w:tcW w:w="7110" w:type="dxa"/>
            <w:tcBorders>
              <w:bottom w:val="single" w:sz="4" w:space="0" w:color="auto"/>
            </w:tcBorders>
          </w:tcPr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D4D69">
              <w:rPr>
                <w:rFonts w:ascii="Arial" w:hAnsi="Arial" w:cs="Arial"/>
                <w:iCs/>
                <w:smallCaps/>
                <w:sz w:val="16"/>
                <w:szCs w:val="16"/>
              </w:rPr>
              <w:t>RA-3</w:t>
            </w:r>
          </w:p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9423A" w:rsidRPr="009D4D6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AC-19, AU-2, AU-3, CM-6, PE-2, PE-3, </w:t>
            </w:r>
            <w:r w:rsidR="009D4D69">
              <w:rPr>
                <w:rFonts w:ascii="Arial" w:hAnsi="Arial" w:cs="Arial"/>
                <w:iCs/>
                <w:smallCaps/>
                <w:sz w:val="16"/>
                <w:szCs w:val="16"/>
              </w:rPr>
              <w:t>SI-12</w:t>
            </w:r>
          </w:p>
          <w:p w:rsidR="00473807" w:rsidRPr="002F5405" w:rsidRDefault="00473807" w:rsidP="009D4D6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D4D69">
              <w:rPr>
                <w:rFonts w:ascii="Arial" w:hAnsi="Arial" w:cs="Arial"/>
                <w:iCs/>
                <w:smallCaps/>
                <w:sz w:val="16"/>
                <w:szCs w:val="16"/>
              </w:rPr>
              <w:t>MP-3, MP-4, MP-5, MP-6</w:t>
            </w:r>
          </w:p>
        </w:tc>
      </w:tr>
      <w:tr w:rsidR="00473807" w:rsidRPr="005073C2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3807" w:rsidRPr="005073C2" w:rsidRDefault="00473807" w:rsidP="001E3511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3807" w:rsidRPr="005073C2" w:rsidRDefault="00473807" w:rsidP="005329B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6554F" w:rsidRPr="005073C2" w:rsidTr="001E3511">
        <w:trPr>
          <w:cantSplit/>
        </w:trPr>
        <w:tc>
          <w:tcPr>
            <w:tcW w:w="1530" w:type="dxa"/>
            <w:gridSpan w:val="2"/>
          </w:tcPr>
          <w:p w:rsidR="00C6554F" w:rsidRPr="005073C2" w:rsidRDefault="00C6554F" w:rsidP="00203E6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MP-2(</w:t>
            </w:r>
            <w:r w:rsidR="00203E6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).1.1.1</w:t>
            </w:r>
          </w:p>
        </w:tc>
        <w:tc>
          <w:tcPr>
            <w:tcW w:w="7110" w:type="dxa"/>
          </w:tcPr>
          <w:p w:rsidR="00C6554F" w:rsidRPr="00C6554F" w:rsidRDefault="00C6554F" w:rsidP="00036BB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automated mechanisms and their configuration settings to be employed to restrict access to media storage areas</w:t>
            </w:r>
            <w:r w:rsidR="000F3AF4">
              <w:rPr>
                <w:iCs/>
                <w:sz w:val="18"/>
                <w:szCs w:val="18"/>
              </w:rPr>
              <w:t>.</w:t>
            </w:r>
          </w:p>
        </w:tc>
      </w:tr>
      <w:tr w:rsidR="00036BB6" w:rsidRPr="005073C2" w:rsidTr="001E3511">
        <w:trPr>
          <w:cantSplit/>
        </w:trPr>
        <w:tc>
          <w:tcPr>
            <w:tcW w:w="1530" w:type="dxa"/>
            <w:gridSpan w:val="2"/>
          </w:tcPr>
          <w:p w:rsidR="00036BB6" w:rsidRPr="002F5405" w:rsidRDefault="00036BB6" w:rsidP="001E351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MP-2(1).1.1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036BB6" w:rsidRPr="005073C2" w:rsidRDefault="00036BB6" w:rsidP="00036BB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E0E06">
              <w:rPr>
                <w:b/>
                <w:iCs/>
                <w:sz w:val="18"/>
                <w:szCs w:val="18"/>
              </w:rPr>
              <w:t>Examine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 w:rsidRPr="00E93E8A">
              <w:rPr>
                <w:iCs/>
                <w:sz w:val="18"/>
                <w:szCs w:val="18"/>
              </w:rPr>
              <w:t>documentation</w:t>
            </w:r>
            <w:r>
              <w:rPr>
                <w:iCs/>
                <w:sz w:val="18"/>
                <w:szCs w:val="18"/>
              </w:rPr>
              <w:t xml:space="preserve"> describing the current</w:t>
            </w:r>
            <w:r w:rsidRPr="00FE0E06">
              <w:rPr>
                <w:iCs/>
                <w:sz w:val="18"/>
                <w:szCs w:val="18"/>
              </w:rPr>
              <w:t xml:space="preserve"> configuration settings</w:t>
            </w:r>
            <w:r>
              <w:rPr>
                <w:iCs/>
                <w:sz w:val="18"/>
                <w:szCs w:val="18"/>
              </w:rPr>
              <w:t xml:space="preserve"> for an agreed-upon [</w:t>
            </w:r>
            <w:r w:rsidRPr="00036BB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CB11B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MP-2(1).1.1.1</w:t>
            </w:r>
            <w:r w:rsidRPr="00FE0E0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036BB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0E06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E0E06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>the</w:t>
            </w:r>
            <w:r w:rsidR="007452A7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configured as identified in MP-2(1).1.1.1.</w:t>
            </w:r>
          </w:p>
        </w:tc>
      </w:tr>
      <w:tr w:rsidR="00D94831" w:rsidRPr="005073C2" w:rsidTr="001E3511">
        <w:trPr>
          <w:cantSplit/>
        </w:trPr>
        <w:tc>
          <w:tcPr>
            <w:tcW w:w="1530" w:type="dxa"/>
            <w:gridSpan w:val="2"/>
          </w:tcPr>
          <w:p w:rsidR="00D94831" w:rsidRPr="005073C2" w:rsidRDefault="00D94831" w:rsidP="001E35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MP-2(1).1.1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D94831" w:rsidRPr="00FE0E06" w:rsidRDefault="00D94831" w:rsidP="00F74B7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media storage </w:t>
            </w:r>
            <w:r w:rsidR="00B70B22">
              <w:rPr>
                <w:iCs/>
                <w:sz w:val="18"/>
                <w:szCs w:val="18"/>
              </w:rPr>
              <w:t>areas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Pr="00FE0E0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036BB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FE0E06">
              <w:rPr>
                <w:iCs/>
                <w:sz w:val="18"/>
                <w:szCs w:val="18"/>
              </w:rPr>
              <w:t xml:space="preserve">sample of </w:t>
            </w:r>
            <w:r w:rsidR="00F74B70">
              <w:rPr>
                <w:iCs/>
                <w:sz w:val="18"/>
                <w:szCs w:val="18"/>
              </w:rPr>
              <w:t xml:space="preserve">the information system </w:t>
            </w:r>
            <w:r w:rsidR="005329B0">
              <w:rPr>
                <w:iCs/>
                <w:sz w:val="18"/>
                <w:szCs w:val="18"/>
              </w:rPr>
              <w:t>media identified in MP-2.1.1.1</w:t>
            </w:r>
            <w:r>
              <w:rPr>
                <w:iCs/>
                <w:sz w:val="18"/>
                <w:szCs w:val="18"/>
              </w:rPr>
              <w:t>a;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="00B70B22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Pr="00FE0E06">
              <w:rPr>
                <w:iCs/>
                <w:sz w:val="18"/>
                <w:szCs w:val="18"/>
              </w:rPr>
              <w:t xml:space="preserve">mechanisms </w:t>
            </w:r>
            <w:r w:rsidR="00B70B22">
              <w:rPr>
                <w:iCs/>
                <w:sz w:val="18"/>
                <w:szCs w:val="18"/>
              </w:rPr>
              <w:t>and configurations identified in MP-2(1).1.1.1</w:t>
            </w:r>
            <w:r w:rsidR="00F74B7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are </w:t>
            </w:r>
            <w:r w:rsidR="00B70B22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036BB6" w:rsidRPr="005073C2" w:rsidTr="001E3511">
        <w:trPr>
          <w:cantSplit/>
        </w:trPr>
        <w:tc>
          <w:tcPr>
            <w:tcW w:w="1530" w:type="dxa"/>
            <w:gridSpan w:val="2"/>
          </w:tcPr>
          <w:p w:rsidR="00036BB6" w:rsidRPr="002F5405" w:rsidRDefault="00D94831" w:rsidP="001E351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MP-2(1).1.1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110" w:type="dxa"/>
          </w:tcPr>
          <w:p w:rsidR="00036BB6" w:rsidRPr="005073C2" w:rsidRDefault="00036BB6" w:rsidP="001E351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E0E06">
              <w:rPr>
                <w:b/>
                <w:iCs/>
                <w:sz w:val="18"/>
                <w:szCs w:val="18"/>
              </w:rPr>
              <w:t xml:space="preserve">Test </w:t>
            </w:r>
            <w:r w:rsidRPr="00FE0E0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036BB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FE0E06">
              <w:rPr>
                <w:iCs/>
                <w:sz w:val="18"/>
                <w:szCs w:val="18"/>
              </w:rPr>
              <w:t xml:space="preserve">sample of </w:t>
            </w:r>
            <w:r w:rsidR="00B70B22">
              <w:rPr>
                <w:iCs/>
                <w:sz w:val="18"/>
                <w:szCs w:val="18"/>
              </w:rPr>
              <w:t xml:space="preserve">the </w:t>
            </w:r>
            <w:r w:rsidRPr="00FE0E06">
              <w:rPr>
                <w:iCs/>
                <w:sz w:val="18"/>
                <w:szCs w:val="18"/>
              </w:rPr>
              <w:t xml:space="preserve">automated mechanisms </w:t>
            </w:r>
            <w:r w:rsidR="00B70B22">
              <w:rPr>
                <w:iCs/>
                <w:sz w:val="18"/>
                <w:szCs w:val="18"/>
              </w:rPr>
              <w:t xml:space="preserve">and their configuration settings </w:t>
            </w:r>
            <w:r>
              <w:rPr>
                <w:iCs/>
                <w:sz w:val="18"/>
                <w:szCs w:val="18"/>
              </w:rPr>
              <w:t>identified in MP-2(1).1.1.1;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conducting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036BB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FE0E06">
              <w:rPr>
                <w:iCs/>
                <w:sz w:val="18"/>
                <w:szCs w:val="18"/>
              </w:rPr>
              <w:t xml:space="preserve">testing </w:t>
            </w:r>
            <w:r>
              <w:rPr>
                <w:iCs/>
                <w:sz w:val="18"/>
                <w:szCs w:val="18"/>
              </w:rPr>
              <w:t>for evidence that the</w:t>
            </w:r>
            <w:r w:rsidR="00BA4510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FE0E06">
              <w:rPr>
                <w:iCs/>
                <w:sz w:val="18"/>
                <w:szCs w:val="18"/>
              </w:rPr>
              <w:t xml:space="preserve">mechanisms </w:t>
            </w:r>
            <w:r>
              <w:rPr>
                <w:iCs/>
                <w:sz w:val="18"/>
                <w:szCs w:val="18"/>
              </w:rPr>
              <w:t>are operating</w:t>
            </w:r>
            <w:r w:rsidRPr="00FE0E06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329B0" w:rsidRPr="005073C2" w:rsidTr="005329B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329B0" w:rsidRDefault="005329B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329B0" w:rsidRPr="008D7BED" w:rsidRDefault="005329B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317C6" w:rsidRPr="005073C2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317C6" w:rsidRPr="002F5405" w:rsidRDefault="007317C6" w:rsidP="001E35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MP-2(1).1.2.1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317C6" w:rsidRPr="005073C2" w:rsidRDefault="007317C6" w:rsidP="00B97733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FE0E06">
              <w:rPr>
                <w:b/>
                <w:iCs/>
                <w:sz w:val="18"/>
                <w:szCs w:val="18"/>
              </w:rPr>
              <w:t xml:space="preserve">Examine </w:t>
            </w:r>
            <w:r w:rsidR="00B97733">
              <w:rPr>
                <w:iCs/>
                <w:sz w:val="18"/>
                <w:szCs w:val="18"/>
              </w:rPr>
              <w:t>security plan, information system design documentation</w:t>
            </w:r>
            <w:r w:rsidRPr="00FE0E06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>or</w:t>
            </w:r>
            <w:r w:rsidRPr="00FE0E06">
              <w:rPr>
                <w:iCs/>
                <w:sz w:val="18"/>
                <w:szCs w:val="18"/>
              </w:rPr>
              <w:t xml:space="preserve">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10097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0E06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 xml:space="preserve">automated mechanisms and </w:t>
            </w:r>
            <w:r w:rsidR="00B97733">
              <w:rPr>
                <w:iCs/>
                <w:sz w:val="18"/>
                <w:szCs w:val="18"/>
              </w:rPr>
              <w:t xml:space="preserve">their </w:t>
            </w:r>
            <w:r>
              <w:rPr>
                <w:iCs/>
                <w:sz w:val="18"/>
                <w:szCs w:val="18"/>
              </w:rPr>
              <w:t xml:space="preserve">configuration settings to be employed </w:t>
            </w:r>
            <w:r w:rsidRPr="00FE0E06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audit access attempts and access granted to media storage areas</w:t>
            </w:r>
            <w:r w:rsidRPr="00FE0E06">
              <w:rPr>
                <w:iCs/>
                <w:sz w:val="18"/>
                <w:szCs w:val="18"/>
              </w:rPr>
              <w:t>.</w:t>
            </w:r>
          </w:p>
        </w:tc>
      </w:tr>
      <w:tr w:rsidR="005622C8" w:rsidRPr="005073C2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622C8" w:rsidRPr="005073C2" w:rsidRDefault="005622C8" w:rsidP="007304F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MP-2(1).1.2.</w:t>
            </w:r>
            <w:r w:rsidR="007304F8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622C8" w:rsidRPr="005073C2" w:rsidRDefault="005622C8" w:rsidP="005622C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FE0E06">
              <w:rPr>
                <w:b/>
                <w:iCs/>
                <w:sz w:val="18"/>
                <w:szCs w:val="18"/>
              </w:rPr>
              <w:t>Examine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 w:rsidRPr="00E93E8A">
              <w:rPr>
                <w:iCs/>
                <w:sz w:val="18"/>
                <w:szCs w:val="18"/>
              </w:rPr>
              <w:t>documentation</w:t>
            </w:r>
            <w:r>
              <w:rPr>
                <w:iCs/>
                <w:sz w:val="18"/>
                <w:szCs w:val="18"/>
              </w:rPr>
              <w:t xml:space="preserve"> describing the current</w:t>
            </w:r>
            <w:r w:rsidRPr="00FE0E06">
              <w:rPr>
                <w:iCs/>
                <w:sz w:val="18"/>
                <w:szCs w:val="18"/>
              </w:rPr>
              <w:t xml:space="preserve"> configuration settings</w:t>
            </w:r>
            <w:r>
              <w:rPr>
                <w:iCs/>
                <w:sz w:val="18"/>
                <w:szCs w:val="18"/>
              </w:rPr>
              <w:t xml:space="preserve"> for an agreed-upon [</w:t>
            </w:r>
            <w:r w:rsidRPr="00036BB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7304F8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MP-2(1).1.2.1</w:t>
            </w:r>
            <w:r w:rsidRPr="00FE0E0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036BB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0E06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E0E06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>the</w:t>
            </w:r>
            <w:r w:rsidR="007304F8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configured as identified in MP-2(1).1.2.1.</w:t>
            </w:r>
          </w:p>
        </w:tc>
      </w:tr>
      <w:tr w:rsidR="000F3AF4" w:rsidRPr="005073C2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F3AF4" w:rsidRDefault="000F3AF4" w:rsidP="007304F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MP-2(1).1.2.3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F3AF4" w:rsidRPr="000F3AF4" w:rsidRDefault="000F3AF4" w:rsidP="000F3AF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records generated by the automated mechanisms employed to audit access attempts and access granted to the media storage areas identified in MP-2(1).1.1.3;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mechanisms and configurations identified </w:t>
            </w:r>
            <w:r w:rsidR="000B0CF1">
              <w:rPr>
                <w:iCs/>
                <w:sz w:val="18"/>
                <w:szCs w:val="18"/>
              </w:rPr>
              <w:t>in MP-2(1).1.2.1 are being applied.</w:t>
            </w:r>
          </w:p>
        </w:tc>
      </w:tr>
      <w:tr w:rsidR="00CB6659" w:rsidRPr="005073C2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B6659" w:rsidRDefault="00CB6659" w:rsidP="000F3AF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MP-2(1).1.2.</w:t>
            </w:r>
            <w:r w:rsidR="000F3AF4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B6659" w:rsidRDefault="00CB6659" w:rsidP="00CB665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FE0E06">
              <w:rPr>
                <w:b/>
                <w:iCs/>
                <w:sz w:val="18"/>
                <w:szCs w:val="18"/>
              </w:rPr>
              <w:t xml:space="preserve">Test </w:t>
            </w:r>
            <w:r w:rsidRPr="00FE0E0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036BB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FE0E06">
              <w:rPr>
                <w:iCs/>
                <w:sz w:val="18"/>
                <w:szCs w:val="18"/>
              </w:rPr>
              <w:t xml:space="preserve">sample of </w:t>
            </w:r>
            <w:r w:rsidR="007304F8">
              <w:rPr>
                <w:iCs/>
                <w:sz w:val="18"/>
                <w:szCs w:val="18"/>
              </w:rPr>
              <w:t xml:space="preserve">the </w:t>
            </w:r>
            <w:r w:rsidRPr="00FE0E06">
              <w:rPr>
                <w:iCs/>
                <w:sz w:val="18"/>
                <w:szCs w:val="18"/>
              </w:rPr>
              <w:t xml:space="preserve">automated mechanisms </w:t>
            </w:r>
            <w:r w:rsidR="007304F8">
              <w:rPr>
                <w:iCs/>
                <w:sz w:val="18"/>
                <w:szCs w:val="18"/>
              </w:rPr>
              <w:t xml:space="preserve">and their configuration settings </w:t>
            </w:r>
            <w:r>
              <w:rPr>
                <w:iCs/>
                <w:sz w:val="18"/>
                <w:szCs w:val="18"/>
              </w:rPr>
              <w:t>identified in MP-2(1).1.2.1;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conducting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036BB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FE0E06">
              <w:rPr>
                <w:iCs/>
                <w:sz w:val="18"/>
                <w:szCs w:val="18"/>
              </w:rPr>
              <w:t xml:space="preserve">testing </w:t>
            </w:r>
            <w:r>
              <w:rPr>
                <w:iCs/>
                <w:sz w:val="18"/>
                <w:szCs w:val="18"/>
              </w:rPr>
              <w:t>for evidence that the</w:t>
            </w:r>
            <w:r w:rsidR="007304F8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FE0E06">
              <w:rPr>
                <w:iCs/>
                <w:sz w:val="18"/>
                <w:szCs w:val="18"/>
              </w:rPr>
              <w:t xml:space="preserve">mechanisms </w:t>
            </w:r>
            <w:r>
              <w:rPr>
                <w:iCs/>
                <w:sz w:val="18"/>
                <w:szCs w:val="18"/>
              </w:rPr>
              <w:t>are operating</w:t>
            </w:r>
            <w:r w:rsidRPr="00FE0E06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  <w:r w:rsidRPr="00FE0E06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473807" w:rsidRPr="005073C2" w:rsidTr="001E3511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473807" w:rsidRPr="005073C2" w:rsidTr="001E3511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329B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73807" w:rsidRPr="008F3AA0" w:rsidTr="001E3511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473807" w:rsidRPr="008F3AA0" w:rsidRDefault="00473807" w:rsidP="001E351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MP-2</w:t>
            </w:r>
            <w:r w:rsidRPr="008F3AA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73807" w:rsidRPr="008F3AA0" w:rsidRDefault="00473807" w:rsidP="004F7BE5">
            <w:pPr>
              <w:pStyle w:val="control-name"/>
              <w:spacing w:before="120"/>
              <w:rPr>
                <w:highlight w:val="yellow"/>
              </w:rPr>
            </w:pPr>
            <w:r>
              <w:t>MEDIA ACCESS</w:t>
            </w:r>
          </w:p>
        </w:tc>
      </w:tr>
      <w:tr w:rsidR="00473807" w:rsidRPr="008F3AA0" w:rsidTr="005329B0">
        <w:trPr>
          <w:cantSplit/>
          <w:trHeight w:val="2141"/>
        </w:trPr>
        <w:tc>
          <w:tcPr>
            <w:tcW w:w="1530" w:type="dxa"/>
            <w:gridSpan w:val="2"/>
          </w:tcPr>
          <w:p w:rsidR="005329B0" w:rsidRDefault="00491571" w:rsidP="001E351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CD4F8D">
              <w:rPr>
                <w:rFonts w:ascii="Arial" w:hAnsi="Arial" w:cs="Arial"/>
                <w:b/>
                <w:iCs/>
                <w:sz w:val="16"/>
                <w:szCs w:val="16"/>
              </w:rPr>
              <w:t>MP-2(2).1</w:t>
            </w:r>
          </w:p>
          <w:p w:rsidR="00473807" w:rsidRDefault="00473807" w:rsidP="001E351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CD4F8D">
              <w:rPr>
                <w:rFonts w:ascii="Arial" w:hAnsi="Arial" w:cs="Arial"/>
                <w:b/>
                <w:iCs/>
                <w:sz w:val="16"/>
                <w:szCs w:val="16"/>
              </w:rPr>
              <w:t>MP-2(2).1</w:t>
            </w:r>
            <w:r w:rsidR="0049157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73807" w:rsidRPr="008F3AA0" w:rsidRDefault="00473807" w:rsidP="001E3511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473807" w:rsidRPr="005073C2" w:rsidRDefault="00473807" w:rsidP="00E35EA5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073C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73807" w:rsidRPr="00CD4F8D" w:rsidRDefault="00473807" w:rsidP="00E35EA5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D4F8D">
              <w:rPr>
                <w:bCs/>
                <w:i/>
                <w:iCs/>
                <w:sz w:val="20"/>
              </w:rPr>
              <w:t>Determine</w:t>
            </w:r>
            <w:r w:rsidRPr="00CD4F8D">
              <w:rPr>
                <w:i/>
                <w:iCs/>
                <w:sz w:val="20"/>
              </w:rPr>
              <w:t xml:space="preserve"> if the information system uses cryptographic mechanisms to protect and restrict access to information on portable digital media.</w:t>
            </w:r>
          </w:p>
          <w:p w:rsidR="00473807" w:rsidRPr="00CD4F8D" w:rsidRDefault="00473807" w:rsidP="00E35EA5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D4F8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73807" w:rsidRPr="00CD4F8D" w:rsidRDefault="00473807" w:rsidP="00E35EA5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D4F8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D4F8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D4F8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D4F8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CD4F8D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access; other relevant documents or records].</w:t>
            </w:r>
          </w:p>
          <w:p w:rsidR="00473807" w:rsidRPr="008F3AA0" w:rsidRDefault="00473807" w:rsidP="00E35EA5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CD4F8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D4F8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D4F8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D4F8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Cryptographic mechanisms protecting and restricting access to information system information on portable digital media].</w:t>
            </w:r>
          </w:p>
        </w:tc>
      </w:tr>
      <w:tr w:rsidR="00473807" w:rsidRPr="005073C2" w:rsidTr="001E3511">
        <w:trPr>
          <w:cantSplit/>
        </w:trPr>
        <w:tc>
          <w:tcPr>
            <w:tcW w:w="8640" w:type="dxa"/>
            <w:gridSpan w:val="3"/>
          </w:tcPr>
          <w:p w:rsidR="00473807" w:rsidRPr="005073C2" w:rsidRDefault="00473807" w:rsidP="001E3511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73807" w:rsidRPr="002F5405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3807" w:rsidRPr="005073C2" w:rsidRDefault="00473807" w:rsidP="001E3511"/>
        </w:tc>
        <w:tc>
          <w:tcPr>
            <w:tcW w:w="7110" w:type="dxa"/>
            <w:tcBorders>
              <w:bottom w:val="single" w:sz="4" w:space="0" w:color="auto"/>
            </w:tcBorders>
          </w:tcPr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73807" w:rsidRPr="005073C2" w:rsidRDefault="00473807" w:rsidP="001E351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31BE7">
              <w:rPr>
                <w:rFonts w:ascii="Arial" w:hAnsi="Arial" w:cs="Arial"/>
                <w:iCs/>
                <w:smallCaps/>
                <w:sz w:val="16"/>
                <w:szCs w:val="16"/>
              </w:rPr>
              <w:t>RA-3</w:t>
            </w:r>
          </w:p>
          <w:p w:rsidR="00FC7450" w:rsidRDefault="00473807" w:rsidP="006F6C8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F7A5D">
              <w:rPr>
                <w:rFonts w:ascii="Arial" w:hAnsi="Arial" w:cs="Arial"/>
                <w:iCs/>
                <w:smallCaps/>
                <w:sz w:val="16"/>
                <w:szCs w:val="16"/>
              </w:rPr>
              <w:t>AC-3,</w:t>
            </w:r>
            <w:r w:rsidR="002B1AD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D4D6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1A7FC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SC-12, SC-13, </w:t>
            </w:r>
            <w:r w:rsidR="00722FAF">
              <w:rPr>
                <w:rFonts w:ascii="Arial" w:hAnsi="Arial" w:cs="Arial"/>
                <w:iCs/>
                <w:smallCaps/>
                <w:sz w:val="16"/>
                <w:szCs w:val="16"/>
              </w:rPr>
              <w:t>SC-28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473807" w:rsidRPr="002F5405" w:rsidRDefault="00473807" w:rsidP="009D4D6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D4D69">
              <w:rPr>
                <w:rFonts w:ascii="Arial" w:hAnsi="Arial" w:cs="Arial"/>
                <w:iCs/>
                <w:smallCaps/>
                <w:sz w:val="16"/>
                <w:szCs w:val="16"/>
              </w:rPr>
              <w:t>MP-4, MP-5</w:t>
            </w:r>
          </w:p>
        </w:tc>
      </w:tr>
      <w:tr w:rsidR="00473807" w:rsidRPr="005073C2" w:rsidTr="001E3511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3807" w:rsidRPr="005073C2" w:rsidRDefault="00473807" w:rsidP="001E3511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3807" w:rsidRPr="005073C2" w:rsidRDefault="00473807" w:rsidP="005329B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72553" w:rsidRPr="005073C2" w:rsidTr="001E3511">
        <w:trPr>
          <w:cantSplit/>
        </w:trPr>
        <w:tc>
          <w:tcPr>
            <w:tcW w:w="1530" w:type="dxa"/>
            <w:gridSpan w:val="2"/>
          </w:tcPr>
          <w:p w:rsidR="00872553" w:rsidRPr="00872553" w:rsidRDefault="00872553" w:rsidP="0087255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</w:t>
            </w:r>
            <w:r w:rsidR="0049157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72553" w:rsidRPr="005073C2" w:rsidRDefault="00872553" w:rsidP="008725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A4BF0">
              <w:rPr>
                <w:b/>
                <w:iCs/>
                <w:sz w:val="18"/>
                <w:szCs w:val="18"/>
              </w:rPr>
              <w:t>Examine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 w:rsidRPr="00DA4BF0">
              <w:rPr>
                <w:iCs/>
                <w:sz w:val="18"/>
                <w:szCs w:val="18"/>
              </w:rPr>
              <w:t xml:space="preserve">information system design </w:t>
            </w:r>
            <w:r w:rsidRPr="000140E7">
              <w:rPr>
                <w:iCs/>
                <w:sz w:val="18"/>
                <w:szCs w:val="18"/>
              </w:rPr>
              <w:t>documentation, or other relevant</w:t>
            </w:r>
            <w:r>
              <w:rPr>
                <w:iCs/>
                <w:sz w:val="18"/>
                <w:szCs w:val="18"/>
              </w:rPr>
              <w:t xml:space="preserve"> documents</w:t>
            </w:r>
            <w:r w:rsidRPr="00DA4BF0">
              <w:rPr>
                <w:color w:val="000000"/>
                <w:sz w:val="18"/>
                <w:szCs w:val="18"/>
              </w:rPr>
              <w:t>;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[reviewing]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 cryptographic mechanisms and their configuration settings</w:t>
            </w:r>
            <w:r>
              <w:rPr>
                <w:bCs/>
                <w:color w:val="000000"/>
                <w:sz w:val="18"/>
                <w:szCs w:val="18"/>
              </w:rPr>
              <w:t xml:space="preserve"> to be employed to protect and restrict access to information on portable digital media.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872553" w:rsidRPr="005073C2" w:rsidTr="001E3511">
        <w:trPr>
          <w:cantSplit/>
        </w:trPr>
        <w:tc>
          <w:tcPr>
            <w:tcW w:w="1530" w:type="dxa"/>
            <w:gridSpan w:val="2"/>
          </w:tcPr>
          <w:p w:rsidR="00872553" w:rsidRPr="00872553" w:rsidRDefault="00872553" w:rsidP="001E351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</w:t>
            </w:r>
            <w:r w:rsidR="0049157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872553" w:rsidRPr="005073C2" w:rsidRDefault="00872553" w:rsidP="008725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85152">
              <w:rPr>
                <w:b/>
                <w:iCs/>
                <w:sz w:val="18"/>
                <w:szCs w:val="18"/>
              </w:rPr>
              <w:t>Examine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250CB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cryptographic me</w:t>
            </w:r>
            <w:r w:rsidR="005329B0">
              <w:rPr>
                <w:iCs/>
                <w:sz w:val="18"/>
                <w:szCs w:val="18"/>
              </w:rPr>
              <w:t>chanisms identified in MP-2(2)</w:t>
            </w:r>
            <w:r w:rsidR="0049157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50CB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</w:t>
            </w:r>
            <w:r w:rsidR="005329B0">
              <w:rPr>
                <w:iCs/>
                <w:sz w:val="18"/>
                <w:szCs w:val="18"/>
              </w:rPr>
              <w:t>gured as identified in MP-2(2)</w:t>
            </w:r>
            <w:r w:rsidR="0049157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872553" w:rsidRPr="005073C2" w:rsidTr="001E3511">
        <w:trPr>
          <w:cantSplit/>
        </w:trPr>
        <w:tc>
          <w:tcPr>
            <w:tcW w:w="1530" w:type="dxa"/>
            <w:gridSpan w:val="2"/>
          </w:tcPr>
          <w:p w:rsidR="00872553" w:rsidRPr="00872553" w:rsidRDefault="00872553" w:rsidP="001E351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</w:t>
            </w:r>
            <w:r w:rsidR="0049157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872553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872553" w:rsidRPr="005073C2" w:rsidRDefault="00872553" w:rsidP="001E351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F2873">
              <w:rPr>
                <w:b/>
                <w:iCs/>
                <w:sz w:val="18"/>
                <w:szCs w:val="18"/>
              </w:rPr>
              <w:t>Test</w:t>
            </w:r>
            <w:r w:rsidRPr="0083406B">
              <w:rPr>
                <w:iCs/>
                <w:sz w:val="18"/>
                <w:szCs w:val="18"/>
              </w:rPr>
              <w:t xml:space="preserve"> a</w:t>
            </w:r>
            <w:r>
              <w:rPr>
                <w:iCs/>
                <w:sz w:val="18"/>
                <w:szCs w:val="18"/>
              </w:rPr>
              <w:t>n agreed-upon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83406B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>the cryptographic</w:t>
            </w:r>
            <w:r w:rsidRPr="0083406B">
              <w:rPr>
                <w:iCs/>
                <w:sz w:val="18"/>
                <w:szCs w:val="18"/>
              </w:rPr>
              <w:t xml:space="preserve"> mechanisms </w:t>
            </w:r>
            <w:r>
              <w:rPr>
                <w:iCs/>
                <w:sz w:val="18"/>
                <w:szCs w:val="18"/>
              </w:rPr>
              <w:t xml:space="preserve">and their configuration </w:t>
            </w:r>
            <w:r w:rsidR="005329B0">
              <w:rPr>
                <w:iCs/>
                <w:sz w:val="18"/>
                <w:szCs w:val="18"/>
              </w:rPr>
              <w:t>settings identified in MP-2(2)</w:t>
            </w:r>
            <w:r w:rsidR="0049157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83406B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4A5C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3406B">
              <w:rPr>
                <w:iCs/>
                <w:sz w:val="18"/>
                <w:szCs w:val="18"/>
              </w:rPr>
              <w:t xml:space="preserve"> testing </w:t>
            </w:r>
            <w:r>
              <w:rPr>
                <w:iCs/>
                <w:sz w:val="18"/>
                <w:szCs w:val="18"/>
              </w:rPr>
              <w:t xml:space="preserve">for evidence </w:t>
            </w:r>
            <w:r w:rsidRPr="0083406B">
              <w:rPr>
                <w:iCs/>
                <w:sz w:val="18"/>
                <w:szCs w:val="18"/>
              </w:rPr>
              <w:t>that the</w:t>
            </w:r>
            <w:r>
              <w:rPr>
                <w:iCs/>
                <w:sz w:val="18"/>
                <w:szCs w:val="18"/>
              </w:rPr>
              <w:t>se</w:t>
            </w:r>
            <w:r w:rsidRPr="008340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mechanisms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0C" w:rsidRDefault="00ED3B0C" w:rsidP="00F351C8">
      <w:r>
        <w:separator/>
      </w:r>
    </w:p>
  </w:endnote>
  <w:endnote w:type="continuationSeparator" w:id="0">
    <w:p w:rsidR="00ED3B0C" w:rsidRDefault="00ED3B0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2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329B0" w:rsidRDefault="005329B0">
            <w:pPr>
              <w:pStyle w:val="Footer"/>
              <w:jc w:val="center"/>
            </w:pPr>
            <w:r>
              <w:t>Initial Public Draft</w:t>
            </w:r>
          </w:p>
          <w:p w:rsidR="005329B0" w:rsidRDefault="005329B0">
            <w:pPr>
              <w:pStyle w:val="Footer"/>
              <w:jc w:val="center"/>
            </w:pPr>
            <w:r>
              <w:t xml:space="preserve">Page </w:t>
            </w:r>
            <w:r w:rsidR="00C80CA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80CA4">
              <w:rPr>
                <w:b/>
              </w:rPr>
              <w:fldChar w:fldCharType="separate"/>
            </w:r>
            <w:r w:rsidR="006D5211">
              <w:rPr>
                <w:b/>
                <w:noProof/>
              </w:rPr>
              <w:t>3</w:t>
            </w:r>
            <w:r w:rsidR="00C80CA4">
              <w:rPr>
                <w:b/>
              </w:rPr>
              <w:fldChar w:fldCharType="end"/>
            </w:r>
            <w:r>
              <w:t xml:space="preserve"> of </w:t>
            </w:r>
            <w:r w:rsidR="00C80CA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80CA4">
              <w:rPr>
                <w:b/>
              </w:rPr>
              <w:fldChar w:fldCharType="separate"/>
            </w:r>
            <w:r w:rsidR="006D5211">
              <w:rPr>
                <w:b/>
                <w:noProof/>
              </w:rPr>
              <w:t>3</w:t>
            </w:r>
            <w:r w:rsidR="00C80CA4">
              <w:rPr>
                <w:b/>
              </w:rPr>
              <w:fldChar w:fldCharType="end"/>
            </w:r>
          </w:p>
        </w:sdtContent>
      </w:sdt>
    </w:sdtContent>
  </w:sdt>
  <w:p w:rsidR="005329B0" w:rsidRDefault="005329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0C" w:rsidRDefault="00ED3B0C" w:rsidP="00F351C8">
      <w:r>
        <w:separator/>
      </w:r>
    </w:p>
  </w:footnote>
  <w:footnote w:type="continuationSeparator" w:id="0">
    <w:p w:rsidR="00ED3B0C" w:rsidRDefault="00ED3B0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9B0" w:rsidRDefault="005329B0">
    <w:pPr>
      <w:pStyle w:val="Header"/>
    </w:pPr>
    <w:r>
      <w:t>Assessment Case:  MP-2 Media Access</w:t>
    </w:r>
  </w:p>
  <w:p w:rsidR="005329B0" w:rsidRDefault="005329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7BF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B917DE"/>
    <w:multiLevelType w:val="hybridMultilevel"/>
    <w:tmpl w:val="EEC2434E"/>
    <w:lvl w:ilvl="0" w:tplc="0D0E3CE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9013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31BF3"/>
    <w:multiLevelType w:val="hybridMultilevel"/>
    <w:tmpl w:val="E9AAA1A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501221"/>
    <w:multiLevelType w:val="hybridMultilevel"/>
    <w:tmpl w:val="CCAA3062"/>
    <w:lvl w:ilvl="0" w:tplc="A24E1C2E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C53C3E12">
      <w:start w:val="1"/>
      <w:numFmt w:val="lowerRoman"/>
      <w:lvlText w:val="(%2i)"/>
      <w:lvlJc w:val="left"/>
      <w:pPr>
        <w:tabs>
          <w:tab w:val="num" w:pos="504"/>
        </w:tabs>
        <w:ind w:left="504" w:hanging="504"/>
      </w:pPr>
      <w:rPr>
        <w:rFonts w:hint="default"/>
        <w:b w:val="0"/>
        <w:i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2C71B8"/>
    <w:multiLevelType w:val="hybridMultilevel"/>
    <w:tmpl w:val="C74E73C8"/>
    <w:lvl w:ilvl="0" w:tplc="3CAAB1EA">
      <w:start w:val="4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4"/>
  </w:num>
  <w:num w:numId="10">
    <w:abstractNumId w:val="2"/>
  </w:num>
  <w:num w:numId="11">
    <w:abstractNumId w:val="10"/>
  </w:num>
  <w:num w:numId="12">
    <w:abstractNumId w:val="12"/>
  </w:num>
  <w:num w:numId="13">
    <w:abstractNumId w:val="5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0C47"/>
    <w:rsid w:val="00023570"/>
    <w:rsid w:val="00033213"/>
    <w:rsid w:val="00036BB6"/>
    <w:rsid w:val="0006098D"/>
    <w:rsid w:val="000B0CF1"/>
    <w:rsid w:val="000C1882"/>
    <w:rsid w:val="000C61BD"/>
    <w:rsid w:val="000E5A93"/>
    <w:rsid w:val="000F3AF4"/>
    <w:rsid w:val="00100975"/>
    <w:rsid w:val="00103953"/>
    <w:rsid w:val="00122F6A"/>
    <w:rsid w:val="00126B04"/>
    <w:rsid w:val="00127B11"/>
    <w:rsid w:val="00135460"/>
    <w:rsid w:val="001653D2"/>
    <w:rsid w:val="00174BAD"/>
    <w:rsid w:val="00174BF9"/>
    <w:rsid w:val="001A7FCE"/>
    <w:rsid w:val="001B0BD4"/>
    <w:rsid w:val="001B3D5A"/>
    <w:rsid w:val="001C134D"/>
    <w:rsid w:val="001C3BD4"/>
    <w:rsid w:val="001D18B5"/>
    <w:rsid w:val="00201F05"/>
    <w:rsid w:val="00203E6E"/>
    <w:rsid w:val="0021322A"/>
    <w:rsid w:val="00215B25"/>
    <w:rsid w:val="002234A4"/>
    <w:rsid w:val="002312D6"/>
    <w:rsid w:val="002364FF"/>
    <w:rsid w:val="00297ACF"/>
    <w:rsid w:val="002B1AD3"/>
    <w:rsid w:val="002E022E"/>
    <w:rsid w:val="002E1310"/>
    <w:rsid w:val="002F5405"/>
    <w:rsid w:val="002F6E98"/>
    <w:rsid w:val="003111F5"/>
    <w:rsid w:val="00322AED"/>
    <w:rsid w:val="00331174"/>
    <w:rsid w:val="0036530B"/>
    <w:rsid w:val="00381F01"/>
    <w:rsid w:val="00392C1A"/>
    <w:rsid w:val="003B563A"/>
    <w:rsid w:val="003C47D6"/>
    <w:rsid w:val="003F1A6A"/>
    <w:rsid w:val="00437EC2"/>
    <w:rsid w:val="004569C2"/>
    <w:rsid w:val="004673C1"/>
    <w:rsid w:val="00473807"/>
    <w:rsid w:val="00483F60"/>
    <w:rsid w:val="00491571"/>
    <w:rsid w:val="004A3F87"/>
    <w:rsid w:val="004E612F"/>
    <w:rsid w:val="004F7BE5"/>
    <w:rsid w:val="00506259"/>
    <w:rsid w:val="00531A1C"/>
    <w:rsid w:val="005329B0"/>
    <w:rsid w:val="00547C1A"/>
    <w:rsid w:val="00551E3F"/>
    <w:rsid w:val="0055491C"/>
    <w:rsid w:val="005622C8"/>
    <w:rsid w:val="00575C8F"/>
    <w:rsid w:val="00575FD6"/>
    <w:rsid w:val="0058058B"/>
    <w:rsid w:val="00581403"/>
    <w:rsid w:val="0059423A"/>
    <w:rsid w:val="0059696F"/>
    <w:rsid w:val="005E0988"/>
    <w:rsid w:val="005F4866"/>
    <w:rsid w:val="005F621E"/>
    <w:rsid w:val="00623080"/>
    <w:rsid w:val="006301D5"/>
    <w:rsid w:val="00636824"/>
    <w:rsid w:val="0065175E"/>
    <w:rsid w:val="00676305"/>
    <w:rsid w:val="00685E8E"/>
    <w:rsid w:val="00697161"/>
    <w:rsid w:val="006D5211"/>
    <w:rsid w:val="006E36E2"/>
    <w:rsid w:val="006F3A36"/>
    <w:rsid w:val="006F6C83"/>
    <w:rsid w:val="00707F6C"/>
    <w:rsid w:val="007134C8"/>
    <w:rsid w:val="00722FAF"/>
    <w:rsid w:val="007304F8"/>
    <w:rsid w:val="007317C6"/>
    <w:rsid w:val="007452A7"/>
    <w:rsid w:val="00763DBC"/>
    <w:rsid w:val="007839EF"/>
    <w:rsid w:val="007D39C7"/>
    <w:rsid w:val="007E1B48"/>
    <w:rsid w:val="007F7A5D"/>
    <w:rsid w:val="0081301E"/>
    <w:rsid w:val="00814D9F"/>
    <w:rsid w:val="008262C4"/>
    <w:rsid w:val="00854526"/>
    <w:rsid w:val="00870562"/>
    <w:rsid w:val="00872553"/>
    <w:rsid w:val="00877A71"/>
    <w:rsid w:val="008C3AB6"/>
    <w:rsid w:val="008E5682"/>
    <w:rsid w:val="008F10FE"/>
    <w:rsid w:val="00902A45"/>
    <w:rsid w:val="009067E6"/>
    <w:rsid w:val="0090735A"/>
    <w:rsid w:val="00913919"/>
    <w:rsid w:val="00920EAA"/>
    <w:rsid w:val="00925459"/>
    <w:rsid w:val="00927DC8"/>
    <w:rsid w:val="0094354F"/>
    <w:rsid w:val="00952282"/>
    <w:rsid w:val="00963C97"/>
    <w:rsid w:val="0099150D"/>
    <w:rsid w:val="00994753"/>
    <w:rsid w:val="00997B92"/>
    <w:rsid w:val="009D4D69"/>
    <w:rsid w:val="009E6347"/>
    <w:rsid w:val="009E6FAB"/>
    <w:rsid w:val="00A03FCA"/>
    <w:rsid w:val="00A043B0"/>
    <w:rsid w:val="00A44C6A"/>
    <w:rsid w:val="00A45573"/>
    <w:rsid w:val="00A822BA"/>
    <w:rsid w:val="00A92167"/>
    <w:rsid w:val="00AD46A5"/>
    <w:rsid w:val="00B07193"/>
    <w:rsid w:val="00B35AD0"/>
    <w:rsid w:val="00B44EEB"/>
    <w:rsid w:val="00B576E5"/>
    <w:rsid w:val="00B6655E"/>
    <w:rsid w:val="00B67A90"/>
    <w:rsid w:val="00B70B22"/>
    <w:rsid w:val="00B97733"/>
    <w:rsid w:val="00BA4510"/>
    <w:rsid w:val="00BB37B9"/>
    <w:rsid w:val="00BC1538"/>
    <w:rsid w:val="00BE0A45"/>
    <w:rsid w:val="00C21234"/>
    <w:rsid w:val="00C26D2E"/>
    <w:rsid w:val="00C31764"/>
    <w:rsid w:val="00C324D0"/>
    <w:rsid w:val="00C44659"/>
    <w:rsid w:val="00C6554F"/>
    <w:rsid w:val="00C70011"/>
    <w:rsid w:val="00C72F37"/>
    <w:rsid w:val="00C80CA4"/>
    <w:rsid w:val="00C819A7"/>
    <w:rsid w:val="00CA1116"/>
    <w:rsid w:val="00CB11B2"/>
    <w:rsid w:val="00CB6659"/>
    <w:rsid w:val="00CD16D4"/>
    <w:rsid w:val="00CE38FF"/>
    <w:rsid w:val="00D200CF"/>
    <w:rsid w:val="00D44E8F"/>
    <w:rsid w:val="00D677F2"/>
    <w:rsid w:val="00D94831"/>
    <w:rsid w:val="00DE5787"/>
    <w:rsid w:val="00DF65B5"/>
    <w:rsid w:val="00E22AC1"/>
    <w:rsid w:val="00E31BE7"/>
    <w:rsid w:val="00E35EA5"/>
    <w:rsid w:val="00EA2BBA"/>
    <w:rsid w:val="00ED3B0C"/>
    <w:rsid w:val="00ED5A8D"/>
    <w:rsid w:val="00EE5324"/>
    <w:rsid w:val="00F06A83"/>
    <w:rsid w:val="00F13CB3"/>
    <w:rsid w:val="00F15739"/>
    <w:rsid w:val="00F31128"/>
    <w:rsid w:val="00F31535"/>
    <w:rsid w:val="00F351C8"/>
    <w:rsid w:val="00F43EC1"/>
    <w:rsid w:val="00F74B70"/>
    <w:rsid w:val="00F9548A"/>
    <w:rsid w:val="00FC7450"/>
    <w:rsid w:val="00FE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B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B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B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4CC0F-6A48-474B-9176-4ED51EF1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26</cp:revision>
  <cp:lastPrinted>2011-01-04T02:19:00Z</cp:lastPrinted>
  <dcterms:created xsi:type="dcterms:W3CDTF">2011-08-29T21:31:00Z</dcterms:created>
  <dcterms:modified xsi:type="dcterms:W3CDTF">2011-11-07T21:19:00Z</dcterms:modified>
</cp:coreProperties>
</file>