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2935E4">
              <w:rPr>
                <w:iCs/>
                <w:szCs w:val="16"/>
              </w:rPr>
              <w:t>1</w:t>
            </w:r>
            <w:r>
              <w:rPr>
                <w:iCs/>
                <w:szCs w:val="16"/>
              </w:rPr>
              <w:t xml:space="preserve"> of </w:t>
            </w:r>
            <w:r w:rsidR="002935E4">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Assess</w:t>
            </w:r>
            <w:r w:rsidRPr="00292D53">
              <w:rPr>
                <w:iCs/>
                <w:szCs w:val="16"/>
                <w:shd w:val="clear" w:color="auto" w:fill="FFFFFF" w:themeFill="background1"/>
              </w:rPr>
              <w:t>ment Information from Special Publication 800-53A Rev. 1 (June 2010)</w:t>
            </w:r>
          </w:p>
        </w:tc>
      </w:tr>
      <w:tr w:rsidR="002935E4" w:rsidRPr="00D54FC9" w:rsidTr="00F15739">
        <w:trPr>
          <w:cantSplit/>
        </w:trPr>
        <w:tc>
          <w:tcPr>
            <w:tcW w:w="1166" w:type="dxa"/>
            <w:shd w:val="clear" w:color="auto" w:fill="A6A6A6" w:themeFill="background1" w:themeFillShade="A6"/>
          </w:tcPr>
          <w:p w:rsidR="002935E4" w:rsidRPr="00D10606" w:rsidRDefault="002935E4" w:rsidP="003B08F2">
            <w:pPr>
              <w:spacing w:before="120" w:after="120"/>
              <w:rPr>
                <w:rFonts w:ascii="Arial" w:hAnsi="Arial" w:cs="Arial"/>
                <w:b/>
                <w:iCs/>
                <w:sz w:val="16"/>
                <w:szCs w:val="16"/>
              </w:rPr>
            </w:pPr>
            <w:r w:rsidRPr="00D10606">
              <w:rPr>
                <w:rFonts w:ascii="Arial" w:hAnsi="Arial" w:cs="Arial"/>
                <w:b/>
                <w:sz w:val="16"/>
                <w:szCs w:val="16"/>
              </w:rPr>
              <w:t xml:space="preserve">PL-4     </w:t>
            </w:r>
          </w:p>
        </w:tc>
        <w:tc>
          <w:tcPr>
            <w:tcW w:w="7474" w:type="dxa"/>
            <w:gridSpan w:val="2"/>
            <w:shd w:val="clear" w:color="auto" w:fill="A6A6A6" w:themeFill="background1" w:themeFillShade="A6"/>
          </w:tcPr>
          <w:p w:rsidR="002935E4" w:rsidRPr="00D10606" w:rsidRDefault="002935E4" w:rsidP="003B08F2">
            <w:pPr>
              <w:pStyle w:val="control-name"/>
              <w:spacing w:before="120"/>
              <w:rPr>
                <w:highlight w:val="yellow"/>
              </w:rPr>
            </w:pPr>
            <w:r w:rsidRPr="00CE0031">
              <w:t>RULES OF BEHAVIOR</w:t>
            </w:r>
          </w:p>
        </w:tc>
      </w:tr>
      <w:tr w:rsidR="002935E4" w:rsidRPr="00D54FC9" w:rsidTr="00F351C8">
        <w:trPr>
          <w:cantSplit/>
        </w:trPr>
        <w:tc>
          <w:tcPr>
            <w:tcW w:w="1166" w:type="dxa"/>
          </w:tcPr>
          <w:p w:rsidR="00292D53" w:rsidRDefault="00292D53" w:rsidP="003B08F2">
            <w:pPr>
              <w:spacing w:before="120" w:after="120"/>
              <w:rPr>
                <w:rFonts w:ascii="Arial" w:hAnsi="Arial" w:cs="Arial"/>
                <w:b/>
                <w:iCs/>
                <w:sz w:val="16"/>
                <w:szCs w:val="16"/>
              </w:rPr>
            </w:pPr>
          </w:p>
          <w:p w:rsidR="002935E4" w:rsidRDefault="002935E4" w:rsidP="003B08F2">
            <w:pPr>
              <w:spacing w:before="120" w:after="120"/>
              <w:rPr>
                <w:rFonts w:ascii="Arial" w:hAnsi="Arial" w:cs="Arial"/>
                <w:b/>
                <w:iCs/>
                <w:sz w:val="16"/>
                <w:szCs w:val="16"/>
              </w:rPr>
            </w:pPr>
            <w:r w:rsidRPr="00D10606">
              <w:rPr>
                <w:rFonts w:ascii="Arial" w:hAnsi="Arial" w:cs="Arial"/>
                <w:b/>
                <w:iCs/>
                <w:sz w:val="16"/>
                <w:szCs w:val="16"/>
              </w:rPr>
              <w:t>PL-4.1</w:t>
            </w:r>
          </w:p>
          <w:p w:rsidR="002935E4" w:rsidRDefault="002935E4" w:rsidP="003B08F2">
            <w:pPr>
              <w:spacing w:before="120" w:after="120"/>
              <w:rPr>
                <w:rFonts w:ascii="Arial" w:hAnsi="Arial" w:cs="Arial"/>
                <w:b/>
                <w:iCs/>
                <w:sz w:val="16"/>
                <w:szCs w:val="16"/>
              </w:rPr>
            </w:pPr>
            <w:r w:rsidRPr="00D10606">
              <w:rPr>
                <w:rFonts w:ascii="Arial" w:hAnsi="Arial" w:cs="Arial"/>
                <w:b/>
                <w:iCs/>
                <w:sz w:val="16"/>
                <w:szCs w:val="16"/>
              </w:rPr>
              <w:t>PL-4.1</w:t>
            </w:r>
            <w:r>
              <w:rPr>
                <w:rFonts w:ascii="Arial" w:hAnsi="Arial" w:cs="Arial"/>
                <w:b/>
                <w:iCs/>
                <w:sz w:val="16"/>
                <w:szCs w:val="16"/>
              </w:rPr>
              <w:t>.1</w:t>
            </w:r>
          </w:p>
          <w:p w:rsidR="002935E4" w:rsidRDefault="002935E4" w:rsidP="003B08F2">
            <w:pPr>
              <w:spacing w:before="120" w:after="120" w:line="360" w:lineRule="auto"/>
              <w:rPr>
                <w:rFonts w:ascii="Arial" w:hAnsi="Arial" w:cs="Arial"/>
                <w:b/>
                <w:iCs/>
                <w:sz w:val="16"/>
                <w:szCs w:val="16"/>
              </w:rPr>
            </w:pPr>
          </w:p>
          <w:p w:rsidR="002935E4" w:rsidRDefault="002935E4" w:rsidP="003B08F2">
            <w:pPr>
              <w:spacing w:before="120" w:after="120"/>
              <w:rPr>
                <w:rFonts w:ascii="Arial" w:hAnsi="Arial" w:cs="Arial"/>
                <w:b/>
                <w:iCs/>
                <w:sz w:val="16"/>
                <w:szCs w:val="16"/>
              </w:rPr>
            </w:pPr>
            <w:r w:rsidRPr="00D10606">
              <w:rPr>
                <w:rFonts w:ascii="Arial" w:hAnsi="Arial" w:cs="Arial"/>
                <w:b/>
                <w:iCs/>
                <w:sz w:val="16"/>
                <w:szCs w:val="16"/>
              </w:rPr>
              <w:t>PL-4.1</w:t>
            </w:r>
            <w:r>
              <w:rPr>
                <w:rFonts w:ascii="Arial" w:hAnsi="Arial" w:cs="Arial"/>
                <w:b/>
                <w:iCs/>
                <w:sz w:val="16"/>
                <w:szCs w:val="16"/>
              </w:rPr>
              <w:t>.2</w:t>
            </w:r>
          </w:p>
          <w:p w:rsidR="002935E4" w:rsidRPr="00D10606" w:rsidRDefault="002935E4" w:rsidP="003B08F2">
            <w:pPr>
              <w:spacing w:before="120" w:after="120"/>
              <w:rPr>
                <w:rFonts w:ascii="Arial" w:hAnsi="Arial" w:cs="Arial"/>
                <w:b/>
                <w:sz w:val="16"/>
                <w:szCs w:val="16"/>
              </w:rPr>
            </w:pPr>
            <w:r w:rsidRPr="00D10606">
              <w:rPr>
                <w:rFonts w:ascii="Arial" w:hAnsi="Arial" w:cs="Arial"/>
                <w:b/>
                <w:iCs/>
                <w:sz w:val="16"/>
                <w:szCs w:val="16"/>
              </w:rPr>
              <w:t>PL-4.1</w:t>
            </w:r>
            <w:r>
              <w:rPr>
                <w:rFonts w:ascii="Arial" w:hAnsi="Arial" w:cs="Arial"/>
                <w:b/>
                <w:iCs/>
                <w:sz w:val="16"/>
                <w:szCs w:val="16"/>
              </w:rPr>
              <w:t>.3</w:t>
            </w:r>
          </w:p>
        </w:tc>
        <w:tc>
          <w:tcPr>
            <w:tcW w:w="7474" w:type="dxa"/>
            <w:gridSpan w:val="2"/>
          </w:tcPr>
          <w:p w:rsidR="002935E4" w:rsidRPr="00D10606" w:rsidRDefault="002935E4" w:rsidP="003B08F2">
            <w:pPr>
              <w:autoSpaceDE w:val="0"/>
              <w:autoSpaceDN w:val="0"/>
              <w:adjustRightInd w:val="0"/>
              <w:spacing w:before="120"/>
              <w:rPr>
                <w:rFonts w:ascii="Arial Bold" w:hAnsi="Arial Bold" w:cs="Arial"/>
                <w:iCs/>
                <w:smallCaps/>
                <w:sz w:val="20"/>
                <w:szCs w:val="20"/>
              </w:rPr>
            </w:pPr>
            <w:r w:rsidRPr="00D10606">
              <w:rPr>
                <w:rFonts w:ascii="Arial Bold" w:hAnsi="Arial Bold" w:cs="Arial"/>
                <w:b/>
                <w:iCs/>
                <w:sz w:val="16"/>
                <w:szCs w:val="16"/>
              </w:rPr>
              <w:t>ASSESSMENT OBJECTIVE:</w:t>
            </w:r>
          </w:p>
          <w:p w:rsidR="002935E4" w:rsidRPr="00D10606" w:rsidRDefault="002935E4" w:rsidP="003B08F2">
            <w:pPr>
              <w:autoSpaceDE w:val="0"/>
              <w:autoSpaceDN w:val="0"/>
              <w:adjustRightInd w:val="0"/>
              <w:spacing w:before="60" w:after="60"/>
              <w:rPr>
                <w:i/>
                <w:sz w:val="20"/>
                <w:szCs w:val="20"/>
              </w:rPr>
            </w:pPr>
            <w:r w:rsidRPr="00D10606">
              <w:rPr>
                <w:i/>
                <w:sz w:val="20"/>
                <w:szCs w:val="20"/>
              </w:rPr>
              <w:t>Determine if:</w:t>
            </w:r>
          </w:p>
          <w:p w:rsidR="002935E4" w:rsidRPr="00D10606" w:rsidRDefault="002935E4" w:rsidP="002935E4">
            <w:pPr>
              <w:numPr>
                <w:ilvl w:val="0"/>
                <w:numId w:val="8"/>
              </w:numPr>
              <w:autoSpaceDE w:val="0"/>
              <w:autoSpaceDN w:val="0"/>
              <w:adjustRightInd w:val="0"/>
              <w:spacing w:before="60" w:after="60"/>
              <w:rPr>
                <w:i/>
                <w:sz w:val="20"/>
                <w:szCs w:val="20"/>
              </w:rPr>
            </w:pPr>
            <w:r w:rsidRPr="00D10606">
              <w:rPr>
                <w:i/>
                <w:iCs/>
                <w:sz w:val="20"/>
                <w:szCs w:val="20"/>
              </w:rPr>
              <w:t>the organization establishes the rules that describe information system user responsibilities and expected behavior with regard to information and information system usage;</w:t>
            </w:r>
          </w:p>
          <w:p w:rsidR="002935E4" w:rsidRPr="00D10606" w:rsidRDefault="002935E4" w:rsidP="002935E4">
            <w:pPr>
              <w:numPr>
                <w:ilvl w:val="0"/>
                <w:numId w:val="8"/>
              </w:numPr>
              <w:autoSpaceDE w:val="0"/>
              <w:autoSpaceDN w:val="0"/>
              <w:adjustRightInd w:val="0"/>
              <w:spacing w:before="60" w:after="60"/>
              <w:rPr>
                <w:i/>
                <w:sz w:val="20"/>
                <w:szCs w:val="20"/>
              </w:rPr>
            </w:pPr>
            <w:r w:rsidRPr="00D10606">
              <w:rPr>
                <w:i/>
                <w:sz w:val="20"/>
                <w:szCs w:val="20"/>
              </w:rPr>
              <w:t>the organization makes the rules available to all information system users; and</w:t>
            </w:r>
          </w:p>
          <w:p w:rsidR="002935E4" w:rsidRPr="00D10606" w:rsidRDefault="002935E4" w:rsidP="002935E4">
            <w:pPr>
              <w:numPr>
                <w:ilvl w:val="0"/>
                <w:numId w:val="8"/>
              </w:numPr>
              <w:autoSpaceDE w:val="0"/>
              <w:autoSpaceDN w:val="0"/>
              <w:adjustRightInd w:val="0"/>
              <w:spacing w:before="60" w:after="60"/>
              <w:rPr>
                <w:i/>
                <w:sz w:val="20"/>
                <w:szCs w:val="20"/>
              </w:rPr>
            </w:pPr>
            <w:proofErr w:type="gramStart"/>
            <w:r w:rsidRPr="00D10606">
              <w:rPr>
                <w:i/>
                <w:iCs/>
                <w:sz w:val="20"/>
                <w:szCs w:val="20"/>
              </w:rPr>
              <w:t>t</w:t>
            </w:r>
            <w:r w:rsidRPr="00D10606">
              <w:rPr>
                <w:i/>
                <w:sz w:val="20"/>
                <w:szCs w:val="20"/>
              </w:rPr>
              <w:t>he</w:t>
            </w:r>
            <w:proofErr w:type="gramEnd"/>
            <w:r w:rsidRPr="00D10606">
              <w:rPr>
                <w:i/>
                <w:sz w:val="20"/>
                <w:szCs w:val="20"/>
              </w:rPr>
              <w:t xml:space="preserve"> organization receives a signed acknowledgement from users indicating that they have read, understand, and agree to abide by the rules of behavior, before authorizing access to information and the information system.</w:t>
            </w:r>
          </w:p>
          <w:p w:rsidR="002935E4" w:rsidRPr="00D10606" w:rsidRDefault="002935E4" w:rsidP="003B08F2">
            <w:pPr>
              <w:autoSpaceDE w:val="0"/>
              <w:autoSpaceDN w:val="0"/>
              <w:adjustRightInd w:val="0"/>
              <w:spacing w:before="120"/>
              <w:rPr>
                <w:rFonts w:ascii="Arial Bold" w:hAnsi="Arial Bold" w:cs="Arial"/>
                <w:iCs/>
                <w:smallCaps/>
                <w:sz w:val="20"/>
                <w:szCs w:val="20"/>
              </w:rPr>
            </w:pPr>
            <w:r w:rsidRPr="00D10606">
              <w:rPr>
                <w:rFonts w:ascii="Arial Bold" w:hAnsi="Arial Bold" w:cs="Arial"/>
                <w:b/>
                <w:iCs/>
                <w:sz w:val="16"/>
                <w:szCs w:val="16"/>
              </w:rPr>
              <w:t>POTENTIAL ASSESSMENT METHODS AND OBJECTS:</w:t>
            </w:r>
          </w:p>
          <w:p w:rsidR="002935E4" w:rsidRPr="00D10606" w:rsidRDefault="002935E4" w:rsidP="003B08F2">
            <w:pPr>
              <w:spacing w:before="60" w:after="60"/>
              <w:ind w:left="749" w:hanging="749"/>
              <w:rPr>
                <w:rFonts w:ascii="Arial" w:hAnsi="Arial" w:cs="Arial"/>
                <w:iCs/>
                <w:sz w:val="16"/>
                <w:szCs w:val="16"/>
              </w:rPr>
            </w:pPr>
            <w:r w:rsidRPr="00D10606">
              <w:rPr>
                <w:rFonts w:ascii="Arial" w:hAnsi="Arial" w:cs="Arial"/>
                <w:b/>
                <w:bCs/>
                <w:iCs/>
                <w:sz w:val="16"/>
                <w:szCs w:val="16"/>
              </w:rPr>
              <w:t>Examine</w:t>
            </w:r>
            <w:r w:rsidRPr="00D10606">
              <w:rPr>
                <w:rFonts w:ascii="Arial" w:hAnsi="Arial" w:cs="Arial"/>
                <w:bCs/>
                <w:iCs/>
                <w:sz w:val="16"/>
                <w:szCs w:val="16"/>
              </w:rPr>
              <w:t>: [</w:t>
            </w:r>
            <w:r w:rsidRPr="00D10606">
              <w:rPr>
                <w:rFonts w:ascii="Arial" w:hAnsi="Arial" w:cs="Arial"/>
                <w:bCs/>
                <w:i/>
                <w:iCs/>
                <w:smallCaps/>
                <w:sz w:val="16"/>
                <w:szCs w:val="16"/>
              </w:rPr>
              <w:t>select from:</w:t>
            </w:r>
            <w:r w:rsidRPr="00D10606">
              <w:rPr>
                <w:rFonts w:ascii="Arial" w:hAnsi="Arial" w:cs="Arial"/>
                <w:bCs/>
                <w:iCs/>
                <w:sz w:val="16"/>
                <w:szCs w:val="16"/>
              </w:rPr>
              <w:t xml:space="preserve"> </w:t>
            </w:r>
            <w:r w:rsidRPr="00D10606">
              <w:rPr>
                <w:rFonts w:ascii="Arial" w:hAnsi="Arial" w:cs="Arial"/>
                <w:iCs/>
                <w:sz w:val="16"/>
                <w:szCs w:val="16"/>
              </w:rPr>
              <w:t>Security planning policy; procedures addressing rules of behavior for information system users; rules of behavior; other relevant documents or records].</w:t>
            </w:r>
          </w:p>
          <w:p w:rsidR="002935E4" w:rsidRPr="00D10606" w:rsidRDefault="002935E4" w:rsidP="003B08F2">
            <w:pPr>
              <w:spacing w:before="60" w:after="120"/>
              <w:ind w:left="792" w:hanging="792"/>
              <w:rPr>
                <w:rFonts w:ascii="Arial Narrow" w:hAnsi="Arial Narrow"/>
                <w:highlight w:val="yellow"/>
              </w:rPr>
            </w:pPr>
            <w:r w:rsidRPr="00D10606">
              <w:rPr>
                <w:rFonts w:ascii="Arial" w:hAnsi="Arial" w:cs="Arial"/>
                <w:b/>
                <w:bCs/>
                <w:iCs/>
                <w:sz w:val="16"/>
                <w:szCs w:val="16"/>
              </w:rPr>
              <w:t>Interview</w:t>
            </w:r>
            <w:r w:rsidRPr="00D10606">
              <w:rPr>
                <w:rFonts w:ascii="Arial" w:hAnsi="Arial" w:cs="Arial"/>
                <w:bCs/>
                <w:iCs/>
                <w:sz w:val="16"/>
                <w:szCs w:val="16"/>
              </w:rPr>
              <w:t>: [</w:t>
            </w:r>
            <w:r w:rsidRPr="00D10606">
              <w:rPr>
                <w:rFonts w:ascii="Arial" w:hAnsi="Arial" w:cs="Arial"/>
                <w:bCs/>
                <w:i/>
                <w:iCs/>
                <w:smallCaps/>
                <w:sz w:val="16"/>
                <w:szCs w:val="16"/>
              </w:rPr>
              <w:t>select from:</w:t>
            </w:r>
            <w:r w:rsidRPr="00D10606">
              <w:rPr>
                <w:rFonts w:ascii="Arial" w:hAnsi="Arial" w:cs="Arial"/>
                <w:bCs/>
                <w:iCs/>
                <w:sz w:val="16"/>
                <w:szCs w:val="16"/>
              </w:rPr>
              <w:t xml:space="preserve"> </w:t>
            </w:r>
            <w:r w:rsidRPr="00D10606">
              <w:rPr>
                <w:rFonts w:ascii="Arial" w:hAnsi="Arial" w:cs="Arial"/>
                <w:iCs/>
                <w:sz w:val="16"/>
                <w:szCs w:val="16"/>
              </w:rPr>
              <w:t>Organizational personnel who are authorized users of the information system and have signed rules of behavior].</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9F3730">
              <w:rPr>
                <w:rFonts w:ascii="Arial" w:hAnsi="Arial" w:cs="Arial"/>
                <w:iCs/>
                <w:smallCaps/>
                <w:sz w:val="16"/>
                <w:szCs w:val="16"/>
              </w:rPr>
              <w:t>None</w:t>
            </w:r>
          </w:p>
          <w:p w:rsidR="00E22AC1" w:rsidRDefault="00C70011" w:rsidP="00005197">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AD6666">
              <w:rPr>
                <w:rFonts w:ascii="Arial" w:hAnsi="Arial" w:cs="Arial"/>
                <w:iCs/>
                <w:smallCaps/>
                <w:sz w:val="16"/>
                <w:szCs w:val="16"/>
              </w:rPr>
              <w:t xml:space="preserve">AC-8, AC-20, CA-3, IA-4, PL-2, </w:t>
            </w:r>
            <w:r w:rsidR="00B23549">
              <w:rPr>
                <w:rFonts w:ascii="Arial" w:hAnsi="Arial" w:cs="Arial"/>
                <w:iCs/>
                <w:smallCaps/>
                <w:sz w:val="16"/>
                <w:szCs w:val="16"/>
              </w:rPr>
              <w:t>PS-6, PS-8,</w:t>
            </w:r>
            <w:r w:rsidR="009F3730">
              <w:rPr>
                <w:rFonts w:ascii="Arial" w:hAnsi="Arial" w:cs="Arial"/>
                <w:iCs/>
                <w:smallCaps/>
                <w:sz w:val="16"/>
                <w:szCs w:val="16"/>
              </w:rPr>
              <w:t xml:space="preserve"> </w:t>
            </w:r>
            <w:r w:rsidR="00806DF9">
              <w:rPr>
                <w:rFonts w:ascii="Arial" w:hAnsi="Arial" w:cs="Arial"/>
                <w:iCs/>
                <w:smallCaps/>
                <w:sz w:val="16"/>
                <w:szCs w:val="16"/>
              </w:rPr>
              <w:t>SA-5, SA-7</w:t>
            </w:r>
            <w:r w:rsidR="00AD6666">
              <w:rPr>
                <w:rFonts w:ascii="Arial" w:hAnsi="Arial" w:cs="Arial"/>
                <w:iCs/>
                <w:smallCaps/>
                <w:sz w:val="16"/>
                <w:szCs w:val="16"/>
              </w:rPr>
              <w:t>, SA-9</w:t>
            </w:r>
          </w:p>
          <w:p w:rsidR="00C70011" w:rsidRPr="005073C2" w:rsidRDefault="00C70011" w:rsidP="009F3730">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9F3730">
              <w:rPr>
                <w:rFonts w:ascii="Arial" w:hAnsi="Arial" w:cs="Arial"/>
                <w:iCs/>
                <w:smallCaps/>
                <w:sz w:val="16"/>
                <w:szCs w:val="16"/>
              </w:rPr>
              <w:t>None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292D53"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292D53" w:rsidRPr="005073C2" w:rsidTr="00F351C8">
        <w:trPr>
          <w:cantSplit/>
        </w:trPr>
        <w:tc>
          <w:tcPr>
            <w:tcW w:w="1530" w:type="dxa"/>
            <w:gridSpan w:val="2"/>
          </w:tcPr>
          <w:p w:rsidR="00292D53" w:rsidRPr="005073C2" w:rsidRDefault="00292D53" w:rsidP="00005197">
            <w:pPr>
              <w:spacing w:before="60" w:after="60"/>
              <w:rPr>
                <w:rFonts w:ascii="Arial" w:hAnsi="Arial" w:cs="Arial"/>
                <w:b/>
                <w:iCs/>
                <w:sz w:val="16"/>
                <w:szCs w:val="16"/>
              </w:rPr>
            </w:pPr>
          </w:p>
        </w:tc>
        <w:tc>
          <w:tcPr>
            <w:tcW w:w="7110" w:type="dxa"/>
          </w:tcPr>
          <w:p w:rsidR="00292D53" w:rsidRDefault="00292D53"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292D53" w:rsidRDefault="00292D53" w:rsidP="00292D53">
            <w:pPr>
              <w:pStyle w:val="ListParagraph"/>
              <w:numPr>
                <w:ilvl w:val="0"/>
                <w:numId w:val="11"/>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292D53" w:rsidRPr="005C5B9C" w:rsidRDefault="00292D53" w:rsidP="00292D53">
            <w:pPr>
              <w:pStyle w:val="ListParagraph"/>
              <w:numPr>
                <w:ilvl w:val="0"/>
                <w:numId w:val="11"/>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292D53" w:rsidRPr="005C5B9C" w:rsidRDefault="00292D53" w:rsidP="00292D53">
            <w:pPr>
              <w:pStyle w:val="ListParagraph"/>
              <w:numPr>
                <w:ilvl w:val="0"/>
                <w:numId w:val="11"/>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C72F37" w:rsidRPr="005073C2" w:rsidTr="00F351C8">
        <w:trPr>
          <w:cantSplit/>
        </w:trPr>
        <w:tc>
          <w:tcPr>
            <w:tcW w:w="1530" w:type="dxa"/>
            <w:gridSpan w:val="2"/>
          </w:tcPr>
          <w:p w:rsidR="009B54BC" w:rsidRDefault="009B54BC" w:rsidP="009B54BC">
            <w:pPr>
              <w:spacing w:before="120" w:after="120"/>
              <w:rPr>
                <w:rFonts w:ascii="Arial" w:hAnsi="Arial" w:cs="Arial"/>
                <w:b/>
                <w:iCs/>
                <w:sz w:val="16"/>
                <w:szCs w:val="16"/>
              </w:rPr>
            </w:pPr>
            <w:r w:rsidRPr="00D10606">
              <w:rPr>
                <w:rFonts w:ascii="Arial" w:hAnsi="Arial" w:cs="Arial"/>
                <w:b/>
                <w:iCs/>
                <w:sz w:val="16"/>
                <w:szCs w:val="16"/>
              </w:rPr>
              <w:t>PL-4.1</w:t>
            </w:r>
            <w:r>
              <w:rPr>
                <w:rFonts w:ascii="Arial" w:hAnsi="Arial" w:cs="Arial"/>
                <w:b/>
                <w:iCs/>
                <w:sz w:val="16"/>
                <w:szCs w:val="16"/>
              </w:rPr>
              <w:t>.1.1</w:t>
            </w:r>
          </w:p>
          <w:p w:rsidR="00C72F37" w:rsidRPr="002F5405" w:rsidRDefault="00C72F37" w:rsidP="00005197">
            <w:pPr>
              <w:spacing w:before="60" w:after="60"/>
              <w:rPr>
                <w:rFonts w:ascii="Arial" w:hAnsi="Arial" w:cs="Arial"/>
                <w:b/>
                <w:iCs/>
                <w:sz w:val="16"/>
                <w:szCs w:val="16"/>
                <w:highlight w:val="yellow"/>
              </w:rPr>
            </w:pPr>
          </w:p>
        </w:tc>
        <w:tc>
          <w:tcPr>
            <w:tcW w:w="7110" w:type="dxa"/>
          </w:tcPr>
          <w:p w:rsidR="00C72F37" w:rsidRPr="002F5405" w:rsidRDefault="009B54BC" w:rsidP="00845FB1">
            <w:pPr>
              <w:autoSpaceDE w:val="0"/>
              <w:autoSpaceDN w:val="0"/>
              <w:adjustRightInd w:val="0"/>
              <w:spacing w:before="60" w:after="60"/>
              <w:rPr>
                <w:b/>
                <w:i/>
                <w:iCs/>
                <w:sz w:val="18"/>
                <w:szCs w:val="18"/>
                <w:highlight w:val="yellow"/>
              </w:rPr>
            </w:pPr>
            <w:r w:rsidRPr="00DC0155">
              <w:rPr>
                <w:b/>
                <w:iCs/>
                <w:sz w:val="18"/>
                <w:szCs w:val="18"/>
              </w:rPr>
              <w:t xml:space="preserve">Examine </w:t>
            </w:r>
            <w:r w:rsidR="00845FB1">
              <w:rPr>
                <w:iCs/>
                <w:sz w:val="18"/>
                <w:szCs w:val="18"/>
              </w:rPr>
              <w:t>security planning policy, procedures addressing rules of behavior, rules of behavior, security plan, or other relevant documents</w:t>
            </w:r>
            <w:r w:rsidRPr="00F826E2">
              <w:rPr>
                <w:iCs/>
                <w:sz w:val="18"/>
                <w:szCs w:val="18"/>
              </w:rPr>
              <w:t>; [</w:t>
            </w:r>
            <w:r w:rsidRPr="00F826E2">
              <w:rPr>
                <w:i/>
                <w:iCs/>
                <w:sz w:val="18"/>
                <w:szCs w:val="18"/>
              </w:rPr>
              <w:t>reviewing</w:t>
            </w:r>
            <w:r w:rsidRPr="00F826E2">
              <w:rPr>
                <w:iCs/>
                <w:sz w:val="18"/>
                <w:szCs w:val="18"/>
              </w:rPr>
              <w:t xml:space="preserve">] for </w:t>
            </w:r>
            <w:r>
              <w:rPr>
                <w:iCs/>
                <w:sz w:val="18"/>
                <w:szCs w:val="18"/>
              </w:rPr>
              <w:t xml:space="preserve">the rules that describe information system user responsibilities and expected behavior with regard to information and information system usage.  </w:t>
            </w:r>
          </w:p>
        </w:tc>
      </w:tr>
      <w:tr w:rsidR="00292D53" w:rsidRPr="005073C2" w:rsidTr="00292D53">
        <w:trPr>
          <w:cantSplit/>
        </w:trPr>
        <w:tc>
          <w:tcPr>
            <w:tcW w:w="1530" w:type="dxa"/>
            <w:gridSpan w:val="2"/>
            <w:shd w:val="clear" w:color="auto" w:fill="F2F2F2" w:themeFill="background1" w:themeFillShade="F2"/>
          </w:tcPr>
          <w:p w:rsidR="00292D53" w:rsidRDefault="00292D53" w:rsidP="00002B5B">
            <w:pPr>
              <w:spacing w:line="120" w:lineRule="auto"/>
              <w:rPr>
                <w:rFonts w:ascii="Arial" w:hAnsi="Arial" w:cs="Arial"/>
                <w:b/>
                <w:iCs/>
                <w:sz w:val="16"/>
                <w:szCs w:val="16"/>
              </w:rPr>
            </w:pPr>
          </w:p>
        </w:tc>
        <w:tc>
          <w:tcPr>
            <w:tcW w:w="7110" w:type="dxa"/>
            <w:shd w:val="clear" w:color="auto" w:fill="F2F2F2" w:themeFill="background1" w:themeFillShade="F2"/>
          </w:tcPr>
          <w:p w:rsidR="00292D53" w:rsidRPr="008D7BED" w:rsidRDefault="00292D53" w:rsidP="00002B5B">
            <w:pPr>
              <w:autoSpaceDE w:val="0"/>
              <w:autoSpaceDN w:val="0"/>
              <w:adjustRightInd w:val="0"/>
              <w:spacing w:line="120" w:lineRule="auto"/>
              <w:rPr>
                <w:b/>
                <w:iCs/>
                <w:sz w:val="18"/>
                <w:szCs w:val="18"/>
              </w:rPr>
            </w:pPr>
          </w:p>
        </w:tc>
      </w:tr>
      <w:tr w:rsidR="002519B9" w:rsidRPr="005073C2" w:rsidTr="00F351C8">
        <w:trPr>
          <w:cantSplit/>
        </w:trPr>
        <w:tc>
          <w:tcPr>
            <w:tcW w:w="1530" w:type="dxa"/>
            <w:gridSpan w:val="2"/>
          </w:tcPr>
          <w:p w:rsidR="002519B9" w:rsidRPr="00D10606" w:rsidRDefault="002519B9" w:rsidP="009B54BC">
            <w:pPr>
              <w:spacing w:before="120" w:after="120"/>
              <w:rPr>
                <w:rFonts w:ascii="Arial" w:hAnsi="Arial" w:cs="Arial"/>
                <w:b/>
                <w:iCs/>
                <w:sz w:val="16"/>
                <w:szCs w:val="16"/>
              </w:rPr>
            </w:pPr>
            <w:r w:rsidRPr="00D10606">
              <w:rPr>
                <w:rFonts w:ascii="Arial" w:hAnsi="Arial" w:cs="Arial"/>
                <w:b/>
                <w:iCs/>
                <w:sz w:val="16"/>
                <w:szCs w:val="16"/>
              </w:rPr>
              <w:t>PL-4.1</w:t>
            </w:r>
            <w:r>
              <w:rPr>
                <w:rFonts w:ascii="Arial" w:hAnsi="Arial" w:cs="Arial"/>
                <w:b/>
                <w:iCs/>
                <w:sz w:val="16"/>
                <w:szCs w:val="16"/>
              </w:rPr>
              <w:t>.2.1</w:t>
            </w:r>
          </w:p>
        </w:tc>
        <w:tc>
          <w:tcPr>
            <w:tcW w:w="7110" w:type="dxa"/>
          </w:tcPr>
          <w:p w:rsidR="002519B9" w:rsidRPr="00DC0155" w:rsidRDefault="00CC24E3" w:rsidP="00CC24E3">
            <w:pPr>
              <w:autoSpaceDE w:val="0"/>
              <w:autoSpaceDN w:val="0"/>
              <w:adjustRightInd w:val="0"/>
              <w:spacing w:before="60" w:after="60"/>
              <w:rPr>
                <w:b/>
                <w:iCs/>
                <w:sz w:val="18"/>
                <w:szCs w:val="18"/>
              </w:rPr>
            </w:pPr>
            <w:r>
              <w:rPr>
                <w:rFonts w:cs="Arial"/>
                <w:b/>
                <w:iCs/>
                <w:sz w:val="18"/>
                <w:szCs w:val="18"/>
              </w:rPr>
              <w:t>Interview</w:t>
            </w:r>
            <w:r>
              <w:rPr>
                <w:rFonts w:cs="Arial"/>
                <w:iCs/>
                <w:sz w:val="18"/>
                <w:szCs w:val="18"/>
              </w:rPr>
              <w:t xml:space="preserve"> an agreed-upon [</w:t>
            </w:r>
            <w:r w:rsidRPr="00CC24E3">
              <w:rPr>
                <w:rFonts w:cs="Arial"/>
                <w:i/>
                <w:iCs/>
                <w:sz w:val="18"/>
                <w:szCs w:val="18"/>
              </w:rPr>
              <w:t>basic</w:t>
            </w:r>
            <w:r>
              <w:rPr>
                <w:rFonts w:cs="Arial"/>
                <w:iCs/>
                <w:sz w:val="18"/>
                <w:szCs w:val="18"/>
              </w:rPr>
              <w:t xml:space="preserve">] sample of information system users; conducting </w:t>
            </w:r>
            <w:r w:rsidRPr="002013CA">
              <w:rPr>
                <w:iCs/>
                <w:sz w:val="18"/>
                <w:szCs w:val="18"/>
              </w:rPr>
              <w:t>[</w:t>
            </w:r>
            <w:r w:rsidRPr="002013CA">
              <w:rPr>
                <w:i/>
                <w:iCs/>
                <w:sz w:val="18"/>
                <w:szCs w:val="18"/>
              </w:rPr>
              <w:t>basic</w:t>
            </w:r>
            <w:r w:rsidRPr="002013CA">
              <w:rPr>
                <w:iCs/>
                <w:sz w:val="18"/>
                <w:szCs w:val="18"/>
              </w:rPr>
              <w:t>] discussions</w:t>
            </w:r>
            <w:r>
              <w:rPr>
                <w:rFonts w:cs="Arial"/>
                <w:iCs/>
                <w:sz w:val="18"/>
                <w:szCs w:val="18"/>
              </w:rPr>
              <w:t xml:space="preserve"> for evidence that the rules identified in PL-4.1.1.1 are available to information system users.</w:t>
            </w:r>
          </w:p>
        </w:tc>
      </w:tr>
      <w:tr w:rsidR="00292D53" w:rsidRPr="005073C2" w:rsidTr="00292D53">
        <w:trPr>
          <w:cantSplit/>
        </w:trPr>
        <w:tc>
          <w:tcPr>
            <w:tcW w:w="1530" w:type="dxa"/>
            <w:gridSpan w:val="2"/>
            <w:shd w:val="clear" w:color="auto" w:fill="F2F2F2" w:themeFill="background1" w:themeFillShade="F2"/>
          </w:tcPr>
          <w:p w:rsidR="00292D53" w:rsidRDefault="00292D53" w:rsidP="00002B5B">
            <w:pPr>
              <w:spacing w:line="120" w:lineRule="auto"/>
              <w:rPr>
                <w:rFonts w:ascii="Arial" w:hAnsi="Arial" w:cs="Arial"/>
                <w:b/>
                <w:iCs/>
                <w:sz w:val="16"/>
                <w:szCs w:val="16"/>
              </w:rPr>
            </w:pPr>
          </w:p>
        </w:tc>
        <w:tc>
          <w:tcPr>
            <w:tcW w:w="7110" w:type="dxa"/>
            <w:shd w:val="clear" w:color="auto" w:fill="F2F2F2" w:themeFill="background1" w:themeFillShade="F2"/>
          </w:tcPr>
          <w:p w:rsidR="00292D53" w:rsidRPr="008D7BED" w:rsidRDefault="00292D53" w:rsidP="00002B5B">
            <w:pPr>
              <w:autoSpaceDE w:val="0"/>
              <w:autoSpaceDN w:val="0"/>
              <w:adjustRightInd w:val="0"/>
              <w:spacing w:line="120" w:lineRule="auto"/>
              <w:rPr>
                <w:b/>
                <w:iCs/>
                <w:sz w:val="18"/>
                <w:szCs w:val="18"/>
              </w:rPr>
            </w:pPr>
          </w:p>
        </w:tc>
      </w:tr>
      <w:tr w:rsidR="009B54BC" w:rsidRPr="005073C2" w:rsidTr="00F351C8">
        <w:trPr>
          <w:cantSplit/>
        </w:trPr>
        <w:tc>
          <w:tcPr>
            <w:tcW w:w="1530" w:type="dxa"/>
            <w:gridSpan w:val="2"/>
          </w:tcPr>
          <w:p w:rsidR="009B54BC" w:rsidRPr="002F5405" w:rsidRDefault="002519B9" w:rsidP="00005197">
            <w:pPr>
              <w:spacing w:before="60" w:after="60"/>
              <w:rPr>
                <w:rFonts w:ascii="Arial" w:hAnsi="Arial" w:cs="Arial"/>
                <w:b/>
                <w:iCs/>
                <w:sz w:val="16"/>
                <w:szCs w:val="16"/>
                <w:highlight w:val="yellow"/>
              </w:rPr>
            </w:pPr>
            <w:r w:rsidRPr="00D10606">
              <w:rPr>
                <w:rFonts w:ascii="Arial" w:hAnsi="Arial" w:cs="Arial"/>
                <w:b/>
                <w:iCs/>
                <w:sz w:val="16"/>
                <w:szCs w:val="16"/>
              </w:rPr>
              <w:lastRenderedPageBreak/>
              <w:t>PL-4.1</w:t>
            </w:r>
            <w:r>
              <w:rPr>
                <w:rFonts w:ascii="Arial" w:hAnsi="Arial" w:cs="Arial"/>
                <w:b/>
                <w:iCs/>
                <w:sz w:val="16"/>
                <w:szCs w:val="16"/>
              </w:rPr>
              <w:t>.3.</w:t>
            </w:r>
            <w:r w:rsidR="00845B00">
              <w:rPr>
                <w:rFonts w:ascii="Arial" w:hAnsi="Arial" w:cs="Arial"/>
                <w:b/>
                <w:iCs/>
                <w:sz w:val="16"/>
                <w:szCs w:val="16"/>
              </w:rPr>
              <w:t>1</w:t>
            </w:r>
          </w:p>
        </w:tc>
        <w:tc>
          <w:tcPr>
            <w:tcW w:w="7110" w:type="dxa"/>
          </w:tcPr>
          <w:p w:rsidR="00450E57" w:rsidRPr="00002FAC" w:rsidRDefault="009B54BC" w:rsidP="00D50C4F">
            <w:pPr>
              <w:autoSpaceDE w:val="0"/>
              <w:autoSpaceDN w:val="0"/>
              <w:adjustRightInd w:val="0"/>
              <w:spacing w:before="60" w:after="60"/>
              <w:rPr>
                <w:iCs/>
                <w:sz w:val="18"/>
                <w:szCs w:val="18"/>
              </w:rPr>
            </w:pPr>
            <w:r>
              <w:rPr>
                <w:b/>
                <w:iCs/>
                <w:sz w:val="18"/>
                <w:szCs w:val="18"/>
              </w:rPr>
              <w:t>Examine</w:t>
            </w:r>
            <w:r w:rsidR="00450E57">
              <w:rPr>
                <w:b/>
                <w:iCs/>
                <w:sz w:val="18"/>
                <w:szCs w:val="18"/>
              </w:rPr>
              <w:t xml:space="preserve"> </w:t>
            </w:r>
            <w:r w:rsidR="00450E57">
              <w:rPr>
                <w:iCs/>
                <w:sz w:val="18"/>
                <w:szCs w:val="18"/>
              </w:rPr>
              <w:t>account management records and</w:t>
            </w:r>
            <w:r>
              <w:rPr>
                <w:iCs/>
                <w:sz w:val="18"/>
                <w:szCs w:val="18"/>
              </w:rPr>
              <w:t xml:space="preserve"> signed </w:t>
            </w:r>
            <w:r w:rsidR="00D50C4F">
              <w:rPr>
                <w:iCs/>
                <w:sz w:val="18"/>
                <w:szCs w:val="18"/>
              </w:rPr>
              <w:t xml:space="preserve">rules of behavior </w:t>
            </w:r>
            <w:r>
              <w:rPr>
                <w:iCs/>
                <w:sz w:val="18"/>
                <w:szCs w:val="18"/>
              </w:rPr>
              <w:t>acknowledgement form</w:t>
            </w:r>
            <w:r w:rsidR="00450E57">
              <w:rPr>
                <w:iCs/>
                <w:sz w:val="18"/>
                <w:szCs w:val="18"/>
              </w:rPr>
              <w:t>s</w:t>
            </w:r>
            <w:r>
              <w:rPr>
                <w:iCs/>
                <w:sz w:val="18"/>
                <w:szCs w:val="18"/>
              </w:rPr>
              <w:t xml:space="preserve"> for an agreed-upon [</w:t>
            </w:r>
            <w:r>
              <w:rPr>
                <w:i/>
                <w:iCs/>
                <w:sz w:val="18"/>
                <w:szCs w:val="18"/>
              </w:rPr>
              <w:t>basic</w:t>
            </w:r>
            <w:r>
              <w:rPr>
                <w:iCs/>
                <w:sz w:val="18"/>
                <w:szCs w:val="18"/>
              </w:rPr>
              <w:t>] sample of</w:t>
            </w:r>
            <w:r w:rsidR="00450E57">
              <w:rPr>
                <w:iCs/>
                <w:sz w:val="18"/>
                <w:szCs w:val="18"/>
              </w:rPr>
              <w:t xml:space="preserve"> information</w:t>
            </w:r>
            <w:r>
              <w:rPr>
                <w:iCs/>
                <w:sz w:val="18"/>
                <w:szCs w:val="18"/>
              </w:rPr>
              <w:t xml:space="preserve"> system users; [</w:t>
            </w:r>
            <w:r>
              <w:rPr>
                <w:i/>
                <w:iCs/>
                <w:sz w:val="18"/>
                <w:szCs w:val="18"/>
              </w:rPr>
              <w:t>reviewing</w:t>
            </w:r>
            <w:r w:rsidR="002519B9">
              <w:rPr>
                <w:iCs/>
                <w:sz w:val="18"/>
                <w:szCs w:val="18"/>
              </w:rPr>
              <w:t xml:space="preserve">] for evidence that </w:t>
            </w:r>
            <w:r w:rsidR="00450E57">
              <w:rPr>
                <w:iCs/>
                <w:sz w:val="18"/>
                <w:szCs w:val="18"/>
              </w:rPr>
              <w:t xml:space="preserve">the organization receives signed acknowledgement from users indicating that they have read, understand, and agree to abide by the rules of behavior, before authorizing access to information and the information system. </w:t>
            </w:r>
          </w:p>
        </w:tc>
      </w:tr>
      <w:tr w:rsidR="008F10FE" w:rsidRPr="005073C2" w:rsidTr="007D39C7">
        <w:trPr>
          <w:cantSplit/>
          <w:trHeight w:val="89"/>
        </w:trPr>
        <w:tc>
          <w:tcPr>
            <w:tcW w:w="8640" w:type="dxa"/>
            <w:gridSpan w:val="3"/>
            <w:shd w:val="clear" w:color="auto" w:fill="D9D9D9" w:themeFill="background1" w:themeFillShade="D9"/>
          </w:tcPr>
          <w:p w:rsidR="008F10FE" w:rsidRPr="005073C2" w:rsidRDefault="008F10FE" w:rsidP="00005197">
            <w:pPr>
              <w:autoSpaceDE w:val="0"/>
              <w:autoSpaceDN w:val="0"/>
              <w:adjustRightInd w:val="0"/>
              <w:rPr>
                <w:iCs/>
                <w:sz w:val="18"/>
                <w:szCs w:val="18"/>
              </w:rPr>
            </w:pPr>
          </w:p>
        </w:tc>
      </w:tr>
      <w:tr w:rsidR="008F10FE" w:rsidRPr="005073C2" w:rsidTr="006E36E2">
        <w:trPr>
          <w:cantSplit/>
        </w:trPr>
        <w:tc>
          <w:tcPr>
            <w:tcW w:w="8640" w:type="dxa"/>
            <w:gridSpan w:val="3"/>
            <w:shd w:val="clear" w:color="auto" w:fill="BFBFBF" w:themeFill="background1" w:themeFillShade="BF"/>
          </w:tcPr>
          <w:p w:rsidR="008F10FE" w:rsidRPr="005073C2" w:rsidRDefault="008F10FE" w:rsidP="00927DC8">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w:t>
            </w:r>
            <w:r w:rsidR="002935E4">
              <w:rPr>
                <w:rFonts w:ascii="Arial" w:hAnsi="Arial" w:cs="Arial"/>
                <w:b/>
                <w:iCs/>
                <w:sz w:val="16"/>
                <w:szCs w:val="16"/>
              </w:rPr>
              <w:t>1</w:t>
            </w:r>
            <w:r w:rsidR="006E36E2">
              <w:rPr>
                <w:rFonts w:ascii="Arial" w:hAnsi="Arial" w:cs="Arial"/>
                <w:b/>
                <w:iCs/>
                <w:sz w:val="16"/>
                <w:szCs w:val="16"/>
              </w:rPr>
              <w:t xml:space="preserve">      </w:t>
            </w:r>
          </w:p>
        </w:tc>
      </w:tr>
      <w:tr w:rsidR="00927DC8" w:rsidRPr="005073C2" w:rsidTr="00927DC8">
        <w:trPr>
          <w:cantSplit/>
        </w:trPr>
        <w:tc>
          <w:tcPr>
            <w:tcW w:w="8640" w:type="dxa"/>
            <w:gridSpan w:val="3"/>
            <w:shd w:val="clear" w:color="auto" w:fill="FFFFFF" w:themeFill="background1"/>
          </w:tcPr>
          <w:p w:rsidR="00927DC8" w:rsidRPr="005073C2" w:rsidRDefault="00927DC8"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292D53">
              <w:rPr>
                <w:rFonts w:ascii="Arial" w:hAnsi="Arial" w:cs="Arial"/>
                <w:b/>
                <w:iCs/>
                <w:sz w:val="16"/>
                <w:szCs w:val="16"/>
                <w:shd w:val="clear" w:color="auto" w:fill="FFFFFF" w:themeFill="background1"/>
              </w:rPr>
              <w:t>ment Information from Special Publication 800-53A Rev. 1 (June 2010)</w:t>
            </w:r>
          </w:p>
        </w:tc>
      </w:tr>
      <w:tr w:rsidR="002935E4" w:rsidRPr="005073C2" w:rsidTr="00927DC8">
        <w:trPr>
          <w:cantSplit/>
        </w:trPr>
        <w:tc>
          <w:tcPr>
            <w:tcW w:w="1530" w:type="dxa"/>
            <w:gridSpan w:val="2"/>
            <w:shd w:val="clear" w:color="auto" w:fill="A6A6A6" w:themeFill="background1" w:themeFillShade="A6"/>
          </w:tcPr>
          <w:p w:rsidR="002935E4" w:rsidRPr="00D10606" w:rsidRDefault="002935E4" w:rsidP="003B08F2">
            <w:pPr>
              <w:spacing w:before="120" w:after="120"/>
              <w:rPr>
                <w:rFonts w:ascii="Arial" w:hAnsi="Arial" w:cs="Arial"/>
                <w:b/>
                <w:iCs/>
                <w:sz w:val="16"/>
                <w:szCs w:val="16"/>
              </w:rPr>
            </w:pPr>
            <w:r w:rsidRPr="00D10606">
              <w:rPr>
                <w:rFonts w:ascii="Arial" w:hAnsi="Arial" w:cs="Arial"/>
                <w:b/>
                <w:color w:val="000000"/>
                <w:sz w:val="16"/>
                <w:szCs w:val="16"/>
              </w:rPr>
              <w:t xml:space="preserve">PL-4(1)     </w:t>
            </w:r>
          </w:p>
        </w:tc>
        <w:tc>
          <w:tcPr>
            <w:tcW w:w="7110" w:type="dxa"/>
            <w:shd w:val="clear" w:color="auto" w:fill="A6A6A6" w:themeFill="background1" w:themeFillShade="A6"/>
          </w:tcPr>
          <w:p w:rsidR="002935E4" w:rsidRPr="00D10606" w:rsidRDefault="002935E4" w:rsidP="003B08F2">
            <w:pPr>
              <w:pStyle w:val="control-name"/>
              <w:spacing w:before="120"/>
              <w:rPr>
                <w:highlight w:val="yellow"/>
              </w:rPr>
            </w:pPr>
            <w:r w:rsidRPr="00CE0031">
              <w:t>RULES OF BEHAVIOR</w:t>
            </w:r>
          </w:p>
        </w:tc>
      </w:tr>
      <w:tr w:rsidR="002935E4" w:rsidRPr="005073C2" w:rsidTr="00F351C8">
        <w:trPr>
          <w:cantSplit/>
          <w:trHeight w:val="3244"/>
        </w:trPr>
        <w:tc>
          <w:tcPr>
            <w:tcW w:w="1530" w:type="dxa"/>
            <w:gridSpan w:val="2"/>
          </w:tcPr>
          <w:p w:rsidR="002935E4" w:rsidRDefault="002935E4" w:rsidP="003B08F2">
            <w:pPr>
              <w:spacing w:before="100" w:after="80"/>
              <w:rPr>
                <w:rFonts w:ascii="Arial" w:hAnsi="Arial" w:cs="Arial"/>
                <w:b/>
                <w:iCs/>
                <w:sz w:val="16"/>
                <w:szCs w:val="16"/>
              </w:rPr>
            </w:pPr>
            <w:r w:rsidRPr="00D10606">
              <w:rPr>
                <w:rFonts w:ascii="Arial" w:hAnsi="Arial" w:cs="Arial"/>
                <w:b/>
                <w:iCs/>
                <w:sz w:val="16"/>
                <w:szCs w:val="16"/>
              </w:rPr>
              <w:t>PL-4(1).1</w:t>
            </w:r>
          </w:p>
          <w:p w:rsidR="0083106E" w:rsidRDefault="00292D53" w:rsidP="003B08F2">
            <w:pPr>
              <w:spacing w:before="100" w:after="80"/>
              <w:rPr>
                <w:rFonts w:ascii="Arial" w:hAnsi="Arial" w:cs="Arial"/>
                <w:b/>
                <w:iCs/>
                <w:sz w:val="16"/>
                <w:szCs w:val="16"/>
              </w:rPr>
            </w:pPr>
            <w:r w:rsidRPr="00D10606">
              <w:rPr>
                <w:rFonts w:ascii="Arial" w:hAnsi="Arial" w:cs="Arial"/>
                <w:b/>
                <w:iCs/>
                <w:sz w:val="16"/>
                <w:szCs w:val="16"/>
              </w:rPr>
              <w:t>PL-4(1).1</w:t>
            </w:r>
            <w:r>
              <w:rPr>
                <w:rFonts w:ascii="Arial" w:hAnsi="Arial" w:cs="Arial"/>
                <w:b/>
                <w:iCs/>
                <w:sz w:val="16"/>
                <w:szCs w:val="16"/>
              </w:rPr>
              <w:t>.1</w:t>
            </w:r>
          </w:p>
          <w:p w:rsidR="002935E4" w:rsidRDefault="002935E4" w:rsidP="003B08F2">
            <w:pPr>
              <w:spacing w:before="100" w:after="80"/>
              <w:rPr>
                <w:rFonts w:ascii="Arial" w:hAnsi="Arial" w:cs="Arial"/>
                <w:b/>
                <w:iCs/>
                <w:sz w:val="16"/>
                <w:szCs w:val="16"/>
              </w:rPr>
            </w:pPr>
            <w:r w:rsidRPr="00D10606">
              <w:rPr>
                <w:rFonts w:ascii="Arial" w:hAnsi="Arial" w:cs="Arial"/>
                <w:b/>
                <w:iCs/>
                <w:sz w:val="16"/>
                <w:szCs w:val="16"/>
              </w:rPr>
              <w:t>PL-4(1).</w:t>
            </w:r>
            <w:r w:rsidR="000746E1">
              <w:rPr>
                <w:rFonts w:ascii="Arial" w:hAnsi="Arial" w:cs="Arial"/>
                <w:b/>
                <w:iCs/>
                <w:sz w:val="16"/>
                <w:szCs w:val="16"/>
              </w:rPr>
              <w:t>1.</w:t>
            </w:r>
            <w:r w:rsidRPr="00D10606">
              <w:rPr>
                <w:rFonts w:ascii="Arial" w:hAnsi="Arial" w:cs="Arial"/>
                <w:b/>
                <w:iCs/>
                <w:sz w:val="16"/>
                <w:szCs w:val="16"/>
              </w:rPr>
              <w:t>1</w:t>
            </w:r>
            <w:r>
              <w:rPr>
                <w:rFonts w:ascii="Arial" w:hAnsi="Arial" w:cs="Arial"/>
                <w:b/>
                <w:iCs/>
                <w:sz w:val="16"/>
                <w:szCs w:val="16"/>
              </w:rPr>
              <w:t>a</w:t>
            </w:r>
          </w:p>
          <w:p w:rsidR="002935E4" w:rsidRDefault="002935E4" w:rsidP="003B08F2">
            <w:pPr>
              <w:spacing w:before="100" w:after="80"/>
              <w:rPr>
                <w:rFonts w:ascii="Arial" w:hAnsi="Arial" w:cs="Arial"/>
                <w:b/>
                <w:iCs/>
                <w:sz w:val="16"/>
                <w:szCs w:val="16"/>
              </w:rPr>
            </w:pPr>
            <w:r w:rsidRPr="00D10606">
              <w:rPr>
                <w:rFonts w:ascii="Arial" w:hAnsi="Arial" w:cs="Arial"/>
                <w:b/>
                <w:iCs/>
                <w:sz w:val="16"/>
                <w:szCs w:val="16"/>
              </w:rPr>
              <w:t>PL-4(1).1</w:t>
            </w:r>
            <w:r w:rsidR="000746E1">
              <w:rPr>
                <w:rFonts w:ascii="Arial" w:hAnsi="Arial" w:cs="Arial"/>
                <w:b/>
                <w:iCs/>
                <w:sz w:val="16"/>
                <w:szCs w:val="16"/>
              </w:rPr>
              <w:t>.1</w:t>
            </w:r>
            <w:r>
              <w:rPr>
                <w:rFonts w:ascii="Arial" w:hAnsi="Arial" w:cs="Arial"/>
                <w:b/>
                <w:iCs/>
                <w:sz w:val="16"/>
                <w:szCs w:val="16"/>
              </w:rPr>
              <w:t>b</w:t>
            </w:r>
          </w:p>
          <w:p w:rsidR="002935E4" w:rsidRDefault="002935E4" w:rsidP="003B08F2">
            <w:pPr>
              <w:spacing w:before="100" w:after="80"/>
              <w:rPr>
                <w:rFonts w:ascii="Arial" w:hAnsi="Arial" w:cs="Arial"/>
                <w:b/>
                <w:sz w:val="16"/>
                <w:szCs w:val="16"/>
              </w:rPr>
            </w:pPr>
            <w:r w:rsidRPr="00D10606">
              <w:rPr>
                <w:rFonts w:ascii="Arial" w:hAnsi="Arial" w:cs="Arial"/>
                <w:b/>
                <w:iCs/>
                <w:sz w:val="16"/>
                <w:szCs w:val="16"/>
              </w:rPr>
              <w:t>PL-4(1).1</w:t>
            </w:r>
            <w:r w:rsidR="000746E1">
              <w:rPr>
                <w:rFonts w:ascii="Arial" w:hAnsi="Arial" w:cs="Arial"/>
                <w:b/>
                <w:iCs/>
                <w:sz w:val="16"/>
                <w:szCs w:val="16"/>
              </w:rPr>
              <w:t>.1</w:t>
            </w:r>
            <w:r>
              <w:rPr>
                <w:rFonts w:ascii="Arial" w:hAnsi="Arial" w:cs="Arial"/>
                <w:b/>
                <w:iCs/>
                <w:sz w:val="16"/>
                <w:szCs w:val="16"/>
              </w:rPr>
              <w:t>c</w:t>
            </w:r>
          </w:p>
        </w:tc>
        <w:tc>
          <w:tcPr>
            <w:tcW w:w="7110" w:type="dxa"/>
          </w:tcPr>
          <w:p w:rsidR="002935E4" w:rsidRPr="00D10606" w:rsidRDefault="002935E4" w:rsidP="003B08F2">
            <w:pPr>
              <w:autoSpaceDE w:val="0"/>
              <w:autoSpaceDN w:val="0"/>
              <w:adjustRightInd w:val="0"/>
              <w:spacing w:before="120"/>
              <w:rPr>
                <w:rFonts w:ascii="Arial Bold" w:hAnsi="Arial Bold" w:cs="Arial"/>
                <w:iCs/>
                <w:smallCaps/>
                <w:sz w:val="20"/>
                <w:szCs w:val="20"/>
              </w:rPr>
            </w:pPr>
            <w:r w:rsidRPr="00D10606">
              <w:rPr>
                <w:rFonts w:ascii="Arial Bold" w:hAnsi="Arial Bold" w:cs="Arial"/>
                <w:b/>
                <w:iCs/>
                <w:sz w:val="16"/>
                <w:szCs w:val="16"/>
              </w:rPr>
              <w:t>ASSESSMENT OBJECTIVE:</w:t>
            </w:r>
          </w:p>
          <w:p w:rsidR="002935E4" w:rsidRDefault="002935E4" w:rsidP="003B08F2">
            <w:pPr>
              <w:autoSpaceDE w:val="0"/>
              <w:autoSpaceDN w:val="0"/>
              <w:adjustRightInd w:val="0"/>
              <w:spacing w:before="60" w:after="60"/>
              <w:rPr>
                <w:i/>
                <w:iCs/>
                <w:sz w:val="20"/>
              </w:rPr>
            </w:pPr>
            <w:r w:rsidRPr="00D10606">
              <w:rPr>
                <w:bCs/>
                <w:i/>
                <w:iCs/>
                <w:sz w:val="20"/>
              </w:rPr>
              <w:t>Determine</w:t>
            </w:r>
            <w:r w:rsidRPr="00D10606">
              <w:rPr>
                <w:i/>
                <w:iCs/>
                <w:sz w:val="20"/>
              </w:rPr>
              <w:t xml:space="preserve"> if the organization includes in the rules of behavior:</w:t>
            </w:r>
          </w:p>
          <w:p w:rsidR="002935E4" w:rsidRDefault="002935E4" w:rsidP="002935E4">
            <w:pPr>
              <w:numPr>
                <w:ilvl w:val="0"/>
                <w:numId w:val="9"/>
              </w:numPr>
              <w:autoSpaceDE w:val="0"/>
              <w:autoSpaceDN w:val="0"/>
              <w:adjustRightInd w:val="0"/>
              <w:spacing w:before="60" w:after="60"/>
              <w:rPr>
                <w:i/>
                <w:iCs/>
                <w:sz w:val="20"/>
              </w:rPr>
            </w:pPr>
            <w:r w:rsidRPr="001A0FA6">
              <w:rPr>
                <w:i/>
                <w:iCs/>
                <w:sz w:val="20"/>
              </w:rPr>
              <w:t>explicit restrictions on the use of social networking sites;</w:t>
            </w:r>
          </w:p>
          <w:p w:rsidR="002935E4" w:rsidRDefault="002935E4" w:rsidP="002935E4">
            <w:pPr>
              <w:numPr>
                <w:ilvl w:val="0"/>
                <w:numId w:val="9"/>
              </w:numPr>
              <w:autoSpaceDE w:val="0"/>
              <w:autoSpaceDN w:val="0"/>
              <w:adjustRightInd w:val="0"/>
              <w:spacing w:before="60" w:after="60"/>
              <w:rPr>
                <w:i/>
                <w:iCs/>
                <w:sz w:val="20"/>
              </w:rPr>
            </w:pPr>
            <w:r w:rsidRPr="001A0FA6">
              <w:rPr>
                <w:i/>
                <w:iCs/>
                <w:sz w:val="20"/>
              </w:rPr>
              <w:t xml:space="preserve">posting information on commercial </w:t>
            </w:r>
            <w:r>
              <w:rPr>
                <w:i/>
                <w:iCs/>
                <w:sz w:val="20"/>
              </w:rPr>
              <w:t>W</w:t>
            </w:r>
            <w:r w:rsidRPr="001A0FA6">
              <w:rPr>
                <w:i/>
                <w:iCs/>
                <w:sz w:val="20"/>
              </w:rPr>
              <w:t>eb</w:t>
            </w:r>
            <w:r>
              <w:rPr>
                <w:i/>
                <w:iCs/>
                <w:sz w:val="20"/>
              </w:rPr>
              <w:t xml:space="preserve"> </w:t>
            </w:r>
            <w:r w:rsidRPr="001A0FA6">
              <w:rPr>
                <w:i/>
                <w:iCs/>
                <w:sz w:val="20"/>
              </w:rPr>
              <w:t>sites; and</w:t>
            </w:r>
          </w:p>
          <w:p w:rsidR="002935E4" w:rsidRPr="001A0FA6" w:rsidRDefault="002935E4" w:rsidP="002935E4">
            <w:pPr>
              <w:numPr>
                <w:ilvl w:val="0"/>
                <w:numId w:val="9"/>
              </w:numPr>
              <w:autoSpaceDE w:val="0"/>
              <w:autoSpaceDN w:val="0"/>
              <w:adjustRightInd w:val="0"/>
              <w:spacing w:before="60" w:after="60"/>
              <w:rPr>
                <w:i/>
                <w:iCs/>
                <w:sz w:val="20"/>
              </w:rPr>
            </w:pPr>
            <w:proofErr w:type="gramStart"/>
            <w:r w:rsidRPr="001A0FA6">
              <w:rPr>
                <w:i/>
                <w:iCs/>
                <w:sz w:val="20"/>
              </w:rPr>
              <w:t>sharing</w:t>
            </w:r>
            <w:proofErr w:type="gramEnd"/>
            <w:r w:rsidRPr="001A0FA6">
              <w:rPr>
                <w:i/>
                <w:iCs/>
                <w:sz w:val="20"/>
              </w:rPr>
              <w:t xml:space="preserve"> information system account information.</w:t>
            </w:r>
          </w:p>
          <w:p w:rsidR="002935E4" w:rsidRPr="00D10606" w:rsidRDefault="002935E4" w:rsidP="003B08F2">
            <w:pPr>
              <w:autoSpaceDE w:val="0"/>
              <w:autoSpaceDN w:val="0"/>
              <w:adjustRightInd w:val="0"/>
              <w:spacing w:before="120"/>
              <w:rPr>
                <w:rFonts w:ascii="Arial Bold" w:hAnsi="Arial Bold" w:cs="Arial"/>
                <w:iCs/>
                <w:smallCaps/>
                <w:sz w:val="20"/>
                <w:szCs w:val="20"/>
              </w:rPr>
            </w:pPr>
            <w:r w:rsidRPr="00D10606">
              <w:rPr>
                <w:rFonts w:ascii="Arial Bold" w:hAnsi="Arial Bold" w:cs="Arial"/>
                <w:b/>
                <w:iCs/>
                <w:sz w:val="16"/>
                <w:szCs w:val="16"/>
              </w:rPr>
              <w:t>POTENTIAL ASSESSMENT METHODS AND OBJECTS:</w:t>
            </w:r>
          </w:p>
          <w:p w:rsidR="002935E4" w:rsidRPr="00D10606" w:rsidRDefault="002935E4" w:rsidP="003B08F2">
            <w:pPr>
              <w:autoSpaceDE w:val="0"/>
              <w:autoSpaceDN w:val="0"/>
              <w:adjustRightInd w:val="0"/>
              <w:spacing w:before="60" w:after="60"/>
              <w:ind w:left="749" w:hanging="749"/>
              <w:rPr>
                <w:rFonts w:ascii="Arial" w:hAnsi="Arial" w:cs="Arial"/>
                <w:iCs/>
                <w:sz w:val="16"/>
                <w:szCs w:val="16"/>
              </w:rPr>
            </w:pPr>
            <w:r w:rsidRPr="00D10606">
              <w:rPr>
                <w:rFonts w:ascii="Arial" w:hAnsi="Arial" w:cs="Arial"/>
                <w:b/>
                <w:bCs/>
                <w:iCs/>
                <w:sz w:val="16"/>
                <w:szCs w:val="16"/>
              </w:rPr>
              <w:t>Examine</w:t>
            </w:r>
            <w:r w:rsidRPr="00D10606">
              <w:rPr>
                <w:rFonts w:ascii="Arial" w:hAnsi="Arial" w:cs="Arial"/>
                <w:bCs/>
                <w:iCs/>
                <w:sz w:val="16"/>
                <w:szCs w:val="16"/>
              </w:rPr>
              <w:t>: [</w:t>
            </w:r>
            <w:r w:rsidRPr="00D10606">
              <w:rPr>
                <w:rFonts w:ascii="Arial" w:hAnsi="Arial" w:cs="Arial"/>
                <w:bCs/>
                <w:i/>
                <w:iCs/>
                <w:smallCaps/>
                <w:sz w:val="16"/>
                <w:szCs w:val="16"/>
              </w:rPr>
              <w:t>select from:</w:t>
            </w:r>
            <w:r w:rsidRPr="00D10606">
              <w:rPr>
                <w:rFonts w:ascii="Arial" w:hAnsi="Arial" w:cs="Arial"/>
                <w:bCs/>
                <w:iCs/>
                <w:sz w:val="16"/>
                <w:szCs w:val="16"/>
              </w:rPr>
              <w:t xml:space="preserve"> </w:t>
            </w:r>
            <w:r w:rsidRPr="00D10606">
              <w:rPr>
                <w:rFonts w:ascii="Arial" w:hAnsi="Arial" w:cs="Arial"/>
                <w:iCs/>
                <w:sz w:val="16"/>
                <w:szCs w:val="16"/>
              </w:rPr>
              <w:t>Security planning policy; procedures addressing rules of behavior for information system users; rules of behavior; other relevant documents or records].</w:t>
            </w:r>
          </w:p>
          <w:p w:rsidR="002935E4" w:rsidRPr="00D10606" w:rsidRDefault="002935E4" w:rsidP="003B08F2">
            <w:pPr>
              <w:autoSpaceDE w:val="0"/>
              <w:autoSpaceDN w:val="0"/>
              <w:adjustRightInd w:val="0"/>
              <w:spacing w:before="60" w:after="120"/>
              <w:ind w:left="792" w:hanging="792"/>
              <w:rPr>
                <w:rFonts w:ascii="Arial Bold" w:hAnsi="Arial Bold" w:cs="Arial"/>
                <w:b/>
                <w:iCs/>
                <w:smallCaps/>
                <w:sz w:val="20"/>
                <w:szCs w:val="20"/>
                <w:highlight w:val="yellow"/>
              </w:rPr>
            </w:pPr>
            <w:r w:rsidRPr="00D10606">
              <w:rPr>
                <w:rFonts w:ascii="Arial" w:hAnsi="Arial" w:cs="Arial"/>
                <w:b/>
                <w:bCs/>
                <w:iCs/>
                <w:sz w:val="16"/>
                <w:szCs w:val="16"/>
              </w:rPr>
              <w:t>Interview</w:t>
            </w:r>
            <w:r w:rsidRPr="00D10606">
              <w:rPr>
                <w:rFonts w:ascii="Arial" w:hAnsi="Arial" w:cs="Arial"/>
                <w:bCs/>
                <w:iCs/>
                <w:sz w:val="16"/>
                <w:szCs w:val="16"/>
              </w:rPr>
              <w:t>: [</w:t>
            </w:r>
            <w:r w:rsidRPr="00D10606">
              <w:rPr>
                <w:rFonts w:ascii="Arial" w:hAnsi="Arial" w:cs="Arial"/>
                <w:bCs/>
                <w:i/>
                <w:iCs/>
                <w:smallCaps/>
                <w:sz w:val="16"/>
                <w:szCs w:val="16"/>
              </w:rPr>
              <w:t>select from:</w:t>
            </w:r>
            <w:r w:rsidRPr="00D10606">
              <w:rPr>
                <w:rFonts w:ascii="Arial" w:hAnsi="Arial" w:cs="Arial"/>
                <w:bCs/>
                <w:iCs/>
                <w:sz w:val="16"/>
                <w:szCs w:val="16"/>
              </w:rPr>
              <w:t xml:space="preserve"> </w:t>
            </w:r>
            <w:r w:rsidRPr="00D10606">
              <w:rPr>
                <w:rFonts w:ascii="Arial" w:hAnsi="Arial" w:cs="Arial"/>
                <w:iCs/>
                <w:sz w:val="16"/>
                <w:szCs w:val="16"/>
              </w:rPr>
              <w:t>Organizational personnel who are authorized users of the information system and have signed rules of behavior</w:t>
            </w:r>
            <w:r w:rsidRPr="00D10606">
              <w:rPr>
                <w:rFonts w:ascii="Arial" w:hAnsi="Arial" w:cs="Arial"/>
                <w:bCs/>
                <w:iCs/>
                <w:sz w:val="16"/>
                <w:szCs w:val="16"/>
              </w:rPr>
              <w:t>].</w:t>
            </w:r>
          </w:p>
        </w:tc>
      </w:tr>
      <w:tr w:rsidR="001C3BD4" w:rsidRPr="005073C2" w:rsidTr="00F351C8">
        <w:trPr>
          <w:cantSplit/>
        </w:trPr>
        <w:tc>
          <w:tcPr>
            <w:tcW w:w="8640" w:type="dxa"/>
            <w:gridSpan w:val="3"/>
          </w:tcPr>
          <w:p w:rsidR="001C3BD4" w:rsidRPr="005073C2" w:rsidRDefault="001C3BD4" w:rsidP="00005197">
            <w:pPr>
              <w:spacing w:before="60" w:after="40"/>
            </w:pPr>
            <w:r w:rsidRPr="005073C2">
              <w:rPr>
                <w:rFonts w:ascii="Arial" w:hAnsi="Arial" w:cs="Arial"/>
                <w:b/>
                <w:iCs/>
                <w:sz w:val="16"/>
                <w:szCs w:val="16"/>
              </w:rPr>
              <w:t>Additional Assessment Case Information</w:t>
            </w:r>
          </w:p>
        </w:tc>
      </w:tr>
      <w:tr w:rsidR="001C3BD4" w:rsidRPr="005073C2" w:rsidTr="002F5405">
        <w:trPr>
          <w:cantSplit/>
        </w:trPr>
        <w:tc>
          <w:tcPr>
            <w:tcW w:w="1530" w:type="dxa"/>
            <w:gridSpan w:val="2"/>
            <w:tcBorders>
              <w:bottom w:val="single" w:sz="4" w:space="0" w:color="auto"/>
            </w:tcBorders>
            <w:shd w:val="clear" w:color="auto" w:fill="D9D9D9" w:themeFill="background1" w:themeFillShade="D9"/>
          </w:tcPr>
          <w:p w:rsidR="001C3BD4" w:rsidRPr="005073C2" w:rsidRDefault="001C3BD4" w:rsidP="00005197"/>
        </w:tc>
        <w:tc>
          <w:tcPr>
            <w:tcW w:w="7110" w:type="dxa"/>
            <w:tcBorders>
              <w:bottom w:val="single" w:sz="4" w:space="0" w:color="auto"/>
            </w:tcBorders>
          </w:tcPr>
          <w:p w:rsidR="001C3BD4" w:rsidRPr="005073C2" w:rsidRDefault="001C3BD4"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9F3730">
              <w:rPr>
                <w:rFonts w:ascii="Arial" w:hAnsi="Arial" w:cs="Arial"/>
                <w:iCs/>
                <w:smallCaps/>
                <w:sz w:val="16"/>
                <w:szCs w:val="16"/>
              </w:rPr>
              <w:t>None</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345695">
              <w:rPr>
                <w:rFonts w:ascii="Arial" w:hAnsi="Arial" w:cs="Arial"/>
                <w:iCs/>
                <w:smallCaps/>
                <w:sz w:val="16"/>
                <w:szCs w:val="16"/>
              </w:rPr>
              <w:t xml:space="preserve">AC-8, AC-20, CA-3, IA-4, PL-2, </w:t>
            </w:r>
            <w:r w:rsidR="009F3730">
              <w:rPr>
                <w:rFonts w:ascii="Arial" w:hAnsi="Arial" w:cs="Arial"/>
                <w:iCs/>
                <w:smallCaps/>
                <w:sz w:val="16"/>
                <w:szCs w:val="16"/>
              </w:rPr>
              <w:t xml:space="preserve">PS-6, PS-8, </w:t>
            </w:r>
            <w:r w:rsidR="00806DF9">
              <w:rPr>
                <w:rFonts w:ascii="Arial" w:hAnsi="Arial" w:cs="Arial"/>
                <w:iCs/>
                <w:smallCaps/>
                <w:sz w:val="16"/>
                <w:szCs w:val="16"/>
              </w:rPr>
              <w:t>SA-5</w:t>
            </w:r>
            <w:r w:rsidR="00345695">
              <w:rPr>
                <w:rFonts w:ascii="Arial" w:hAnsi="Arial" w:cs="Arial"/>
                <w:iCs/>
                <w:smallCaps/>
                <w:sz w:val="16"/>
                <w:szCs w:val="16"/>
              </w:rPr>
              <w:t>, SA-7, SA-9</w:t>
            </w:r>
          </w:p>
          <w:p w:rsidR="001C3BD4" w:rsidRPr="002F5405" w:rsidRDefault="001C3BD4" w:rsidP="009F373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9F3730">
              <w:rPr>
                <w:rFonts w:ascii="Arial" w:hAnsi="Arial" w:cs="Arial"/>
                <w:iCs/>
                <w:smallCaps/>
                <w:sz w:val="16"/>
                <w:szCs w:val="16"/>
              </w:rPr>
              <w:t>None</w:t>
            </w:r>
          </w:p>
        </w:tc>
      </w:tr>
      <w:tr w:rsidR="001C3BD4" w:rsidRPr="005073C2" w:rsidTr="007D39C7">
        <w:trPr>
          <w:cantSplit/>
        </w:trPr>
        <w:tc>
          <w:tcPr>
            <w:tcW w:w="1530" w:type="dxa"/>
            <w:gridSpan w:val="2"/>
            <w:tcBorders>
              <w:bottom w:val="single" w:sz="4" w:space="0" w:color="auto"/>
            </w:tcBorders>
            <w:shd w:val="clear" w:color="auto" w:fill="F2F2F2" w:themeFill="background1" w:themeFillShade="F2"/>
          </w:tcPr>
          <w:p w:rsidR="001C3BD4" w:rsidRPr="005073C2" w:rsidRDefault="001C3BD4"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292D53">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1C3BD4" w:rsidRPr="005073C2" w:rsidTr="00F351C8">
        <w:trPr>
          <w:cantSplit/>
        </w:trPr>
        <w:tc>
          <w:tcPr>
            <w:tcW w:w="1530" w:type="dxa"/>
            <w:gridSpan w:val="2"/>
          </w:tcPr>
          <w:p w:rsidR="001C3BD4" w:rsidRDefault="0013345E" w:rsidP="0013345E">
            <w:pPr>
              <w:spacing w:before="60" w:after="60"/>
              <w:rPr>
                <w:rFonts w:ascii="Arial" w:hAnsi="Arial" w:cs="Arial"/>
                <w:b/>
                <w:iCs/>
                <w:sz w:val="16"/>
                <w:szCs w:val="16"/>
              </w:rPr>
            </w:pPr>
            <w:r w:rsidRPr="00D10606">
              <w:rPr>
                <w:rFonts w:ascii="Arial" w:hAnsi="Arial" w:cs="Arial"/>
                <w:b/>
                <w:iCs/>
                <w:sz w:val="16"/>
                <w:szCs w:val="16"/>
              </w:rPr>
              <w:t>PL-4(1).1</w:t>
            </w:r>
            <w:r>
              <w:rPr>
                <w:rFonts w:ascii="Arial" w:hAnsi="Arial" w:cs="Arial"/>
                <w:b/>
                <w:iCs/>
                <w:sz w:val="16"/>
                <w:szCs w:val="16"/>
              </w:rPr>
              <w:t>.1</w:t>
            </w:r>
            <w:r w:rsidR="000746E1">
              <w:rPr>
                <w:rFonts w:ascii="Arial" w:hAnsi="Arial" w:cs="Arial"/>
                <w:b/>
                <w:iCs/>
                <w:sz w:val="16"/>
                <w:szCs w:val="16"/>
              </w:rPr>
              <w:t>.1</w:t>
            </w:r>
          </w:p>
          <w:p w:rsidR="0013345E" w:rsidRDefault="0013345E" w:rsidP="0013345E">
            <w:pPr>
              <w:spacing w:before="100" w:after="80"/>
              <w:rPr>
                <w:rFonts w:ascii="Arial" w:hAnsi="Arial" w:cs="Arial"/>
                <w:b/>
                <w:iCs/>
                <w:sz w:val="16"/>
                <w:szCs w:val="16"/>
              </w:rPr>
            </w:pPr>
            <w:r w:rsidRPr="00D10606">
              <w:rPr>
                <w:rFonts w:ascii="Arial" w:hAnsi="Arial" w:cs="Arial"/>
                <w:b/>
                <w:iCs/>
                <w:sz w:val="16"/>
                <w:szCs w:val="16"/>
              </w:rPr>
              <w:t>PL-4(1).1</w:t>
            </w:r>
            <w:r>
              <w:rPr>
                <w:rFonts w:ascii="Arial" w:hAnsi="Arial" w:cs="Arial"/>
                <w:b/>
                <w:iCs/>
                <w:sz w:val="16"/>
                <w:szCs w:val="16"/>
              </w:rPr>
              <w:t>.1.</w:t>
            </w:r>
            <w:r w:rsidR="000746E1">
              <w:rPr>
                <w:rFonts w:ascii="Arial" w:hAnsi="Arial" w:cs="Arial"/>
                <w:b/>
                <w:iCs/>
                <w:sz w:val="16"/>
                <w:szCs w:val="16"/>
              </w:rPr>
              <w:t>1.</w:t>
            </w:r>
            <w:r>
              <w:rPr>
                <w:rFonts w:ascii="Arial" w:hAnsi="Arial" w:cs="Arial"/>
                <w:b/>
                <w:iCs/>
                <w:sz w:val="16"/>
                <w:szCs w:val="16"/>
              </w:rPr>
              <w:t>a</w:t>
            </w:r>
          </w:p>
          <w:p w:rsidR="0013345E" w:rsidRDefault="0013345E" w:rsidP="0013345E">
            <w:pPr>
              <w:spacing w:before="100" w:after="80"/>
              <w:rPr>
                <w:rFonts w:ascii="Arial" w:hAnsi="Arial" w:cs="Arial"/>
                <w:b/>
                <w:iCs/>
                <w:sz w:val="16"/>
                <w:szCs w:val="16"/>
              </w:rPr>
            </w:pPr>
            <w:r w:rsidRPr="00D10606">
              <w:rPr>
                <w:rFonts w:ascii="Arial" w:hAnsi="Arial" w:cs="Arial"/>
                <w:b/>
                <w:iCs/>
                <w:sz w:val="16"/>
                <w:szCs w:val="16"/>
              </w:rPr>
              <w:t>PL-4(1).1</w:t>
            </w:r>
            <w:r>
              <w:rPr>
                <w:rFonts w:ascii="Arial" w:hAnsi="Arial" w:cs="Arial"/>
                <w:b/>
                <w:iCs/>
                <w:sz w:val="16"/>
                <w:szCs w:val="16"/>
              </w:rPr>
              <w:t>.1.</w:t>
            </w:r>
            <w:r w:rsidR="000746E1">
              <w:rPr>
                <w:rFonts w:ascii="Arial" w:hAnsi="Arial" w:cs="Arial"/>
                <w:b/>
                <w:iCs/>
                <w:sz w:val="16"/>
                <w:szCs w:val="16"/>
              </w:rPr>
              <w:t>1.</w:t>
            </w:r>
            <w:r>
              <w:rPr>
                <w:rFonts w:ascii="Arial" w:hAnsi="Arial" w:cs="Arial"/>
                <w:b/>
                <w:iCs/>
                <w:sz w:val="16"/>
                <w:szCs w:val="16"/>
              </w:rPr>
              <w:t>b</w:t>
            </w:r>
          </w:p>
          <w:p w:rsidR="0013345E" w:rsidRPr="005073C2" w:rsidRDefault="0013345E" w:rsidP="0013345E">
            <w:pPr>
              <w:spacing w:before="60" w:after="60"/>
              <w:rPr>
                <w:rFonts w:ascii="Arial" w:hAnsi="Arial" w:cs="Arial"/>
                <w:b/>
                <w:iCs/>
                <w:sz w:val="16"/>
                <w:szCs w:val="16"/>
              </w:rPr>
            </w:pPr>
            <w:r w:rsidRPr="00D10606">
              <w:rPr>
                <w:rFonts w:ascii="Arial" w:hAnsi="Arial" w:cs="Arial"/>
                <w:b/>
                <w:iCs/>
                <w:sz w:val="16"/>
                <w:szCs w:val="16"/>
              </w:rPr>
              <w:t>PL-4(1).1</w:t>
            </w:r>
            <w:r>
              <w:rPr>
                <w:rFonts w:ascii="Arial" w:hAnsi="Arial" w:cs="Arial"/>
                <w:b/>
                <w:iCs/>
                <w:sz w:val="16"/>
                <w:szCs w:val="16"/>
              </w:rPr>
              <w:t>.1.</w:t>
            </w:r>
            <w:r w:rsidR="000746E1">
              <w:rPr>
                <w:rFonts w:ascii="Arial" w:hAnsi="Arial" w:cs="Arial"/>
                <w:b/>
                <w:iCs/>
                <w:sz w:val="16"/>
                <w:szCs w:val="16"/>
              </w:rPr>
              <w:t>1.</w:t>
            </w:r>
            <w:r>
              <w:rPr>
                <w:rFonts w:ascii="Arial" w:hAnsi="Arial" w:cs="Arial"/>
                <w:b/>
                <w:iCs/>
                <w:sz w:val="16"/>
                <w:szCs w:val="16"/>
              </w:rPr>
              <w:t>c</w:t>
            </w:r>
          </w:p>
        </w:tc>
        <w:tc>
          <w:tcPr>
            <w:tcW w:w="7110" w:type="dxa"/>
          </w:tcPr>
          <w:p w:rsidR="0013345E" w:rsidRPr="00F826E2" w:rsidRDefault="0013345E" w:rsidP="0013345E">
            <w:pPr>
              <w:autoSpaceDE w:val="0"/>
              <w:autoSpaceDN w:val="0"/>
              <w:adjustRightInd w:val="0"/>
              <w:spacing w:before="60" w:after="60"/>
              <w:rPr>
                <w:iCs/>
                <w:sz w:val="18"/>
                <w:szCs w:val="18"/>
              </w:rPr>
            </w:pPr>
            <w:r w:rsidRPr="00DC0155">
              <w:rPr>
                <w:b/>
                <w:iCs/>
                <w:sz w:val="18"/>
                <w:szCs w:val="18"/>
              </w:rPr>
              <w:t xml:space="preserve">Examine </w:t>
            </w:r>
            <w:r>
              <w:rPr>
                <w:iCs/>
                <w:sz w:val="18"/>
                <w:szCs w:val="18"/>
              </w:rPr>
              <w:t>rules of behavior</w:t>
            </w:r>
            <w:r w:rsidRPr="00F826E2">
              <w:rPr>
                <w:iCs/>
                <w:sz w:val="18"/>
                <w:szCs w:val="18"/>
              </w:rPr>
              <w:t>; [</w:t>
            </w:r>
            <w:r w:rsidRPr="00F826E2">
              <w:rPr>
                <w:i/>
                <w:iCs/>
                <w:sz w:val="18"/>
                <w:szCs w:val="18"/>
              </w:rPr>
              <w:t>reviewing</w:t>
            </w:r>
            <w:r w:rsidRPr="00F826E2">
              <w:rPr>
                <w:iCs/>
                <w:sz w:val="18"/>
                <w:szCs w:val="18"/>
              </w:rPr>
              <w:t xml:space="preserve">] for </w:t>
            </w:r>
            <w:r>
              <w:rPr>
                <w:iCs/>
                <w:sz w:val="18"/>
                <w:szCs w:val="18"/>
              </w:rPr>
              <w:t>evidence that the rules include</w:t>
            </w:r>
            <w:r w:rsidRPr="00F826E2">
              <w:rPr>
                <w:iCs/>
                <w:sz w:val="18"/>
                <w:szCs w:val="18"/>
              </w:rPr>
              <w:t>:</w:t>
            </w:r>
          </w:p>
          <w:p w:rsidR="0013345E" w:rsidRPr="0013345E" w:rsidRDefault="0013345E" w:rsidP="0013345E">
            <w:pPr>
              <w:numPr>
                <w:ilvl w:val="0"/>
                <w:numId w:val="9"/>
              </w:numPr>
              <w:autoSpaceDE w:val="0"/>
              <w:autoSpaceDN w:val="0"/>
              <w:adjustRightInd w:val="0"/>
              <w:spacing w:before="60" w:after="60"/>
              <w:rPr>
                <w:iCs/>
                <w:sz w:val="18"/>
                <w:szCs w:val="18"/>
              </w:rPr>
            </w:pPr>
            <w:r w:rsidRPr="0013345E">
              <w:rPr>
                <w:iCs/>
                <w:sz w:val="18"/>
                <w:szCs w:val="18"/>
              </w:rPr>
              <w:t>explicit restrictions on the use of social networking sites;</w:t>
            </w:r>
          </w:p>
          <w:p w:rsidR="0013345E" w:rsidRPr="0013345E" w:rsidRDefault="0013345E" w:rsidP="0013345E">
            <w:pPr>
              <w:numPr>
                <w:ilvl w:val="0"/>
                <w:numId w:val="9"/>
              </w:numPr>
              <w:autoSpaceDE w:val="0"/>
              <w:autoSpaceDN w:val="0"/>
              <w:adjustRightInd w:val="0"/>
              <w:spacing w:before="60" w:after="60"/>
              <w:rPr>
                <w:iCs/>
                <w:sz w:val="18"/>
                <w:szCs w:val="18"/>
              </w:rPr>
            </w:pPr>
            <w:r w:rsidRPr="0013345E">
              <w:rPr>
                <w:iCs/>
                <w:sz w:val="18"/>
                <w:szCs w:val="18"/>
              </w:rPr>
              <w:t>posting information on commercial Web sites; and</w:t>
            </w:r>
          </w:p>
          <w:p w:rsidR="001C3BD4" w:rsidRPr="0013345E" w:rsidRDefault="0013345E" w:rsidP="0013345E">
            <w:pPr>
              <w:numPr>
                <w:ilvl w:val="0"/>
                <w:numId w:val="9"/>
              </w:numPr>
              <w:autoSpaceDE w:val="0"/>
              <w:autoSpaceDN w:val="0"/>
              <w:adjustRightInd w:val="0"/>
              <w:spacing w:before="60" w:after="60"/>
              <w:rPr>
                <w:i/>
                <w:iCs/>
                <w:sz w:val="20"/>
              </w:rPr>
            </w:pPr>
            <w:proofErr w:type="gramStart"/>
            <w:r w:rsidRPr="0013345E">
              <w:rPr>
                <w:iCs/>
                <w:sz w:val="18"/>
                <w:szCs w:val="18"/>
              </w:rPr>
              <w:t>sharing</w:t>
            </w:r>
            <w:proofErr w:type="gramEnd"/>
            <w:r w:rsidRPr="0013345E">
              <w:rPr>
                <w:iCs/>
                <w:sz w:val="18"/>
                <w:szCs w:val="18"/>
              </w:rPr>
              <w:t xml:space="preserve"> information system account information.</w:t>
            </w: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419" w:rsidRDefault="00450419" w:rsidP="00F351C8">
      <w:r>
        <w:separator/>
      </w:r>
    </w:p>
  </w:endnote>
  <w:endnote w:type="continuationSeparator" w:id="0">
    <w:p w:rsidR="00450419" w:rsidRDefault="00450419" w:rsidP="00F351C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715"/>
      <w:docPartObj>
        <w:docPartGallery w:val="Page Numbers (Bottom of Page)"/>
        <w:docPartUnique/>
      </w:docPartObj>
    </w:sdtPr>
    <w:sdtContent>
      <w:sdt>
        <w:sdtPr>
          <w:id w:val="565050477"/>
          <w:docPartObj>
            <w:docPartGallery w:val="Page Numbers (Top of Page)"/>
            <w:docPartUnique/>
          </w:docPartObj>
        </w:sdtPr>
        <w:sdtContent>
          <w:p w:rsidR="00292D53" w:rsidRDefault="00292D53">
            <w:pPr>
              <w:pStyle w:val="Footer"/>
              <w:jc w:val="center"/>
            </w:pPr>
            <w:r>
              <w:t>Initial Public Draft</w:t>
            </w:r>
          </w:p>
          <w:p w:rsidR="00292D53" w:rsidRDefault="00292D53">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sdtContent>
      </w:sdt>
    </w:sdtContent>
  </w:sdt>
  <w:p w:rsidR="00292D53" w:rsidRDefault="00292D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419" w:rsidRDefault="00450419" w:rsidP="00F351C8">
      <w:r>
        <w:separator/>
      </w:r>
    </w:p>
  </w:footnote>
  <w:footnote w:type="continuationSeparator" w:id="0">
    <w:p w:rsidR="00450419" w:rsidRDefault="00450419"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D53" w:rsidRDefault="00292D53">
    <w:pPr>
      <w:pStyle w:val="Header"/>
    </w:pPr>
    <w:r>
      <w:t>Assessment Case:  PL-4 Rules of Behavior</w:t>
    </w:r>
  </w:p>
  <w:p w:rsidR="00292D53" w:rsidRDefault="00292D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1F9D"/>
    <w:multiLevelType w:val="hybridMultilevel"/>
    <w:tmpl w:val="22C67822"/>
    <w:lvl w:ilvl="0" w:tplc="0B586A3A">
      <w:start w:val="1"/>
      <w:numFmt w:val="bullet"/>
      <w:lvlText w:val="­"/>
      <w:lvlJc w:val="left"/>
      <w:pPr>
        <w:tabs>
          <w:tab w:val="num" w:pos="360"/>
        </w:tabs>
        <w:ind w:left="360" w:hanging="360"/>
      </w:pPr>
      <w:rPr>
        <w:rFonts w:ascii="Courier New" w:hAnsi="Courier New" w:hint="default"/>
        <w:b w:val="0"/>
        <w:i/>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7C513B"/>
    <w:multiLevelType w:val="hybridMultilevel"/>
    <w:tmpl w:val="2702DB5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6"/>
  </w:num>
  <w:num w:numId="4">
    <w:abstractNumId w:val="1"/>
  </w:num>
  <w:num w:numId="5">
    <w:abstractNumId w:val="3"/>
  </w:num>
  <w:num w:numId="6">
    <w:abstractNumId w:val="5"/>
  </w:num>
  <w:num w:numId="7">
    <w:abstractNumId w:val="4"/>
  </w:num>
  <w:num w:numId="8">
    <w:abstractNumId w:val="2"/>
  </w:num>
  <w:num w:numId="9">
    <w:abstractNumId w:val="0"/>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746E1"/>
    <w:rsid w:val="00127B11"/>
    <w:rsid w:val="0013345E"/>
    <w:rsid w:val="00135460"/>
    <w:rsid w:val="001C3BD4"/>
    <w:rsid w:val="001D18B5"/>
    <w:rsid w:val="001F4C85"/>
    <w:rsid w:val="00237E5D"/>
    <w:rsid w:val="002519B9"/>
    <w:rsid w:val="00270A36"/>
    <w:rsid w:val="00292D53"/>
    <w:rsid w:val="002935E4"/>
    <w:rsid w:val="002F5405"/>
    <w:rsid w:val="002F6E98"/>
    <w:rsid w:val="003111F5"/>
    <w:rsid w:val="00345695"/>
    <w:rsid w:val="003F22A2"/>
    <w:rsid w:val="00450419"/>
    <w:rsid w:val="00450E57"/>
    <w:rsid w:val="004569C2"/>
    <w:rsid w:val="00531A1C"/>
    <w:rsid w:val="0055491C"/>
    <w:rsid w:val="00574E0B"/>
    <w:rsid w:val="005E0988"/>
    <w:rsid w:val="005F621E"/>
    <w:rsid w:val="00611528"/>
    <w:rsid w:val="00623080"/>
    <w:rsid w:val="0065175E"/>
    <w:rsid w:val="006A2307"/>
    <w:rsid w:val="006E36E2"/>
    <w:rsid w:val="006F3A36"/>
    <w:rsid w:val="00707F6C"/>
    <w:rsid w:val="007134C8"/>
    <w:rsid w:val="007D39C7"/>
    <w:rsid w:val="00806DF9"/>
    <w:rsid w:val="0081301E"/>
    <w:rsid w:val="0083106E"/>
    <w:rsid w:val="00845B00"/>
    <w:rsid w:val="00845FB1"/>
    <w:rsid w:val="00854526"/>
    <w:rsid w:val="00870562"/>
    <w:rsid w:val="008C3AB6"/>
    <w:rsid w:val="008C6F95"/>
    <w:rsid w:val="008E5682"/>
    <w:rsid w:val="008F10FE"/>
    <w:rsid w:val="0090735A"/>
    <w:rsid w:val="00920EAA"/>
    <w:rsid w:val="00927DC8"/>
    <w:rsid w:val="009B54BC"/>
    <w:rsid w:val="009C024F"/>
    <w:rsid w:val="009F0736"/>
    <w:rsid w:val="009F3730"/>
    <w:rsid w:val="00A22E86"/>
    <w:rsid w:val="00A45573"/>
    <w:rsid w:val="00A5079A"/>
    <w:rsid w:val="00AD46A5"/>
    <w:rsid w:val="00AD6666"/>
    <w:rsid w:val="00AE638F"/>
    <w:rsid w:val="00B23549"/>
    <w:rsid w:val="00B35B59"/>
    <w:rsid w:val="00B56972"/>
    <w:rsid w:val="00B572C4"/>
    <w:rsid w:val="00B576E5"/>
    <w:rsid w:val="00B6655E"/>
    <w:rsid w:val="00B71E85"/>
    <w:rsid w:val="00BB37B9"/>
    <w:rsid w:val="00BE0A45"/>
    <w:rsid w:val="00C26D2E"/>
    <w:rsid w:val="00C574CE"/>
    <w:rsid w:val="00C578B3"/>
    <w:rsid w:val="00C623EE"/>
    <w:rsid w:val="00C70011"/>
    <w:rsid w:val="00C72F37"/>
    <w:rsid w:val="00CC24E3"/>
    <w:rsid w:val="00D344B7"/>
    <w:rsid w:val="00D50C4F"/>
    <w:rsid w:val="00E22AC1"/>
    <w:rsid w:val="00E84AA1"/>
    <w:rsid w:val="00EF4372"/>
    <w:rsid w:val="00F15739"/>
    <w:rsid w:val="00F31535"/>
    <w:rsid w:val="00F351C8"/>
    <w:rsid w:val="00F66652"/>
    <w:rsid w:val="00F85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845FB1"/>
    <w:rPr>
      <w:rFonts w:ascii="Tahoma" w:hAnsi="Tahoma" w:cs="Tahoma"/>
      <w:sz w:val="16"/>
      <w:szCs w:val="16"/>
    </w:rPr>
  </w:style>
  <w:style w:type="character" w:customStyle="1" w:styleId="BalloonTextChar">
    <w:name w:val="Balloon Text Char"/>
    <w:basedOn w:val="DefaultParagraphFont"/>
    <w:link w:val="BalloonText"/>
    <w:uiPriority w:val="99"/>
    <w:semiHidden/>
    <w:rsid w:val="00845FB1"/>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45FB1"/>
    <w:rPr>
      <w:sz w:val="16"/>
      <w:szCs w:val="16"/>
    </w:rPr>
  </w:style>
  <w:style w:type="paragraph" w:styleId="CommentText">
    <w:name w:val="annotation text"/>
    <w:basedOn w:val="Normal"/>
    <w:link w:val="CommentTextChar"/>
    <w:uiPriority w:val="99"/>
    <w:semiHidden/>
    <w:unhideWhenUsed/>
    <w:rsid w:val="00845FB1"/>
    <w:rPr>
      <w:sz w:val="20"/>
      <w:szCs w:val="20"/>
    </w:rPr>
  </w:style>
  <w:style w:type="character" w:customStyle="1" w:styleId="CommentTextChar">
    <w:name w:val="Comment Text Char"/>
    <w:basedOn w:val="DefaultParagraphFont"/>
    <w:link w:val="CommentText"/>
    <w:uiPriority w:val="99"/>
    <w:semiHidden/>
    <w:rsid w:val="00845FB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5FB1"/>
    <w:rPr>
      <w:b/>
      <w:bCs/>
    </w:rPr>
  </w:style>
  <w:style w:type="character" w:customStyle="1" w:styleId="CommentSubjectChar">
    <w:name w:val="Comment Subject Char"/>
    <w:basedOn w:val="CommentTextChar"/>
    <w:link w:val="CommentSubject"/>
    <w:uiPriority w:val="99"/>
    <w:semiHidden/>
    <w:rsid w:val="00845FB1"/>
    <w:rPr>
      <w:b/>
      <w:bCs/>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BC7B58"/>
    <w:rsid w:val="00053040"/>
    <w:rsid w:val="00BC7B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DF7E791E3B491E8E34BA2AB4C8A0B0">
    <w:name w:val="E1DF7E791E3B491E8E34BA2AB4C8A0B0"/>
    <w:rsid w:val="00BC7B5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EBAD4-CCB6-4F4C-8716-7FC59B769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3</cp:revision>
  <cp:lastPrinted>2011-01-04T02:19:00Z</cp:lastPrinted>
  <dcterms:created xsi:type="dcterms:W3CDTF">2011-05-30T19:52:00Z</dcterms:created>
  <dcterms:modified xsi:type="dcterms:W3CDTF">2011-11-05T09:48:00Z</dcterms:modified>
</cp:coreProperties>
</file>