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25B1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C25B1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E119B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25B1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25B19" w:rsidRPr="003C1D70" w:rsidRDefault="00C25B1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SA-13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25B19" w:rsidRPr="003C1D70" w:rsidRDefault="00C25B1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TRUSTWORTHINESS</w:t>
            </w:r>
          </w:p>
        </w:tc>
      </w:tr>
      <w:tr w:rsidR="00C25B19" w:rsidRPr="00D54FC9" w:rsidTr="00F351C8">
        <w:trPr>
          <w:cantSplit/>
        </w:trPr>
        <w:tc>
          <w:tcPr>
            <w:tcW w:w="1166" w:type="dxa"/>
          </w:tcPr>
          <w:p w:rsidR="00BE119B" w:rsidRDefault="00BE119B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25B19" w:rsidRDefault="00C25B19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SA-13.1</w:t>
            </w:r>
          </w:p>
          <w:p w:rsidR="00C25B19" w:rsidRDefault="00C25B19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25B19" w:rsidRDefault="00C25B19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C25B19" w:rsidRPr="00623FBB" w:rsidRDefault="00C25B1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23FB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25B19" w:rsidRPr="00623FBB" w:rsidRDefault="00C25B1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23FBB">
              <w:rPr>
                <w:bCs/>
                <w:i/>
                <w:iCs/>
                <w:sz w:val="20"/>
              </w:rPr>
              <w:t>Determine</w:t>
            </w:r>
            <w:r w:rsidRPr="00623FBB">
              <w:rPr>
                <w:i/>
                <w:iCs/>
                <w:sz w:val="20"/>
              </w:rPr>
              <w:t xml:space="preserve"> if:</w:t>
            </w:r>
          </w:p>
          <w:p w:rsidR="00C25B19" w:rsidRPr="00623FBB" w:rsidRDefault="00C25B19" w:rsidP="00C25B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23FBB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defines the organization’s level of trustworthiness</w:t>
            </w:r>
            <w:r w:rsidRPr="00623FBB">
              <w:rPr>
                <w:i/>
                <w:iCs/>
                <w:sz w:val="20"/>
              </w:rPr>
              <w:t>; and</w:t>
            </w:r>
          </w:p>
          <w:p w:rsidR="00C25B19" w:rsidRPr="00623FBB" w:rsidRDefault="00C25B19" w:rsidP="00C25B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623FBB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623FBB">
              <w:rPr>
                <w:i/>
                <w:iCs/>
                <w:sz w:val="20"/>
                <w:szCs w:val="20"/>
              </w:rPr>
              <w:t xml:space="preserve"> organization</w:t>
            </w:r>
            <w:r>
              <w:rPr>
                <w:i/>
                <w:iCs/>
                <w:sz w:val="20"/>
                <w:szCs w:val="20"/>
              </w:rPr>
              <w:t xml:space="preserve"> requires that the information system meet the organization-defined level of trustworthiness.</w:t>
            </w:r>
            <w:r w:rsidRPr="00623FBB">
              <w:rPr>
                <w:i/>
                <w:iCs/>
                <w:sz w:val="20"/>
                <w:szCs w:val="20"/>
              </w:rPr>
              <w:t xml:space="preserve"> </w:t>
            </w:r>
          </w:p>
          <w:p w:rsidR="00C25B19" w:rsidRPr="00025D36" w:rsidRDefault="00C25B1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25D3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25B19" w:rsidRPr="00025D36" w:rsidRDefault="00C25B19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25D3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25D3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25D3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25D3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25D36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security engineering principles used in the development and implementation of the information system</w:t>
            </w:r>
            <w:r w:rsidRPr="00025D3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information system design documentation; security requirements and security specifications for the information system;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penetration test and vulnerability scan reports; security test and evaluation results; authority to operate documentation; </w:t>
            </w:r>
            <w:r w:rsidRPr="00025D3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C25B19" w:rsidRPr="003C1D70" w:rsidRDefault="00C25B19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025D3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25D3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25D3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25D3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025D36">
              <w:rPr>
                <w:rFonts w:ascii="Arial" w:hAnsi="Arial" w:cs="Arial"/>
                <w:iCs/>
                <w:sz w:val="16"/>
                <w:szCs w:val="16"/>
              </w:rPr>
              <w:t>rganizational personnel with system and services acquisition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; information system authorizing official</w:t>
            </w:r>
            <w:r w:rsidRPr="00025D36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0042B" w:rsidRPr="0090042B">
              <w:rPr>
                <w:rFonts w:ascii="Arial" w:hAnsi="Arial" w:cs="Arial"/>
                <w:iCs/>
                <w:smallCaps/>
                <w:sz w:val="16"/>
                <w:szCs w:val="16"/>
              </w:rPr>
              <w:t>SA-8, SA-12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90042B" w:rsidRPr="0090042B">
              <w:rPr>
                <w:rFonts w:ascii="Arial" w:hAnsi="Arial" w:cs="Arial"/>
                <w:iCs/>
                <w:smallCaps/>
                <w:sz w:val="16"/>
                <w:szCs w:val="16"/>
              </w:rPr>
              <w:t>SA-4, SA-5, SA-14, SI-3</w:t>
            </w:r>
          </w:p>
          <w:p w:rsidR="00C70011" w:rsidRPr="005073C2" w:rsidRDefault="00C70011" w:rsidP="00554DB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0042B" w:rsidRPr="0090042B">
              <w:rPr>
                <w:rFonts w:ascii="Arial" w:hAnsi="Arial" w:cs="Arial"/>
                <w:iCs/>
                <w:smallCaps/>
                <w:sz w:val="16"/>
                <w:szCs w:val="16"/>
              </w:rPr>
              <w:t>SA-4, SA-14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E119B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E119B" w:rsidRPr="005073C2" w:rsidTr="00F351C8">
        <w:trPr>
          <w:cantSplit/>
        </w:trPr>
        <w:tc>
          <w:tcPr>
            <w:tcW w:w="1530" w:type="dxa"/>
            <w:gridSpan w:val="2"/>
          </w:tcPr>
          <w:p w:rsidR="00BE119B" w:rsidRPr="005073C2" w:rsidRDefault="00BE119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E119B" w:rsidRDefault="00BE119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E119B" w:rsidRDefault="00BE119B" w:rsidP="00BE119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E119B" w:rsidRPr="005C5B9C" w:rsidRDefault="00BE119B" w:rsidP="00BE119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E119B" w:rsidRPr="005C5B9C" w:rsidRDefault="00BE119B" w:rsidP="00BE119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2558BA" w:rsidRDefault="002558BA" w:rsidP="002558B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="00127B11" w:rsidRPr="002558B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13</w:t>
            </w:r>
            <w:r w:rsidR="00127B11" w:rsidRPr="002558BA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Default="00323E4D" w:rsidP="00404F60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services acquisition policy, procedures addressing security engineering principles used in the development and implementation of the information system, security plan, or other relevant 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 w:rsidR="00795550">
              <w:rPr>
                <w:sz w:val="18"/>
                <w:szCs w:val="18"/>
              </w:rPr>
              <w:t xml:space="preserve">] for the </w:t>
            </w:r>
            <w:r w:rsidR="00E02779">
              <w:rPr>
                <w:sz w:val="18"/>
                <w:szCs w:val="18"/>
              </w:rPr>
              <w:t xml:space="preserve">organizational </w:t>
            </w:r>
            <w:r w:rsidR="00795550">
              <w:rPr>
                <w:sz w:val="18"/>
                <w:szCs w:val="18"/>
              </w:rPr>
              <w:t>level</w:t>
            </w:r>
            <w:r w:rsidR="00AB4516">
              <w:rPr>
                <w:sz w:val="18"/>
                <w:szCs w:val="18"/>
              </w:rPr>
              <w:t xml:space="preserve"> of trustworthiness required </w:t>
            </w:r>
            <w:r w:rsidR="00404F60">
              <w:rPr>
                <w:sz w:val="18"/>
                <w:szCs w:val="18"/>
              </w:rPr>
              <w:t>for the</w:t>
            </w:r>
            <w:r w:rsidR="001723BC">
              <w:rPr>
                <w:sz w:val="18"/>
                <w:szCs w:val="18"/>
              </w:rPr>
              <w:t xml:space="preserve"> </w:t>
            </w:r>
            <w:r w:rsidR="00AB4516">
              <w:rPr>
                <w:sz w:val="18"/>
                <w:szCs w:val="18"/>
              </w:rPr>
              <w:t>information system</w:t>
            </w:r>
            <w:r>
              <w:rPr>
                <w:sz w:val="18"/>
                <w:szCs w:val="18"/>
              </w:rPr>
              <w:t>.</w:t>
            </w:r>
          </w:p>
          <w:p w:rsidR="00E02779" w:rsidRPr="002F5405" w:rsidRDefault="00E02779" w:rsidP="00B115FF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Note to assessor: </w:t>
            </w:r>
            <w:r w:rsidR="00DC0F25">
              <w:rPr>
                <w:sz w:val="18"/>
                <w:szCs w:val="18"/>
              </w:rPr>
              <w:t xml:space="preserve">The trustworthiness </w:t>
            </w:r>
            <w:r w:rsidR="00B115FF">
              <w:rPr>
                <w:sz w:val="18"/>
                <w:szCs w:val="18"/>
              </w:rPr>
              <w:t>of</w:t>
            </w:r>
            <w:r w:rsidR="00DC0F25">
              <w:rPr>
                <w:sz w:val="18"/>
                <w:szCs w:val="18"/>
              </w:rPr>
              <w:t xml:space="preserve"> an information system may be expressed as </w:t>
            </w:r>
            <w:r w:rsidR="009A1D02">
              <w:rPr>
                <w:sz w:val="18"/>
                <w:szCs w:val="18"/>
              </w:rPr>
              <w:t>a security assurance model</w:t>
            </w:r>
            <w:r w:rsidR="00AB278C">
              <w:rPr>
                <w:sz w:val="18"/>
                <w:szCs w:val="18"/>
              </w:rPr>
              <w:t>/level</w:t>
            </w:r>
            <w:r w:rsidR="009A1D02">
              <w:rPr>
                <w:sz w:val="18"/>
                <w:szCs w:val="18"/>
              </w:rPr>
              <w:t xml:space="preserve"> that defines the security capabilities the information system must </w:t>
            </w:r>
            <w:r w:rsidR="00606422">
              <w:rPr>
                <w:sz w:val="18"/>
                <w:szCs w:val="18"/>
              </w:rPr>
              <w:t xml:space="preserve">consistently </w:t>
            </w:r>
            <w:r w:rsidR="00AB278C">
              <w:rPr>
                <w:sz w:val="18"/>
                <w:szCs w:val="18"/>
              </w:rPr>
              <w:t>demonstrate</w:t>
            </w:r>
            <w:r w:rsidR="00005CE7">
              <w:rPr>
                <w:sz w:val="18"/>
                <w:szCs w:val="18"/>
              </w:rPr>
              <w:t xml:space="preserve"> </w:t>
            </w:r>
            <w:r w:rsidR="00866003">
              <w:rPr>
                <w:sz w:val="18"/>
                <w:szCs w:val="18"/>
              </w:rPr>
              <w:t xml:space="preserve">to </w:t>
            </w:r>
            <w:r w:rsidR="004266C1">
              <w:rPr>
                <w:sz w:val="18"/>
                <w:szCs w:val="18"/>
              </w:rPr>
              <w:t xml:space="preserve">achieve </w:t>
            </w:r>
            <w:r w:rsidR="00343C0B">
              <w:rPr>
                <w:sz w:val="18"/>
                <w:szCs w:val="18"/>
              </w:rPr>
              <w:t xml:space="preserve">the </w:t>
            </w:r>
            <w:r w:rsidR="004266C1">
              <w:rPr>
                <w:sz w:val="18"/>
                <w:szCs w:val="18"/>
              </w:rPr>
              <w:t xml:space="preserve">degree of confidence </w:t>
            </w:r>
            <w:r w:rsidR="00343C0B">
              <w:rPr>
                <w:sz w:val="18"/>
                <w:szCs w:val="18"/>
              </w:rPr>
              <w:t xml:space="preserve">required to authorize the system for operation </w:t>
            </w:r>
            <w:r w:rsidR="009A1D02">
              <w:rPr>
                <w:sz w:val="18"/>
                <w:szCs w:val="18"/>
              </w:rPr>
              <w:t xml:space="preserve">within </w:t>
            </w:r>
            <w:r w:rsidR="00B52752">
              <w:rPr>
                <w:sz w:val="18"/>
                <w:szCs w:val="18"/>
              </w:rPr>
              <w:t xml:space="preserve">defined </w:t>
            </w:r>
            <w:r w:rsidR="00AB278C">
              <w:rPr>
                <w:sz w:val="18"/>
                <w:szCs w:val="18"/>
              </w:rPr>
              <w:t xml:space="preserve">levels of </w:t>
            </w:r>
            <w:r w:rsidR="00B52752">
              <w:rPr>
                <w:sz w:val="18"/>
                <w:szCs w:val="18"/>
              </w:rPr>
              <w:t xml:space="preserve">acceptable </w:t>
            </w:r>
            <w:r w:rsidR="00AB278C">
              <w:rPr>
                <w:sz w:val="18"/>
                <w:szCs w:val="18"/>
              </w:rPr>
              <w:t xml:space="preserve">risk. </w:t>
            </w:r>
          </w:p>
        </w:tc>
      </w:tr>
      <w:tr w:rsidR="00BE119B" w:rsidRPr="004F7EFC" w:rsidTr="00BE119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E119B" w:rsidRDefault="00BE119B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E119B" w:rsidRPr="008D7BED" w:rsidRDefault="00BE119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74E7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4E7A" w:rsidRPr="002558BA" w:rsidRDefault="00C74E7A" w:rsidP="00294D93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</w:t>
            </w:r>
            <w:r w:rsidRPr="002558B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13.1.2</w:t>
            </w:r>
            <w:r w:rsidRPr="002558B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4E7A" w:rsidRPr="002F5405" w:rsidRDefault="00C74E7A" w:rsidP="00404F6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404F60">
              <w:rPr>
                <w:sz w:val="18"/>
                <w:szCs w:val="18"/>
              </w:rPr>
              <w:t xml:space="preserve">system and services acquisition policy, procedures addressing security engineering principles used in the development and implementation of the information system, documentation, acquisition contracts, service level agreements, security plan, </w:t>
            </w:r>
            <w:r w:rsidR="007F38EC">
              <w:rPr>
                <w:sz w:val="18"/>
                <w:szCs w:val="18"/>
              </w:rPr>
              <w:t xml:space="preserve">or other relevant </w:t>
            </w:r>
            <w:r>
              <w:rPr>
                <w:sz w:val="18"/>
                <w:szCs w:val="18"/>
              </w:rPr>
              <w:t>documents; [</w:t>
            </w:r>
            <w:r w:rsidRPr="000B390A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45633C">
              <w:rPr>
                <w:sz w:val="18"/>
                <w:szCs w:val="18"/>
              </w:rPr>
              <w:t>requirement that the information system meet the level of trustworthiness identified in SA-13.1.1.1</w:t>
            </w:r>
            <w:r>
              <w:rPr>
                <w:sz w:val="18"/>
                <w:szCs w:val="18"/>
              </w:rPr>
              <w:t>.</w:t>
            </w:r>
          </w:p>
        </w:tc>
      </w:tr>
      <w:tr w:rsidR="00D67D7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67D7A" w:rsidRDefault="00D67D7A" w:rsidP="00392AF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SA-13.1.2.2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67D7A" w:rsidRPr="005769C6" w:rsidRDefault="00D67D7A" w:rsidP="00392AF4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Interview </w:t>
            </w:r>
            <w:r>
              <w:rPr>
                <w:sz w:val="18"/>
                <w:szCs w:val="18"/>
              </w:rPr>
              <w:t>an agreed-upon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organizational personnel with system and services acquisition responsibilities and/or the authorizing official for the information system; conducting [</w:t>
            </w:r>
            <w:r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discussions for evidence of the requirement identified in SA-13.1.2.1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5F7" w:rsidRDefault="00A835F7" w:rsidP="00F351C8">
      <w:r>
        <w:separator/>
      </w:r>
    </w:p>
  </w:endnote>
  <w:endnote w:type="continuationSeparator" w:id="0">
    <w:p w:rsidR="00A835F7" w:rsidRDefault="00A835F7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6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E119B" w:rsidRDefault="00BE119B">
            <w:pPr>
              <w:pStyle w:val="Footer"/>
              <w:jc w:val="center"/>
            </w:pPr>
            <w:r>
              <w:t>Initial Public Draft</w:t>
            </w:r>
          </w:p>
          <w:p w:rsidR="00BE119B" w:rsidRDefault="00BE119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BE119B" w:rsidRDefault="00BE11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5F7" w:rsidRDefault="00A835F7" w:rsidP="00F351C8">
      <w:r>
        <w:separator/>
      </w:r>
    </w:p>
  </w:footnote>
  <w:footnote w:type="continuationSeparator" w:id="0">
    <w:p w:rsidR="00A835F7" w:rsidRDefault="00A835F7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19B" w:rsidRDefault="00BE119B">
    <w:pPr>
      <w:pStyle w:val="Header"/>
    </w:pPr>
    <w:r>
      <w:t>Assessment Case:  SA-13 Trustworthiness</w:t>
    </w:r>
  </w:p>
  <w:p w:rsidR="00BE119B" w:rsidRDefault="00BE11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832"/>
    <w:multiLevelType w:val="hybridMultilevel"/>
    <w:tmpl w:val="98BE455A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314556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5CE7"/>
    <w:rsid w:val="0006084B"/>
    <w:rsid w:val="00127B11"/>
    <w:rsid w:val="00135460"/>
    <w:rsid w:val="0014124E"/>
    <w:rsid w:val="001723BC"/>
    <w:rsid w:val="00192509"/>
    <w:rsid w:val="001C3BD4"/>
    <w:rsid w:val="001D18B5"/>
    <w:rsid w:val="00224D84"/>
    <w:rsid w:val="002530BE"/>
    <w:rsid w:val="002558BA"/>
    <w:rsid w:val="00261318"/>
    <w:rsid w:val="00277A8F"/>
    <w:rsid w:val="002F5405"/>
    <w:rsid w:val="002F6E98"/>
    <w:rsid w:val="003111F5"/>
    <w:rsid w:val="003115A8"/>
    <w:rsid w:val="003147A3"/>
    <w:rsid w:val="0032242B"/>
    <w:rsid w:val="00323E4D"/>
    <w:rsid w:val="00343C0B"/>
    <w:rsid w:val="003C7014"/>
    <w:rsid w:val="003E1703"/>
    <w:rsid w:val="00404F60"/>
    <w:rsid w:val="004266C1"/>
    <w:rsid w:val="0045633C"/>
    <w:rsid w:val="004569C2"/>
    <w:rsid w:val="00467E11"/>
    <w:rsid w:val="004D730C"/>
    <w:rsid w:val="00531A1C"/>
    <w:rsid w:val="0055491C"/>
    <w:rsid w:val="00554DB2"/>
    <w:rsid w:val="005863CE"/>
    <w:rsid w:val="005E0988"/>
    <w:rsid w:val="005F621E"/>
    <w:rsid w:val="00606422"/>
    <w:rsid w:val="00623080"/>
    <w:rsid w:val="0065175E"/>
    <w:rsid w:val="00673526"/>
    <w:rsid w:val="006B2CEF"/>
    <w:rsid w:val="006D293F"/>
    <w:rsid w:val="006E36E2"/>
    <w:rsid w:val="006F3A36"/>
    <w:rsid w:val="00707F6C"/>
    <w:rsid w:val="007134C8"/>
    <w:rsid w:val="00795550"/>
    <w:rsid w:val="007D39C7"/>
    <w:rsid w:val="007E59A8"/>
    <w:rsid w:val="007F38EC"/>
    <w:rsid w:val="0081301E"/>
    <w:rsid w:val="00854526"/>
    <w:rsid w:val="00866003"/>
    <w:rsid w:val="008704FC"/>
    <w:rsid w:val="00870562"/>
    <w:rsid w:val="00876BF0"/>
    <w:rsid w:val="00881EB9"/>
    <w:rsid w:val="008C3AB6"/>
    <w:rsid w:val="008E5682"/>
    <w:rsid w:val="008E7EAC"/>
    <w:rsid w:val="008F10FE"/>
    <w:rsid w:val="0090042B"/>
    <w:rsid w:val="0090735A"/>
    <w:rsid w:val="00920EAA"/>
    <w:rsid w:val="00927DC8"/>
    <w:rsid w:val="009A1D02"/>
    <w:rsid w:val="00A45573"/>
    <w:rsid w:val="00A72BF9"/>
    <w:rsid w:val="00A835F7"/>
    <w:rsid w:val="00AB278C"/>
    <w:rsid w:val="00AB4516"/>
    <w:rsid w:val="00AC64A6"/>
    <w:rsid w:val="00AD46A5"/>
    <w:rsid w:val="00B115FF"/>
    <w:rsid w:val="00B52752"/>
    <w:rsid w:val="00B576E5"/>
    <w:rsid w:val="00B6655E"/>
    <w:rsid w:val="00BB37B9"/>
    <w:rsid w:val="00BD5D60"/>
    <w:rsid w:val="00BE0A45"/>
    <w:rsid w:val="00BE119B"/>
    <w:rsid w:val="00C156A1"/>
    <w:rsid w:val="00C25B19"/>
    <w:rsid w:val="00C26D2E"/>
    <w:rsid w:val="00C54EAB"/>
    <w:rsid w:val="00C70011"/>
    <w:rsid w:val="00C72F37"/>
    <w:rsid w:val="00C74E7A"/>
    <w:rsid w:val="00C76D43"/>
    <w:rsid w:val="00CC083F"/>
    <w:rsid w:val="00D2490A"/>
    <w:rsid w:val="00D46DF0"/>
    <w:rsid w:val="00D563C6"/>
    <w:rsid w:val="00D67D7A"/>
    <w:rsid w:val="00DC0F25"/>
    <w:rsid w:val="00E02779"/>
    <w:rsid w:val="00E05F01"/>
    <w:rsid w:val="00E20634"/>
    <w:rsid w:val="00E22AC1"/>
    <w:rsid w:val="00F15739"/>
    <w:rsid w:val="00F22CB9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E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E4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95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55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5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E95F7B"/>
    <w:rsid w:val="003049D1"/>
    <w:rsid w:val="00E95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B7BE3517B403FB98010592075C5B3">
    <w:name w:val="11BB7BE3517B403FB98010592075C5B3"/>
    <w:rsid w:val="00E95F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8E26-EB86-4A18-887D-258CF2B2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9</cp:revision>
  <cp:lastPrinted>2011-01-04T02:19:00Z</cp:lastPrinted>
  <dcterms:created xsi:type="dcterms:W3CDTF">2011-09-20T17:49:00Z</dcterms:created>
  <dcterms:modified xsi:type="dcterms:W3CDTF">2011-11-06T02:43:00Z</dcterms:modified>
</cp:coreProperties>
</file>