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8D4C1A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8D4C1A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686AF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8D4C1A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8D4C1A" w:rsidRPr="003C1D70" w:rsidRDefault="008D4C1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SA-6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8D4C1A" w:rsidRPr="003C1D70" w:rsidRDefault="008D4C1A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SOFTWARE USAGE RESTRICTIONS</w:t>
            </w:r>
          </w:p>
        </w:tc>
      </w:tr>
      <w:tr w:rsidR="008D4C1A" w:rsidRPr="00D54FC9" w:rsidTr="00F351C8">
        <w:trPr>
          <w:cantSplit/>
        </w:trPr>
        <w:tc>
          <w:tcPr>
            <w:tcW w:w="1166" w:type="dxa"/>
          </w:tcPr>
          <w:p w:rsidR="00686AFF" w:rsidRDefault="00686AF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D4C1A" w:rsidRDefault="008D4C1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SA-6.1</w:t>
            </w:r>
          </w:p>
          <w:p w:rsidR="008D4C1A" w:rsidRDefault="008D4C1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8D4C1A" w:rsidRDefault="008D4C1A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D4C1A" w:rsidRDefault="008D4C1A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8D4C1A" w:rsidRDefault="008D4C1A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8D4C1A" w:rsidRPr="003C1D70" w:rsidRDefault="008D4C1A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474" w:type="dxa"/>
            <w:gridSpan w:val="2"/>
          </w:tcPr>
          <w:p w:rsidR="008D4C1A" w:rsidRPr="0013131B" w:rsidRDefault="008D4C1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3131B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8D4C1A" w:rsidRPr="0013131B" w:rsidRDefault="008D4C1A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3131B">
              <w:rPr>
                <w:bCs/>
                <w:i/>
                <w:iCs/>
                <w:sz w:val="20"/>
              </w:rPr>
              <w:t>Determine</w:t>
            </w:r>
            <w:r w:rsidRPr="0013131B">
              <w:rPr>
                <w:i/>
                <w:iCs/>
                <w:sz w:val="20"/>
              </w:rPr>
              <w:t xml:space="preserve"> if:</w:t>
            </w:r>
          </w:p>
          <w:p w:rsidR="008D4C1A" w:rsidRPr="0013131B" w:rsidRDefault="008D4C1A" w:rsidP="008D4C1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13131B">
              <w:rPr>
                <w:i/>
                <w:iCs/>
                <w:sz w:val="20"/>
              </w:rPr>
              <w:t xml:space="preserve">the organization </w:t>
            </w:r>
            <w:r>
              <w:rPr>
                <w:i/>
                <w:iCs/>
                <w:sz w:val="20"/>
              </w:rPr>
              <w:t>uses software and associated documentation in accordance with contract agreements and copyright laws</w:t>
            </w:r>
            <w:r w:rsidRPr="0013131B">
              <w:rPr>
                <w:i/>
                <w:iCs/>
                <w:sz w:val="20"/>
              </w:rPr>
              <w:t>;</w:t>
            </w:r>
          </w:p>
          <w:p w:rsidR="008D4C1A" w:rsidRPr="0013131B" w:rsidRDefault="008D4C1A" w:rsidP="008D4C1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r w:rsidRPr="0013131B">
              <w:rPr>
                <w:i/>
                <w:iCs/>
                <w:sz w:val="20"/>
                <w:szCs w:val="20"/>
              </w:rPr>
              <w:t xml:space="preserve">the organization employs tracking systems </w:t>
            </w:r>
            <w:r>
              <w:rPr>
                <w:i/>
                <w:iCs/>
                <w:sz w:val="20"/>
                <w:szCs w:val="20"/>
              </w:rPr>
              <w:t xml:space="preserve">for software and associated documentation protected by quantity licenses </w:t>
            </w:r>
            <w:r w:rsidRPr="0013131B">
              <w:rPr>
                <w:i/>
                <w:iCs/>
                <w:sz w:val="20"/>
                <w:szCs w:val="20"/>
              </w:rPr>
              <w:t>to control copying and distribution; and</w:t>
            </w:r>
          </w:p>
          <w:p w:rsidR="008D4C1A" w:rsidRPr="0013131B" w:rsidRDefault="008D4C1A" w:rsidP="008D4C1A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  <w:szCs w:val="20"/>
              </w:rPr>
            </w:pPr>
            <w:proofErr w:type="gramStart"/>
            <w:r w:rsidRPr="0013131B">
              <w:rPr>
                <w:i/>
                <w:iCs/>
                <w:sz w:val="20"/>
                <w:szCs w:val="20"/>
              </w:rPr>
              <w:t>the</w:t>
            </w:r>
            <w:proofErr w:type="gramEnd"/>
            <w:r w:rsidRPr="0013131B">
              <w:rPr>
                <w:i/>
                <w:iCs/>
                <w:sz w:val="20"/>
                <w:szCs w:val="20"/>
              </w:rPr>
              <w:t xml:space="preserve"> organization controls and documents the use of peer-to-peer file sharing technology to ensure that this capability is not used for the unauthorized distribution, display, performance, or reproduction of copyrighted work</w:t>
            </w:r>
            <w:r w:rsidRPr="0013131B">
              <w:rPr>
                <w:i/>
                <w:iCs/>
                <w:sz w:val="20"/>
              </w:rPr>
              <w:t>.</w:t>
            </w:r>
          </w:p>
          <w:p w:rsidR="008D4C1A" w:rsidRPr="007D20F9" w:rsidRDefault="008D4C1A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D20F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8D4C1A" w:rsidRPr="007D20F9" w:rsidRDefault="008D4C1A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7D20F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D20F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D20F9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software usage restrictions; site license documentation; list of software usage restrictions; other relevant documents or records].</w:t>
            </w:r>
          </w:p>
          <w:p w:rsidR="008D4C1A" w:rsidRPr="003C1D70" w:rsidRDefault="008D4C1A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7D20F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D20F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administration responsibilities; o</w:t>
            </w:r>
            <w:r w:rsidRPr="007D20F9">
              <w:rPr>
                <w:rFonts w:ascii="Arial" w:hAnsi="Arial" w:cs="Arial"/>
                <w:iCs/>
                <w:sz w:val="16"/>
                <w:szCs w:val="16"/>
              </w:rPr>
              <w:t>rganizational personnel operating, using, and/or maintaining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63943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A63943" w:rsidRPr="00A63943">
              <w:rPr>
                <w:rFonts w:ascii="Arial" w:hAnsi="Arial" w:cs="Arial"/>
                <w:iCs/>
                <w:smallCaps/>
                <w:sz w:val="16"/>
                <w:szCs w:val="16"/>
              </w:rPr>
              <w:t>SA-4, SA-5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A63943" w:rsidRPr="00A63943">
              <w:rPr>
                <w:rFonts w:ascii="Arial" w:hAnsi="Arial" w:cs="Arial"/>
                <w:iCs/>
                <w:smallCaps/>
                <w:sz w:val="16"/>
                <w:szCs w:val="16"/>
              </w:rPr>
              <w:t>AC-17, AC-18, AC-19, AU-6, CM-3, IR-5, IR-6, PL-4, SA-7</w:t>
            </w:r>
          </w:p>
          <w:p w:rsidR="00C70011" w:rsidRPr="005073C2" w:rsidRDefault="00C70011" w:rsidP="00ED5A25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D5A25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686AF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686AFF" w:rsidRPr="005073C2" w:rsidTr="00F351C8">
        <w:trPr>
          <w:cantSplit/>
        </w:trPr>
        <w:tc>
          <w:tcPr>
            <w:tcW w:w="1530" w:type="dxa"/>
            <w:gridSpan w:val="2"/>
          </w:tcPr>
          <w:p w:rsidR="00686AFF" w:rsidRPr="005073C2" w:rsidRDefault="00686AF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686AFF" w:rsidRDefault="00686AFF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686AFF" w:rsidRDefault="00686AFF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686AFF" w:rsidRPr="005C5B9C" w:rsidRDefault="00686AFF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686AFF" w:rsidRPr="005C5B9C" w:rsidRDefault="00686AFF" w:rsidP="00002B5B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B3622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B3622" w:rsidRPr="002B6957" w:rsidRDefault="005B3622" w:rsidP="0058636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B69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2B6957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B3622" w:rsidRPr="002F5405" w:rsidRDefault="005B3622" w:rsidP="003122C0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FB634F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 xml:space="preserve">system and services acquisition policy, procedures addressing software usage restrictions, </w:t>
            </w:r>
            <w:r w:rsidR="007069B2">
              <w:rPr>
                <w:iCs/>
                <w:sz w:val="18"/>
                <w:szCs w:val="18"/>
              </w:rPr>
              <w:t xml:space="preserve">site license documentation, software usage restrictions, </w:t>
            </w:r>
            <w:r w:rsidR="00AC0EB9">
              <w:rPr>
                <w:iCs/>
                <w:sz w:val="18"/>
                <w:szCs w:val="18"/>
              </w:rPr>
              <w:t xml:space="preserve">security plan, </w:t>
            </w:r>
            <w:r>
              <w:rPr>
                <w:iCs/>
                <w:sz w:val="18"/>
                <w:szCs w:val="18"/>
              </w:rPr>
              <w:t>or other relevant documents</w:t>
            </w:r>
            <w:r w:rsidRPr="00FB634F">
              <w:rPr>
                <w:iCs/>
                <w:sz w:val="18"/>
                <w:szCs w:val="18"/>
              </w:rPr>
              <w:t>; [</w:t>
            </w:r>
            <w:r w:rsidRPr="00FB634F">
              <w:rPr>
                <w:i/>
                <w:iCs/>
                <w:sz w:val="18"/>
                <w:szCs w:val="18"/>
              </w:rPr>
              <w:t>reviewing</w:t>
            </w:r>
            <w:r w:rsidRPr="00FB634F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measures to be employed to use software and associated documentation in accordance with contract agreements and copyright laws.</w:t>
            </w:r>
          </w:p>
        </w:tc>
      </w:tr>
      <w:tr w:rsidR="005B3622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5B3622" w:rsidRPr="002B6957" w:rsidRDefault="005B3622" w:rsidP="0058636A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2B69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2B6957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5B3622" w:rsidRPr="00FB634F" w:rsidRDefault="005B3622" w:rsidP="00492BEC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FB634F">
              <w:rPr>
                <w:b/>
                <w:iCs/>
                <w:sz w:val="18"/>
                <w:szCs w:val="18"/>
              </w:rPr>
              <w:t xml:space="preserve">Examine </w:t>
            </w:r>
            <w:r w:rsidR="00492BEC">
              <w:rPr>
                <w:sz w:val="18"/>
                <w:szCs w:val="18"/>
              </w:rPr>
              <w:t>an agreed-upon [</w:t>
            </w:r>
            <w:r w:rsidR="00492BEC" w:rsidRPr="00492BEC">
              <w:rPr>
                <w:i/>
                <w:sz w:val="18"/>
                <w:szCs w:val="18"/>
              </w:rPr>
              <w:t>basic</w:t>
            </w:r>
            <w:r w:rsidR="00492BEC">
              <w:rPr>
                <w:sz w:val="18"/>
                <w:szCs w:val="18"/>
              </w:rPr>
              <w:t>] sample of information system audit records,</w:t>
            </w:r>
            <w:r w:rsidR="008A37CB">
              <w:rPr>
                <w:sz w:val="18"/>
                <w:szCs w:val="18"/>
              </w:rPr>
              <w:t xml:space="preserve"> configuration change control records,</w:t>
            </w:r>
            <w:r w:rsidR="00492BEC">
              <w:rPr>
                <w:sz w:val="18"/>
                <w:szCs w:val="18"/>
              </w:rPr>
              <w:t xml:space="preserve"> information system monitoring records, or other relevant records</w:t>
            </w:r>
            <w:r w:rsidRPr="00FB634F">
              <w:rPr>
                <w:iCs/>
                <w:sz w:val="18"/>
                <w:szCs w:val="18"/>
              </w:rPr>
              <w:t>; [</w:t>
            </w:r>
            <w:r w:rsidRPr="00FB634F">
              <w:rPr>
                <w:i/>
                <w:iCs/>
                <w:sz w:val="18"/>
                <w:szCs w:val="18"/>
              </w:rPr>
              <w:t>reviewing</w:t>
            </w:r>
            <w:r w:rsidRPr="00FB634F">
              <w:rPr>
                <w:iCs/>
                <w:sz w:val="18"/>
                <w:szCs w:val="18"/>
              </w:rPr>
              <w:t xml:space="preserve">] for </w:t>
            </w:r>
            <w:r w:rsidR="005750A3">
              <w:rPr>
                <w:iCs/>
                <w:sz w:val="18"/>
                <w:szCs w:val="18"/>
              </w:rPr>
              <w:t>evidence that the measures identified in SA-6.1.1.1 are being applied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AC0EB9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AC0EB9" w:rsidRPr="002B6957" w:rsidRDefault="00AC0EB9" w:rsidP="004E3D91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2B6957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  <w:r w:rsidRPr="002B6957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AC0EB9" w:rsidRPr="002F5405" w:rsidRDefault="00AC0EB9" w:rsidP="00AC0EB9">
            <w:pPr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>
              <w:rPr>
                <w:b/>
                <w:iCs/>
                <w:sz w:val="18"/>
                <w:szCs w:val="18"/>
              </w:rPr>
              <w:t>Interview</w:t>
            </w:r>
            <w:r w:rsidRPr="00FB634F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an agreed-upon [</w:t>
            </w:r>
            <w:r w:rsidRPr="00AC0EB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personnel with information system administration responsibilities and/or organizational personnel operating, using, and/or maintaining the information system</w:t>
            </w:r>
            <w:r w:rsidRPr="00FB634F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 xml:space="preserve">conducting </w:t>
            </w:r>
            <w:r w:rsidRPr="00FB634F">
              <w:rPr>
                <w:iCs/>
                <w:sz w:val="18"/>
                <w:szCs w:val="18"/>
              </w:rPr>
              <w:t>[</w:t>
            </w:r>
            <w:r>
              <w:rPr>
                <w:i/>
                <w:iCs/>
                <w:sz w:val="18"/>
                <w:szCs w:val="18"/>
              </w:rPr>
              <w:t>basic</w:t>
            </w:r>
            <w:r w:rsidRPr="00FB634F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discussions</w:t>
            </w:r>
            <w:r w:rsidRPr="00FB634F">
              <w:rPr>
                <w:iCs/>
                <w:sz w:val="18"/>
                <w:szCs w:val="18"/>
              </w:rPr>
              <w:t xml:space="preserve"> for</w:t>
            </w:r>
            <w:r>
              <w:rPr>
                <w:iCs/>
                <w:sz w:val="18"/>
                <w:szCs w:val="18"/>
              </w:rPr>
              <w:t xml:space="preserve"> further</w:t>
            </w:r>
            <w:r w:rsidRPr="00FB634F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evidence that the measures identified in SA-6.1.1.1 are being applied.</w:t>
            </w:r>
          </w:p>
        </w:tc>
      </w:tr>
      <w:tr w:rsidR="00686AFF" w:rsidRPr="005073C2" w:rsidTr="00686AF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86AFF" w:rsidRDefault="00686AF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86AFF" w:rsidRPr="008D7BED" w:rsidRDefault="00686AF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38149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81493" w:rsidRDefault="00381493" w:rsidP="004E3D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81493" w:rsidRDefault="00381493" w:rsidP="00CF514A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</w:t>
            </w:r>
            <w:r w:rsidR="00CF514A">
              <w:rPr>
                <w:sz w:val="18"/>
                <w:szCs w:val="18"/>
              </w:rPr>
              <w:t xml:space="preserve">procedures addressing </w:t>
            </w:r>
            <w:r>
              <w:rPr>
                <w:sz w:val="18"/>
                <w:szCs w:val="18"/>
              </w:rPr>
              <w:t>software usage restrictions, security plan, or other relevant documents; [</w:t>
            </w:r>
            <w:r w:rsidRPr="00381493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for the tracking systems to be employed to control copying and distribution of software and associated documentation protected by quality licenses. </w:t>
            </w:r>
          </w:p>
        </w:tc>
      </w:tr>
      <w:tr w:rsidR="0038149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81493" w:rsidRDefault="00381493" w:rsidP="004E3D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81493" w:rsidRDefault="00381493" w:rsidP="00240DBD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an agreed-upon [</w:t>
            </w:r>
            <w:r w:rsidRPr="0038149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 information system audit records, configuration change control records, information system monitoring records, or other relevant records for an agreed-upon [</w:t>
            </w:r>
            <w:r w:rsidRPr="0038149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tracking systems identified in SA-6.1.2.1; [</w:t>
            </w:r>
            <w:r w:rsidRPr="00381493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>] for evidence that the</w:t>
            </w:r>
            <w:r w:rsidR="00240DBD">
              <w:rPr>
                <w:sz w:val="18"/>
                <w:szCs w:val="18"/>
              </w:rPr>
              <w:t>se</w:t>
            </w:r>
            <w:r>
              <w:rPr>
                <w:sz w:val="18"/>
                <w:szCs w:val="18"/>
              </w:rPr>
              <w:t xml:space="preserve"> tracking systems</w:t>
            </w:r>
            <w:r w:rsidR="00240DB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are </w:t>
            </w:r>
            <w:r w:rsidR="00DD1E27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381493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381493" w:rsidRDefault="00381493" w:rsidP="004E3D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381493" w:rsidRDefault="00381493" w:rsidP="000F158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>an agreed-upon [</w:t>
            </w:r>
            <w:r w:rsidRPr="0038149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>] sample of organizational personnel operating, using, and/or maintaining the information system; conducting [</w:t>
            </w:r>
            <w:r w:rsidRPr="00381493">
              <w:rPr>
                <w:i/>
                <w:sz w:val="18"/>
                <w:szCs w:val="18"/>
              </w:rPr>
              <w:t>basic</w:t>
            </w:r>
            <w:r>
              <w:rPr>
                <w:sz w:val="18"/>
                <w:szCs w:val="18"/>
              </w:rPr>
              <w:t xml:space="preserve">] discussions for further evidence that the </w:t>
            </w:r>
            <w:r w:rsidR="000F1585">
              <w:rPr>
                <w:sz w:val="18"/>
                <w:szCs w:val="18"/>
              </w:rPr>
              <w:t>tracking systems</w:t>
            </w:r>
            <w:r>
              <w:rPr>
                <w:sz w:val="18"/>
                <w:szCs w:val="18"/>
              </w:rPr>
              <w:t xml:space="preserve"> identified in SA-6.1.2.1 are </w:t>
            </w:r>
            <w:r w:rsidR="00DD1E27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686AFF" w:rsidRPr="005073C2" w:rsidTr="00686AFF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86AFF" w:rsidRDefault="00686AF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686AFF" w:rsidRPr="008D7BED" w:rsidRDefault="00686AF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F514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F514A" w:rsidRDefault="00CF514A" w:rsidP="004E3D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SA-6.1.3.1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514A" w:rsidRDefault="00CF514A" w:rsidP="0018365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system and services acquisition policy, procedures addressing software usage restrictions, </w:t>
            </w:r>
            <w:r w:rsidR="00183653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 xml:space="preserve">or other relevant documents; </w:t>
            </w:r>
            <w:r w:rsidR="00183653">
              <w:rPr>
                <w:sz w:val="18"/>
                <w:szCs w:val="18"/>
              </w:rPr>
              <w:t>[</w:t>
            </w:r>
            <w:r w:rsidRPr="00183653">
              <w:rPr>
                <w:i/>
                <w:sz w:val="18"/>
                <w:szCs w:val="18"/>
              </w:rPr>
              <w:t>reviewing</w:t>
            </w:r>
            <w:r w:rsidR="00183653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the measures to be employed to</w:t>
            </w:r>
            <w:r w:rsidRPr="00AD2F4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control and document the use of peer-to-peer file sharing technology to ensure that this capability is not used for the unauthorized distribution, display, performance, or reproduction of copyrighted work.</w:t>
            </w:r>
          </w:p>
        </w:tc>
      </w:tr>
      <w:tr w:rsidR="00CF514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F514A" w:rsidRDefault="00CF514A" w:rsidP="004E3D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SA-6.1.3.2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514A" w:rsidRDefault="00CF514A" w:rsidP="005A621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 xml:space="preserve">an agreed-upon </w:t>
            </w:r>
            <w:r w:rsidR="00183653">
              <w:rPr>
                <w:sz w:val="18"/>
                <w:szCs w:val="18"/>
              </w:rPr>
              <w:t>[</w:t>
            </w:r>
            <w:r w:rsidR="00183653" w:rsidRPr="00183653">
              <w:rPr>
                <w:i/>
                <w:sz w:val="18"/>
                <w:szCs w:val="18"/>
              </w:rPr>
              <w:t>basic</w:t>
            </w:r>
            <w:r w:rsidR="00183653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sample of information system audit records, configuration change control records, information system monitoring records, or other relevant records</w:t>
            </w:r>
            <w:r w:rsidR="00744BB1">
              <w:rPr>
                <w:sz w:val="18"/>
                <w:szCs w:val="18"/>
              </w:rPr>
              <w:t xml:space="preserve"> associated with the use of peer-to-peer file sharing technology</w:t>
            </w:r>
            <w:r>
              <w:rPr>
                <w:sz w:val="18"/>
                <w:szCs w:val="18"/>
              </w:rPr>
              <w:t xml:space="preserve">; </w:t>
            </w:r>
            <w:r w:rsidR="00183653">
              <w:rPr>
                <w:sz w:val="18"/>
                <w:szCs w:val="18"/>
              </w:rPr>
              <w:t>[</w:t>
            </w:r>
            <w:r w:rsidRPr="00183653">
              <w:rPr>
                <w:i/>
                <w:sz w:val="18"/>
                <w:szCs w:val="18"/>
              </w:rPr>
              <w:t>reviewing</w:t>
            </w:r>
            <w:r w:rsidR="00183653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for evidence that </w:t>
            </w:r>
            <w:r w:rsidRPr="00043A79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measures identified in SA-6.1.3.1 are </w:t>
            </w:r>
            <w:r w:rsidR="00183653">
              <w:rPr>
                <w:iCs/>
                <w:sz w:val="18"/>
                <w:szCs w:val="18"/>
              </w:rPr>
              <w:t>being applied</w:t>
            </w:r>
            <w:r w:rsidRPr="00043A79">
              <w:rPr>
                <w:iCs/>
                <w:sz w:val="18"/>
                <w:szCs w:val="18"/>
              </w:rPr>
              <w:t>.</w:t>
            </w:r>
          </w:p>
        </w:tc>
      </w:tr>
      <w:tr w:rsidR="00CF514A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CF514A" w:rsidRDefault="00CF514A" w:rsidP="004E3D9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SA-6.1.3.3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F514A" w:rsidRDefault="00CF514A" w:rsidP="006C246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Interview </w:t>
            </w:r>
            <w:r>
              <w:rPr>
                <w:sz w:val="18"/>
                <w:szCs w:val="18"/>
              </w:rPr>
              <w:t xml:space="preserve">an agreed-upon </w:t>
            </w:r>
            <w:r w:rsidR="006C2461">
              <w:rPr>
                <w:sz w:val="18"/>
                <w:szCs w:val="18"/>
              </w:rPr>
              <w:t>[</w:t>
            </w:r>
            <w:r w:rsidR="006C2461" w:rsidRPr="00183653">
              <w:rPr>
                <w:i/>
                <w:sz w:val="18"/>
                <w:szCs w:val="18"/>
              </w:rPr>
              <w:t>basic</w:t>
            </w:r>
            <w:r w:rsidR="006C2461">
              <w:rPr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 xml:space="preserve">sample of </w:t>
            </w:r>
            <w:r w:rsidR="006C2461">
              <w:rPr>
                <w:sz w:val="18"/>
                <w:szCs w:val="18"/>
              </w:rPr>
              <w:t>organizational personnel operating, using, and/or maintaining the information system</w:t>
            </w:r>
            <w:r>
              <w:rPr>
                <w:sz w:val="18"/>
                <w:szCs w:val="18"/>
              </w:rPr>
              <w:t xml:space="preserve">; conducting </w:t>
            </w:r>
            <w:r w:rsidR="006C2461">
              <w:rPr>
                <w:sz w:val="18"/>
                <w:szCs w:val="18"/>
              </w:rPr>
              <w:t>[</w:t>
            </w:r>
            <w:r w:rsidR="006C2461" w:rsidRPr="006C2461">
              <w:rPr>
                <w:i/>
                <w:sz w:val="18"/>
                <w:szCs w:val="18"/>
              </w:rPr>
              <w:t>basic</w:t>
            </w:r>
            <w:r w:rsidR="006C2461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discussions for further evidence that the measures identified in SA-6.1.3.1 are </w:t>
            </w:r>
            <w:r w:rsidR="00DD1E27">
              <w:rPr>
                <w:sz w:val="18"/>
                <w:szCs w:val="18"/>
              </w:rPr>
              <w:t>being applied</w:t>
            </w:r>
            <w:r>
              <w:rPr>
                <w:sz w:val="18"/>
                <w:szCs w:val="18"/>
              </w:rPr>
              <w:t>.</w:t>
            </w:r>
          </w:p>
        </w:tc>
      </w:tr>
      <w:tr w:rsidR="00AC0EB9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AC0EB9" w:rsidRPr="005073C2" w:rsidRDefault="00AC0EB9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686AFF" w:rsidRDefault="00686AFF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AC0EB9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AC0EB9" w:rsidRPr="005073C2" w:rsidRDefault="00AC0EB9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1      </w:t>
            </w:r>
          </w:p>
        </w:tc>
      </w:tr>
      <w:tr w:rsidR="00AC0EB9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AC0EB9" w:rsidRPr="005073C2" w:rsidRDefault="00AC0EB9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686AFF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AC0EB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AC0EB9" w:rsidRPr="003C1D70" w:rsidRDefault="00AC0EB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sz w:val="16"/>
                <w:szCs w:val="16"/>
              </w:rPr>
              <w:t xml:space="preserve">SA-6(1)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AC0EB9" w:rsidRPr="003C1D70" w:rsidRDefault="00AC0EB9" w:rsidP="003B08F2">
            <w:pPr>
              <w:pStyle w:val="control-name"/>
              <w:spacing w:before="120"/>
              <w:rPr>
                <w:szCs w:val="16"/>
                <w:highlight w:val="yellow"/>
              </w:rPr>
            </w:pPr>
            <w:r w:rsidRPr="00CE0031">
              <w:t>SOFTWARE USAGE RESTRICTIONS</w:t>
            </w:r>
          </w:p>
        </w:tc>
      </w:tr>
      <w:tr w:rsidR="00AC0EB9" w:rsidRPr="005073C2" w:rsidTr="00F351C8">
        <w:trPr>
          <w:cantSplit/>
          <w:trHeight w:val="3244"/>
        </w:trPr>
        <w:tc>
          <w:tcPr>
            <w:tcW w:w="1530" w:type="dxa"/>
          </w:tcPr>
          <w:p w:rsidR="00AC0EB9" w:rsidRDefault="00AC0EB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C0EB9" w:rsidRDefault="00AC0EB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SA-6(1).1</w:t>
            </w:r>
          </w:p>
          <w:p w:rsidR="00AC0EB9" w:rsidRDefault="00AC0EB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AC0EB9" w:rsidRDefault="00AC0EB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C0EB9" w:rsidRDefault="00AC0EB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  <w:p w:rsidR="00AC0EB9" w:rsidRDefault="00AC0EB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C0EB9" w:rsidRDefault="00AC0EB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AC0EB9" w:rsidRPr="003C1D70" w:rsidRDefault="00AC0EB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3C1D70">
              <w:rPr>
                <w:rFonts w:ascii="Arial" w:hAnsi="Arial" w:cs="Arial"/>
                <w:b/>
                <w:iCs/>
                <w:sz w:val="16"/>
                <w:szCs w:val="16"/>
              </w:rPr>
              <w:t>SA-6(1).1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.3</w:t>
            </w:r>
          </w:p>
        </w:tc>
        <w:tc>
          <w:tcPr>
            <w:tcW w:w="7110" w:type="dxa"/>
          </w:tcPr>
          <w:p w:rsidR="00AC0EB9" w:rsidRPr="00314FA7" w:rsidRDefault="00AC0EB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14FA7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AC0EB9" w:rsidRDefault="00AC0EB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14FA7">
              <w:rPr>
                <w:bCs/>
                <w:i/>
                <w:iCs/>
                <w:sz w:val="20"/>
              </w:rPr>
              <w:t>Determine</w:t>
            </w:r>
            <w:r w:rsidRPr="00314FA7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AC0EB9" w:rsidRDefault="00AC0EB9" w:rsidP="008D4C1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 w:rsidRPr="00314FA7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prohibits the use of binary or machine executable code from sources with limited or no warranty without accompanying source code; </w:t>
            </w:r>
          </w:p>
          <w:p w:rsidR="00AC0EB9" w:rsidRDefault="00AC0EB9" w:rsidP="008D4C1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the organization provides exceptions to the source code requirement only when no alternative solutions are available to support  compelling mission/operational requirements; and </w:t>
            </w:r>
          </w:p>
          <w:p w:rsidR="00AC0EB9" w:rsidRPr="00314FA7" w:rsidRDefault="00AC0EB9" w:rsidP="008D4C1A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ind w:left="436" w:hanging="436"/>
              <w:rPr>
                <w:i/>
                <w:iCs/>
                <w:sz w:val="20"/>
              </w:rPr>
            </w:pPr>
            <w:proofErr w:type="gramStart"/>
            <w:r>
              <w:rPr>
                <w:i/>
                <w:iCs/>
                <w:sz w:val="20"/>
              </w:rPr>
              <w:t>the</w:t>
            </w:r>
            <w:proofErr w:type="gramEnd"/>
            <w:r>
              <w:rPr>
                <w:i/>
                <w:iCs/>
                <w:sz w:val="20"/>
              </w:rPr>
              <w:t xml:space="preserve"> organization obtains express written consent of the authorizing official for exceptions to the source code requirement. </w:t>
            </w:r>
          </w:p>
          <w:p w:rsidR="00AC0EB9" w:rsidRPr="007D20F9" w:rsidRDefault="00AC0EB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7D20F9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AC0EB9" w:rsidRDefault="00AC0EB9" w:rsidP="003B08F2">
            <w:pPr>
              <w:spacing w:before="60" w:after="120"/>
              <w:ind w:left="749" w:hanging="749"/>
              <w:rPr>
                <w:rFonts w:ascii="Arial Narrow" w:hAnsi="Arial Narrow" w:cs="Arial"/>
                <w:b/>
                <w:color w:val="000000"/>
                <w:sz w:val="16"/>
                <w:szCs w:val="16"/>
                <w:shd w:val="clear" w:color="auto" w:fill="D9D9D9"/>
              </w:rPr>
            </w:pPr>
            <w:r w:rsidRPr="007D20F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7D20F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7D20F9">
              <w:rPr>
                <w:rFonts w:ascii="Arial" w:hAnsi="Arial" w:cs="Arial"/>
                <w:iCs/>
                <w:sz w:val="16"/>
                <w:szCs w:val="16"/>
              </w:rPr>
              <w:t>System and services acquisition policy; procedures addressing the integration of information security requirements and/or security specifications into the acquisition process; solicitation documents; acquisition documentation; acquisition contracts for information systems or services; other relevant documents or records].</w:t>
            </w:r>
          </w:p>
          <w:p w:rsidR="00AC0EB9" w:rsidRPr="003C1D70" w:rsidRDefault="00AC0EB9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7D20F9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Interview:</w:t>
            </w:r>
            <w:r w:rsidRPr="007D20F9">
              <w:rPr>
                <w:rFonts w:ascii="Arial" w:hAnsi="Arial" w:cs="Arial"/>
                <w:iCs/>
                <w:sz w:val="16"/>
                <w:szCs w:val="16"/>
              </w:rPr>
              <w:t xml:space="preserve"> 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 w:rsidRPr="007D20F9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7D20F9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Organizational personnel with information system administration responsibilities; o</w:t>
            </w:r>
            <w:r w:rsidRPr="007D20F9">
              <w:rPr>
                <w:rFonts w:ascii="Arial" w:hAnsi="Arial" w:cs="Arial"/>
                <w:iCs/>
                <w:sz w:val="16"/>
                <w:szCs w:val="16"/>
              </w:rPr>
              <w:t>rganizational personnel operating, using, and/or maintaining the information system].</w:t>
            </w:r>
          </w:p>
        </w:tc>
      </w:tr>
      <w:tr w:rsidR="00AC0EB9" w:rsidRPr="005073C2" w:rsidTr="00F351C8">
        <w:trPr>
          <w:cantSplit/>
        </w:trPr>
        <w:tc>
          <w:tcPr>
            <w:tcW w:w="8640" w:type="dxa"/>
            <w:gridSpan w:val="2"/>
          </w:tcPr>
          <w:p w:rsidR="00AC0EB9" w:rsidRPr="005073C2" w:rsidRDefault="00AC0EB9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AC0EB9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AC0EB9" w:rsidRPr="005073C2" w:rsidRDefault="00AC0EB9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AC0EB9" w:rsidRPr="005073C2" w:rsidRDefault="00AC0EB9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AC0EB9" w:rsidRPr="005073C2" w:rsidRDefault="00AC0EB9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A91335" w:rsidRPr="00A63943">
              <w:rPr>
                <w:rFonts w:ascii="Arial" w:hAnsi="Arial" w:cs="Arial"/>
                <w:iCs/>
                <w:smallCaps/>
                <w:sz w:val="16"/>
                <w:szCs w:val="16"/>
              </w:rPr>
              <w:t>SA-4, SA-5</w:t>
            </w:r>
          </w:p>
          <w:p w:rsidR="00AC0EB9" w:rsidRPr="005073C2" w:rsidRDefault="00AC0EB9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A91335">
              <w:rPr>
                <w:rFonts w:ascii="Arial" w:hAnsi="Arial" w:cs="Arial"/>
                <w:iCs/>
                <w:smallCaps/>
                <w:sz w:val="16"/>
                <w:szCs w:val="16"/>
              </w:rPr>
              <w:t>SA-7</w:t>
            </w:r>
          </w:p>
          <w:p w:rsidR="00AC0EB9" w:rsidRPr="002F5405" w:rsidRDefault="00AC0EB9" w:rsidP="00D64F5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D64F5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AC0EB9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0EB9" w:rsidRPr="005073C2" w:rsidRDefault="00AC0EB9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C0EB9" w:rsidRPr="005073C2" w:rsidRDefault="00AC0EB9" w:rsidP="00686AFF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6F3AA3" w:rsidRPr="005073C2" w:rsidTr="00F351C8">
        <w:trPr>
          <w:cantSplit/>
        </w:trPr>
        <w:tc>
          <w:tcPr>
            <w:tcW w:w="1530" w:type="dxa"/>
          </w:tcPr>
          <w:p w:rsidR="006F3AA3" w:rsidRPr="006F3AA3" w:rsidRDefault="006F3AA3" w:rsidP="006F3AA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.1.1.1</w:t>
            </w:r>
          </w:p>
        </w:tc>
        <w:tc>
          <w:tcPr>
            <w:tcW w:w="7110" w:type="dxa"/>
          </w:tcPr>
          <w:p w:rsidR="006F3AA3" w:rsidRPr="005073C2" w:rsidRDefault="006F3AA3" w:rsidP="0048507A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Examine</w:t>
            </w:r>
            <w:r w:rsidRPr="00923068">
              <w:rPr>
                <w:b/>
                <w:iCs/>
                <w:sz w:val="18"/>
                <w:szCs w:val="18"/>
              </w:rPr>
              <w:t xml:space="preserve"> </w:t>
            </w:r>
            <w:r w:rsidR="007B3F80">
              <w:rPr>
                <w:iCs/>
                <w:sz w:val="18"/>
                <w:szCs w:val="18"/>
              </w:rPr>
              <w:t>system and services acquisition</w:t>
            </w:r>
            <w:r>
              <w:rPr>
                <w:iCs/>
                <w:sz w:val="18"/>
                <w:szCs w:val="18"/>
              </w:rPr>
              <w:t xml:space="preserve"> policy, procedures addressing </w:t>
            </w:r>
            <w:r w:rsidR="007B3F80">
              <w:rPr>
                <w:iCs/>
                <w:sz w:val="18"/>
                <w:szCs w:val="18"/>
              </w:rPr>
              <w:t>the integration of information security requirements and/or security specifications into the acquisition process, solicitation document</w:t>
            </w:r>
            <w:r w:rsidR="009C7BA5">
              <w:rPr>
                <w:iCs/>
                <w:sz w:val="18"/>
                <w:szCs w:val="18"/>
              </w:rPr>
              <w:t>ation</w:t>
            </w:r>
            <w:r w:rsidR="007B3F80">
              <w:rPr>
                <w:iCs/>
                <w:sz w:val="18"/>
                <w:szCs w:val="18"/>
              </w:rPr>
              <w:t>, acquisition contracts for information system services, security plan</w:t>
            </w:r>
            <w:r>
              <w:rPr>
                <w:iCs/>
                <w:sz w:val="18"/>
                <w:szCs w:val="18"/>
              </w:rPr>
              <w:t>, or other relevant documents;</w:t>
            </w:r>
            <w:r w:rsidRPr="00923068">
              <w:rPr>
                <w:iCs/>
                <w:sz w:val="18"/>
                <w:szCs w:val="18"/>
              </w:rPr>
              <w:t xml:space="preserve"> 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6F504C">
              <w:rPr>
                <w:iCs/>
                <w:sz w:val="18"/>
                <w:szCs w:val="18"/>
              </w:rPr>
              <w:t xml:space="preserve">source code requirement that </w:t>
            </w:r>
            <w:r>
              <w:rPr>
                <w:iCs/>
                <w:sz w:val="18"/>
                <w:szCs w:val="18"/>
              </w:rPr>
              <w:t>prohibit</w:t>
            </w:r>
            <w:r w:rsidR="006F504C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7A5285">
              <w:rPr>
                <w:iCs/>
                <w:sz w:val="18"/>
                <w:szCs w:val="18"/>
              </w:rPr>
              <w:t xml:space="preserve">the use of binary or machine executable code </w:t>
            </w:r>
            <w:r w:rsidR="0048507A">
              <w:rPr>
                <w:iCs/>
                <w:sz w:val="18"/>
                <w:szCs w:val="18"/>
              </w:rPr>
              <w:t xml:space="preserve">without accompanying source code </w:t>
            </w:r>
            <w:r w:rsidR="007A5285">
              <w:rPr>
                <w:iCs/>
                <w:sz w:val="18"/>
                <w:szCs w:val="18"/>
              </w:rPr>
              <w:t>from sources with limited or no warranty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6F3AA3" w:rsidRPr="005073C2" w:rsidTr="00F351C8">
        <w:trPr>
          <w:cantSplit/>
        </w:trPr>
        <w:tc>
          <w:tcPr>
            <w:tcW w:w="1530" w:type="dxa"/>
          </w:tcPr>
          <w:p w:rsidR="006F3AA3" w:rsidRPr="006F3AA3" w:rsidRDefault="006F3AA3" w:rsidP="00013D6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 w:rsidR="00013D60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6F3AA3" w:rsidRPr="005073C2" w:rsidRDefault="006F3AA3" w:rsidP="00013D60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Interview</w:t>
            </w:r>
            <w:r w:rsidRPr="00732F80">
              <w:rPr>
                <w:b/>
                <w:iCs/>
                <w:sz w:val="18"/>
                <w:szCs w:val="18"/>
              </w:rPr>
              <w:t xml:space="preserve"> </w:t>
            </w:r>
            <w:r w:rsidRPr="00732F80">
              <w:rPr>
                <w:iCs/>
                <w:sz w:val="18"/>
                <w:szCs w:val="18"/>
              </w:rPr>
              <w:t>an agreed-upon [</w:t>
            </w:r>
            <w:r w:rsidRPr="00732F80">
              <w:rPr>
                <w:i/>
                <w:iCs/>
                <w:sz w:val="18"/>
                <w:szCs w:val="18"/>
              </w:rPr>
              <w:t>basic</w:t>
            </w:r>
            <w:r w:rsidRPr="00732F80">
              <w:rPr>
                <w:iCs/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sample</w:t>
            </w:r>
            <w:r w:rsidRPr="00732F80">
              <w:rPr>
                <w:iCs/>
                <w:sz w:val="18"/>
                <w:szCs w:val="18"/>
              </w:rPr>
              <w:t xml:space="preserve"> of organizational </w:t>
            </w:r>
            <w:r>
              <w:rPr>
                <w:iCs/>
                <w:sz w:val="18"/>
                <w:szCs w:val="18"/>
              </w:rPr>
              <w:t xml:space="preserve">personnel with </w:t>
            </w:r>
            <w:r w:rsidR="00F5122C">
              <w:rPr>
                <w:iCs/>
                <w:sz w:val="18"/>
                <w:szCs w:val="18"/>
              </w:rPr>
              <w:t>information system administration responsibilities or organizational personnel operating, using, and/or maintaining the information system</w:t>
            </w:r>
            <w:r>
              <w:rPr>
                <w:iCs/>
                <w:sz w:val="18"/>
                <w:szCs w:val="18"/>
              </w:rPr>
              <w:t>;</w:t>
            </w:r>
            <w:r w:rsidRPr="00732F80">
              <w:rPr>
                <w:iCs/>
                <w:sz w:val="18"/>
                <w:szCs w:val="18"/>
              </w:rPr>
              <w:t xml:space="preserve"> conducting [</w:t>
            </w:r>
            <w:r w:rsidRPr="00732F80">
              <w:rPr>
                <w:i/>
                <w:iCs/>
                <w:sz w:val="18"/>
                <w:szCs w:val="18"/>
              </w:rPr>
              <w:t>basic</w:t>
            </w:r>
            <w:r w:rsidRPr="00732F80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732F80">
              <w:rPr>
                <w:iCs/>
                <w:sz w:val="18"/>
                <w:szCs w:val="18"/>
              </w:rPr>
              <w:t xml:space="preserve">evidence </w:t>
            </w:r>
            <w:r w:rsidR="00013D60">
              <w:rPr>
                <w:iCs/>
                <w:sz w:val="18"/>
                <w:szCs w:val="18"/>
              </w:rPr>
              <w:t>of</w:t>
            </w:r>
            <w:r w:rsidRPr="00732F80">
              <w:rPr>
                <w:iCs/>
                <w:sz w:val="18"/>
                <w:szCs w:val="18"/>
              </w:rPr>
              <w:t xml:space="preserve"> the </w:t>
            </w:r>
            <w:r w:rsidR="00013D60">
              <w:rPr>
                <w:iCs/>
                <w:sz w:val="18"/>
                <w:szCs w:val="18"/>
              </w:rPr>
              <w:t>requirement</w:t>
            </w:r>
            <w:r w:rsidRPr="00732F80">
              <w:rPr>
                <w:iCs/>
                <w:sz w:val="18"/>
                <w:szCs w:val="18"/>
              </w:rPr>
              <w:t xml:space="preserve"> identified in </w:t>
            </w:r>
            <w:r w:rsidR="00F5122C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>A-6(</w:t>
            </w:r>
            <w:r w:rsidR="00F5122C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).1.1.1</w:t>
            </w:r>
            <w:r w:rsidRPr="00732F80">
              <w:rPr>
                <w:iCs/>
                <w:sz w:val="18"/>
                <w:szCs w:val="18"/>
              </w:rPr>
              <w:t>.</w:t>
            </w:r>
          </w:p>
        </w:tc>
      </w:tr>
      <w:tr w:rsidR="00686AFF" w:rsidRPr="005073C2" w:rsidTr="00686AFF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86AFF" w:rsidRDefault="00686AF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86AFF" w:rsidRPr="008D7BED" w:rsidRDefault="00686AF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F95AF8" w:rsidRPr="005073C2" w:rsidTr="00F351C8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F95AF8" w:rsidRPr="006F3AA3" w:rsidRDefault="00F95AF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6(1).1.2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F95AF8" w:rsidRPr="005073C2" w:rsidRDefault="00F95AF8" w:rsidP="00BD3D9A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Examine</w:t>
            </w:r>
            <w:r w:rsidRPr="00923068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system and services acquisition policy, procedures addressing the integration of information security requirements and/or security specifications into the acquisition process, security plan, or other relevant documents;</w:t>
            </w:r>
            <w:r w:rsidRPr="00923068">
              <w:rPr>
                <w:iCs/>
                <w:sz w:val="18"/>
                <w:szCs w:val="18"/>
              </w:rPr>
              <w:t xml:space="preserve"> 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4C5778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exceptions to </w:t>
            </w:r>
            <w:r w:rsidR="002E24D4">
              <w:rPr>
                <w:iCs/>
                <w:sz w:val="18"/>
                <w:szCs w:val="18"/>
              </w:rPr>
              <w:t xml:space="preserve">be provided to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4C5778">
              <w:rPr>
                <w:iCs/>
                <w:sz w:val="18"/>
                <w:szCs w:val="18"/>
              </w:rPr>
              <w:t xml:space="preserve">source code requirement </w:t>
            </w:r>
            <w:r>
              <w:rPr>
                <w:iCs/>
                <w:sz w:val="18"/>
                <w:szCs w:val="18"/>
              </w:rPr>
              <w:t>identified in SA-6(1).1.1.1</w:t>
            </w:r>
            <w:r w:rsidR="004C5778">
              <w:rPr>
                <w:iCs/>
                <w:sz w:val="18"/>
                <w:szCs w:val="18"/>
              </w:rPr>
              <w:t xml:space="preserve"> only when no alternative solutions are available to support compelling mission/operational requirements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5B4090" w:rsidRPr="005073C2" w:rsidTr="006F3AA3">
        <w:trPr>
          <w:cantSplit/>
        </w:trPr>
        <w:tc>
          <w:tcPr>
            <w:tcW w:w="1530" w:type="dxa"/>
          </w:tcPr>
          <w:p w:rsidR="005B4090" w:rsidRPr="005073C2" w:rsidRDefault="005B409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6(1).1.2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B4090" w:rsidRDefault="005B4090" w:rsidP="00577F8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A14B3D">
              <w:rPr>
                <w:b/>
                <w:iCs/>
                <w:sz w:val="18"/>
                <w:szCs w:val="18"/>
              </w:rPr>
              <w:t>Examine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 w:rsidR="008622BF">
              <w:rPr>
                <w:iCs/>
                <w:sz w:val="18"/>
                <w:szCs w:val="18"/>
              </w:rPr>
              <w:t>exceptions</w:t>
            </w:r>
            <w:r w:rsidR="00A53419">
              <w:rPr>
                <w:iCs/>
                <w:sz w:val="18"/>
                <w:szCs w:val="18"/>
              </w:rPr>
              <w:t xml:space="preserve"> provided to the source code requirement</w:t>
            </w:r>
            <w:r w:rsidR="008622BF">
              <w:rPr>
                <w:iCs/>
                <w:sz w:val="18"/>
                <w:szCs w:val="18"/>
              </w:rPr>
              <w:t xml:space="preserve"> </w:t>
            </w:r>
            <w:r w:rsidR="00CF51B2" w:rsidRPr="00691067">
              <w:rPr>
                <w:iCs/>
                <w:sz w:val="18"/>
                <w:szCs w:val="18"/>
              </w:rPr>
              <w:t>identified</w:t>
            </w:r>
            <w:r w:rsidR="00CF51B2">
              <w:rPr>
                <w:iCs/>
                <w:sz w:val="18"/>
                <w:szCs w:val="18"/>
              </w:rPr>
              <w:t xml:space="preserve"> in SA-6(1).1.</w:t>
            </w:r>
            <w:r w:rsidR="00577F8F">
              <w:rPr>
                <w:iCs/>
                <w:sz w:val="18"/>
                <w:szCs w:val="18"/>
              </w:rPr>
              <w:t>1</w:t>
            </w:r>
            <w:r w:rsidR="00CF51B2">
              <w:rPr>
                <w:iCs/>
                <w:sz w:val="18"/>
                <w:szCs w:val="18"/>
              </w:rPr>
              <w:t>.1</w:t>
            </w:r>
            <w:r w:rsidR="00A53419">
              <w:rPr>
                <w:iCs/>
                <w:sz w:val="18"/>
                <w:szCs w:val="18"/>
              </w:rPr>
              <w:t xml:space="preserve"> for an agreed-upon [</w:t>
            </w:r>
            <w:r w:rsidR="00A53419">
              <w:rPr>
                <w:i/>
                <w:iCs/>
                <w:sz w:val="18"/>
                <w:szCs w:val="18"/>
              </w:rPr>
              <w:t>basic</w:t>
            </w:r>
            <w:r w:rsidR="00A53419">
              <w:rPr>
                <w:iCs/>
                <w:sz w:val="18"/>
                <w:szCs w:val="18"/>
              </w:rPr>
              <w:t xml:space="preserve">] sample </w:t>
            </w:r>
            <w:r w:rsidR="0047677F">
              <w:rPr>
                <w:iCs/>
                <w:sz w:val="18"/>
                <w:szCs w:val="18"/>
              </w:rPr>
              <w:t xml:space="preserve">of </w:t>
            </w:r>
            <w:r w:rsidR="00F90F24">
              <w:rPr>
                <w:iCs/>
                <w:sz w:val="18"/>
                <w:szCs w:val="18"/>
              </w:rPr>
              <w:t>acquisition contracts or other relevant acquisition-related documentation obtained for information system services</w:t>
            </w:r>
            <w:r w:rsidRPr="00A14B3D">
              <w:rPr>
                <w:iCs/>
                <w:sz w:val="18"/>
                <w:szCs w:val="18"/>
              </w:rPr>
              <w:t xml:space="preserve">; </w:t>
            </w:r>
            <w:r>
              <w:rPr>
                <w:iCs/>
                <w:sz w:val="18"/>
                <w:szCs w:val="18"/>
              </w:rPr>
              <w:t>[</w:t>
            </w:r>
            <w:r w:rsidRPr="00A14B3D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A14B3D">
              <w:rPr>
                <w:iCs/>
                <w:sz w:val="18"/>
                <w:szCs w:val="18"/>
              </w:rPr>
              <w:t xml:space="preserve"> </w:t>
            </w:r>
            <w:r w:rsidRPr="008C11CE">
              <w:rPr>
                <w:iCs/>
                <w:sz w:val="18"/>
                <w:szCs w:val="18"/>
              </w:rPr>
              <w:t xml:space="preserve">for evidence that </w:t>
            </w:r>
            <w:r w:rsidR="00F90F24">
              <w:rPr>
                <w:iCs/>
                <w:sz w:val="18"/>
                <w:szCs w:val="18"/>
              </w:rPr>
              <w:t>these</w:t>
            </w:r>
            <w:r w:rsidR="00674521">
              <w:rPr>
                <w:iCs/>
                <w:sz w:val="18"/>
                <w:szCs w:val="18"/>
              </w:rPr>
              <w:t xml:space="preserve"> </w:t>
            </w:r>
            <w:r w:rsidR="00F90F24">
              <w:rPr>
                <w:iCs/>
                <w:sz w:val="18"/>
                <w:szCs w:val="18"/>
              </w:rPr>
              <w:t>exceptions</w:t>
            </w:r>
            <w:r w:rsidR="00AD71EF">
              <w:rPr>
                <w:iCs/>
                <w:sz w:val="18"/>
                <w:szCs w:val="18"/>
              </w:rPr>
              <w:t xml:space="preserve"> were provided only when</w:t>
            </w:r>
            <w:r w:rsidR="00674521">
              <w:rPr>
                <w:iCs/>
                <w:sz w:val="18"/>
                <w:szCs w:val="18"/>
              </w:rPr>
              <w:t xml:space="preserve"> </w:t>
            </w:r>
            <w:r w:rsidR="008622BF">
              <w:rPr>
                <w:iCs/>
                <w:sz w:val="18"/>
                <w:szCs w:val="18"/>
              </w:rPr>
              <w:t>no alternative solutions are available to support compelling mission/operational requirements</w:t>
            </w:r>
            <w:r>
              <w:rPr>
                <w:iCs/>
                <w:sz w:val="18"/>
                <w:szCs w:val="18"/>
              </w:rPr>
              <w:t>.</w:t>
            </w:r>
          </w:p>
          <w:p w:rsidR="00577F8F" w:rsidRPr="005073C2" w:rsidRDefault="00577F8F" w:rsidP="000D4D54">
            <w:pPr>
              <w:autoSpaceDE w:val="0"/>
              <w:autoSpaceDN w:val="0"/>
              <w:adjustRightInd w:val="0"/>
              <w:spacing w:before="60" w:after="60"/>
              <w:rPr>
                <w:rFonts w:cs="Arial"/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  <w:t xml:space="preserve">Note to assessor: Execution of this assessor action </w:t>
            </w:r>
            <w:r w:rsidR="000D4D54">
              <w:rPr>
                <w:iCs/>
                <w:sz w:val="18"/>
                <w:szCs w:val="18"/>
              </w:rPr>
              <w:t>may depend on the organization’s verbal confirmation and records regarding the existence or nonexistence of exceptions to the source code requirement during the acquisition approval and contract</w:t>
            </w:r>
            <w:r w:rsidR="00724410">
              <w:rPr>
                <w:iCs/>
                <w:sz w:val="18"/>
                <w:szCs w:val="18"/>
              </w:rPr>
              <w:t>ual</w:t>
            </w:r>
            <w:r w:rsidR="000D4D54">
              <w:rPr>
                <w:iCs/>
                <w:sz w:val="18"/>
                <w:szCs w:val="18"/>
              </w:rPr>
              <w:t xml:space="preserve"> process to obtain software products without accompanying source code.</w:t>
            </w:r>
          </w:p>
        </w:tc>
      </w:tr>
      <w:tr w:rsidR="0075194A" w:rsidRPr="005073C2" w:rsidTr="006F3AA3">
        <w:trPr>
          <w:cantSplit/>
        </w:trPr>
        <w:tc>
          <w:tcPr>
            <w:tcW w:w="1530" w:type="dxa"/>
          </w:tcPr>
          <w:p w:rsidR="0075194A" w:rsidRDefault="0075194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SA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6(1).1.2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</w:tcPr>
          <w:p w:rsidR="0075194A" w:rsidRDefault="0075194A" w:rsidP="006D330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Interview</w:t>
            </w:r>
            <w:r w:rsidRPr="00732F80">
              <w:rPr>
                <w:b/>
                <w:iCs/>
                <w:sz w:val="18"/>
                <w:szCs w:val="18"/>
              </w:rPr>
              <w:t xml:space="preserve"> </w:t>
            </w:r>
            <w:r w:rsidRPr="00732F80">
              <w:rPr>
                <w:iCs/>
                <w:sz w:val="18"/>
                <w:szCs w:val="18"/>
              </w:rPr>
              <w:t>an agreed-upon [</w:t>
            </w:r>
            <w:r w:rsidRPr="00732F80">
              <w:rPr>
                <w:i/>
                <w:iCs/>
                <w:sz w:val="18"/>
                <w:szCs w:val="18"/>
              </w:rPr>
              <w:t>basic</w:t>
            </w:r>
            <w:r w:rsidRPr="00732F80">
              <w:rPr>
                <w:iCs/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sample</w:t>
            </w:r>
            <w:r w:rsidRPr="00732F80">
              <w:rPr>
                <w:iCs/>
                <w:sz w:val="18"/>
                <w:szCs w:val="18"/>
              </w:rPr>
              <w:t xml:space="preserve"> of organizational </w:t>
            </w:r>
            <w:r>
              <w:rPr>
                <w:iCs/>
                <w:sz w:val="18"/>
                <w:szCs w:val="18"/>
              </w:rPr>
              <w:t>personnel with information system administration responsibilities or organizational personnel operating, using, and/or maintaining the information system;</w:t>
            </w:r>
            <w:r w:rsidRPr="00732F80">
              <w:rPr>
                <w:iCs/>
                <w:sz w:val="18"/>
                <w:szCs w:val="18"/>
              </w:rPr>
              <w:t xml:space="preserve"> conducting [</w:t>
            </w:r>
            <w:r w:rsidRPr="00732F80">
              <w:rPr>
                <w:i/>
                <w:iCs/>
                <w:sz w:val="18"/>
                <w:szCs w:val="18"/>
              </w:rPr>
              <w:t>basic</w:t>
            </w:r>
            <w:r w:rsidRPr="00732F80">
              <w:rPr>
                <w:iCs/>
                <w:sz w:val="18"/>
                <w:szCs w:val="18"/>
              </w:rPr>
              <w:t xml:space="preserve">] discussions for </w:t>
            </w:r>
            <w:r>
              <w:rPr>
                <w:iCs/>
                <w:sz w:val="18"/>
                <w:szCs w:val="18"/>
              </w:rPr>
              <w:t xml:space="preserve">further </w:t>
            </w:r>
            <w:r w:rsidRPr="00732F80">
              <w:rPr>
                <w:iCs/>
                <w:sz w:val="18"/>
                <w:szCs w:val="18"/>
              </w:rPr>
              <w:t xml:space="preserve">evidence that </w:t>
            </w:r>
            <w:r w:rsidR="006D3307">
              <w:rPr>
                <w:iCs/>
                <w:sz w:val="18"/>
                <w:szCs w:val="18"/>
              </w:rPr>
              <w:t xml:space="preserve">exceptions to the source code requirement </w:t>
            </w:r>
            <w:r w:rsidR="00416721">
              <w:rPr>
                <w:iCs/>
                <w:sz w:val="18"/>
                <w:szCs w:val="18"/>
              </w:rPr>
              <w:t>identified in SA-6(1).1.</w:t>
            </w:r>
            <w:r w:rsidR="006D3307">
              <w:rPr>
                <w:iCs/>
                <w:sz w:val="18"/>
                <w:szCs w:val="18"/>
              </w:rPr>
              <w:t>1</w:t>
            </w:r>
            <w:r w:rsidR="00416721">
              <w:rPr>
                <w:iCs/>
                <w:sz w:val="18"/>
                <w:szCs w:val="18"/>
              </w:rPr>
              <w:t xml:space="preserve">.1 are </w:t>
            </w:r>
            <w:r w:rsidR="006D3307">
              <w:rPr>
                <w:iCs/>
                <w:sz w:val="18"/>
                <w:szCs w:val="18"/>
              </w:rPr>
              <w:t>provided only</w:t>
            </w:r>
            <w:r w:rsidR="00416721">
              <w:rPr>
                <w:iCs/>
                <w:sz w:val="18"/>
                <w:szCs w:val="18"/>
              </w:rPr>
              <w:t xml:space="preserve"> when </w:t>
            </w:r>
            <w:r>
              <w:rPr>
                <w:iCs/>
                <w:sz w:val="18"/>
                <w:szCs w:val="18"/>
              </w:rPr>
              <w:t>no alternative solutions are available to support compelling mission/operational requirements</w:t>
            </w:r>
            <w:r w:rsidRPr="00732F80">
              <w:rPr>
                <w:iCs/>
                <w:sz w:val="18"/>
                <w:szCs w:val="18"/>
              </w:rPr>
              <w:t>.</w:t>
            </w:r>
          </w:p>
        </w:tc>
      </w:tr>
      <w:tr w:rsidR="00686AFF" w:rsidRPr="005073C2" w:rsidTr="00686AFF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686AFF" w:rsidRDefault="00686AFF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686AFF" w:rsidRPr="008D7BED" w:rsidRDefault="00686AF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A9096F" w:rsidRPr="005073C2" w:rsidTr="006F3AA3">
        <w:trPr>
          <w:cantSplit/>
        </w:trPr>
        <w:tc>
          <w:tcPr>
            <w:tcW w:w="1530" w:type="dxa"/>
          </w:tcPr>
          <w:p w:rsidR="00A9096F" w:rsidRDefault="00734C7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SA-6(1).1.3.1</w:t>
            </w:r>
          </w:p>
        </w:tc>
        <w:tc>
          <w:tcPr>
            <w:tcW w:w="7110" w:type="dxa"/>
          </w:tcPr>
          <w:p w:rsidR="00A9096F" w:rsidRPr="00EF3CC7" w:rsidRDefault="00BF1F84" w:rsidP="004D4104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Examine</w:t>
            </w:r>
            <w:r w:rsidRPr="00923068">
              <w:rPr>
                <w:b/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>system and services acquisition policy, procedures addressing the integration of information security requirements and/or security specifications into the acquisition process, security plan, or other relevant documents;</w:t>
            </w:r>
            <w:r w:rsidRPr="00923068">
              <w:rPr>
                <w:iCs/>
                <w:sz w:val="18"/>
                <w:szCs w:val="18"/>
              </w:rPr>
              <w:t xml:space="preserve"> 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 w:rsidR="00A77091">
              <w:rPr>
                <w:iCs/>
                <w:sz w:val="18"/>
                <w:szCs w:val="18"/>
              </w:rPr>
              <w:t xml:space="preserve"> the measures to be employed to obtain express written consent of the authorizing official for exceptions to the source code requirement identified in SA-6(1).1.1.1.</w:t>
            </w:r>
          </w:p>
        </w:tc>
      </w:tr>
      <w:tr w:rsidR="00582832" w:rsidRPr="005073C2" w:rsidTr="006F3AA3">
        <w:trPr>
          <w:cantSplit/>
        </w:trPr>
        <w:tc>
          <w:tcPr>
            <w:tcW w:w="1530" w:type="dxa"/>
          </w:tcPr>
          <w:p w:rsidR="00582832" w:rsidRDefault="00582832" w:rsidP="00734C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6(1).1.3</w:t>
            </w:r>
            <w:r w:rsidRPr="006F3AA3"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734C7C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</w:tcPr>
          <w:p w:rsidR="00582832" w:rsidRDefault="00582832" w:rsidP="00884B21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EF3CC7">
              <w:rPr>
                <w:b/>
                <w:iCs/>
                <w:sz w:val="18"/>
                <w:szCs w:val="18"/>
              </w:rPr>
              <w:t>Examine</w:t>
            </w:r>
            <w:r w:rsidRPr="00923068">
              <w:rPr>
                <w:b/>
                <w:iCs/>
                <w:sz w:val="18"/>
                <w:szCs w:val="18"/>
              </w:rPr>
              <w:t xml:space="preserve"> </w:t>
            </w:r>
            <w:r w:rsidR="00884B21">
              <w:rPr>
                <w:iCs/>
                <w:sz w:val="18"/>
                <w:szCs w:val="18"/>
              </w:rPr>
              <w:t xml:space="preserve">express written consent of the authorization official for </w:t>
            </w:r>
            <w:r w:rsidR="00AE657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exceptions identified in SA-6(1).1.1.1;</w:t>
            </w:r>
            <w:r w:rsidRPr="00923068">
              <w:rPr>
                <w:iCs/>
                <w:sz w:val="18"/>
                <w:szCs w:val="18"/>
              </w:rPr>
              <w:t xml:space="preserve"> [</w:t>
            </w:r>
            <w:r w:rsidRPr="00923068">
              <w:rPr>
                <w:i/>
                <w:iCs/>
                <w:sz w:val="18"/>
                <w:szCs w:val="18"/>
              </w:rPr>
              <w:t>reviewing</w:t>
            </w:r>
            <w:r w:rsidRPr="00923068">
              <w:rPr>
                <w:iCs/>
                <w:sz w:val="18"/>
                <w:szCs w:val="18"/>
              </w:rPr>
              <w:t>] for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884B21">
              <w:rPr>
                <w:iCs/>
                <w:sz w:val="18"/>
                <w:szCs w:val="18"/>
              </w:rPr>
              <w:t>evidence that the measures identified in SA-6(1).1.3.1 are being applied</w:t>
            </w:r>
            <w:r>
              <w:rPr>
                <w:iCs/>
                <w:sz w:val="18"/>
                <w:szCs w:val="18"/>
              </w:rPr>
              <w:t xml:space="preserve">. </w:t>
            </w:r>
          </w:p>
        </w:tc>
      </w:tr>
      <w:tr w:rsidR="00836032" w:rsidRPr="005073C2" w:rsidTr="006F3AA3">
        <w:trPr>
          <w:cantSplit/>
        </w:trPr>
        <w:tc>
          <w:tcPr>
            <w:tcW w:w="1530" w:type="dxa"/>
          </w:tcPr>
          <w:p w:rsidR="00836032" w:rsidRDefault="00836032" w:rsidP="00734C7C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SA-6(1).1.3.3</w:t>
            </w:r>
          </w:p>
        </w:tc>
        <w:tc>
          <w:tcPr>
            <w:tcW w:w="7110" w:type="dxa"/>
          </w:tcPr>
          <w:p w:rsidR="00836032" w:rsidRPr="00884B21" w:rsidRDefault="00836032" w:rsidP="00884B2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 w:rsidR="00884B21">
              <w:rPr>
                <w:iCs/>
                <w:sz w:val="18"/>
                <w:szCs w:val="18"/>
              </w:rPr>
              <w:t>an agreed-upon [</w:t>
            </w:r>
            <w:r w:rsidR="00884B21">
              <w:rPr>
                <w:i/>
                <w:iCs/>
                <w:sz w:val="18"/>
                <w:szCs w:val="18"/>
              </w:rPr>
              <w:t>basic</w:t>
            </w:r>
            <w:r w:rsidR="00884B21">
              <w:rPr>
                <w:iCs/>
                <w:sz w:val="18"/>
                <w:szCs w:val="18"/>
              </w:rPr>
              <w:t xml:space="preserve">] sample of </w:t>
            </w:r>
            <w:r w:rsidR="00884B21" w:rsidRPr="00732F80">
              <w:rPr>
                <w:iCs/>
                <w:sz w:val="18"/>
                <w:szCs w:val="18"/>
              </w:rPr>
              <w:t xml:space="preserve">organizational </w:t>
            </w:r>
            <w:r w:rsidR="00884B21">
              <w:rPr>
                <w:iCs/>
                <w:sz w:val="18"/>
                <w:szCs w:val="18"/>
              </w:rPr>
              <w:t>personnel with information system administration responsibilities or organizational personnel operating, using, and/or maintaining the information system;</w:t>
            </w:r>
            <w:r w:rsidR="00884B21" w:rsidRPr="00732F80">
              <w:rPr>
                <w:iCs/>
                <w:sz w:val="18"/>
                <w:szCs w:val="18"/>
              </w:rPr>
              <w:t xml:space="preserve"> conducting [</w:t>
            </w:r>
            <w:r w:rsidR="00884B21" w:rsidRPr="00732F80">
              <w:rPr>
                <w:i/>
                <w:iCs/>
                <w:sz w:val="18"/>
                <w:szCs w:val="18"/>
              </w:rPr>
              <w:t>basic</w:t>
            </w:r>
            <w:r w:rsidR="00884B21" w:rsidRPr="00732F80">
              <w:rPr>
                <w:iCs/>
                <w:sz w:val="18"/>
                <w:szCs w:val="18"/>
              </w:rPr>
              <w:t>] discussions</w:t>
            </w:r>
            <w:r w:rsidR="00884B21">
              <w:rPr>
                <w:iCs/>
                <w:sz w:val="18"/>
                <w:szCs w:val="18"/>
              </w:rPr>
              <w:t xml:space="preserve"> for fur</w:t>
            </w:r>
            <w:r w:rsidR="00F41C3E">
              <w:rPr>
                <w:iCs/>
                <w:sz w:val="18"/>
                <w:szCs w:val="18"/>
              </w:rPr>
              <w:t>ther evidence that the measures identified in SA-6(1).1.3.1.</w:t>
            </w:r>
          </w:p>
        </w:tc>
      </w:tr>
    </w:tbl>
    <w:p w:rsidR="00C70011" w:rsidRDefault="00C70011"/>
    <w:sectPr w:rsidR="00C70011" w:rsidSect="008C3AB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DEC" w:rsidRDefault="00383DEC" w:rsidP="00F351C8">
      <w:r>
        <w:separator/>
      </w:r>
    </w:p>
  </w:endnote>
  <w:endnote w:type="continuationSeparator" w:id="0">
    <w:p w:rsidR="00383DEC" w:rsidRDefault="00383DEC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F" w:rsidRDefault="00686AF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3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86AFF" w:rsidRDefault="00686AFF">
            <w:pPr>
              <w:pStyle w:val="Footer"/>
              <w:jc w:val="center"/>
            </w:pPr>
            <w:r>
              <w:t xml:space="preserve">Initial Public </w:t>
            </w:r>
            <w:r>
              <w:t>Draft</w:t>
            </w:r>
          </w:p>
          <w:p w:rsidR="00686AFF" w:rsidRDefault="00686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8F7767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8F7767"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86AFF" w:rsidRDefault="00686AF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F" w:rsidRDefault="00686A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DEC" w:rsidRDefault="00383DEC" w:rsidP="00F351C8">
      <w:r>
        <w:separator/>
      </w:r>
    </w:p>
  </w:footnote>
  <w:footnote w:type="continuationSeparator" w:id="0">
    <w:p w:rsidR="00383DEC" w:rsidRDefault="00383DEC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F" w:rsidRDefault="00686AF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F" w:rsidRDefault="00686AFF">
    <w:pPr>
      <w:pStyle w:val="Header"/>
    </w:pPr>
    <w:r>
      <w:t>Assessment Case:  SA-6 Software Usage Restrictions</w:t>
    </w:r>
  </w:p>
  <w:p w:rsidR="00686AFF" w:rsidRDefault="00686AF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6AFF" w:rsidRDefault="00686AF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3568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F0A0E"/>
    <w:multiLevelType w:val="hybridMultilevel"/>
    <w:tmpl w:val="EE12BE10"/>
    <w:lvl w:ilvl="0" w:tplc="66DA3D22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24CA4"/>
    <w:multiLevelType w:val="hybridMultilevel"/>
    <w:tmpl w:val="F6AEFBE8"/>
    <w:lvl w:ilvl="0" w:tplc="66DA3D22">
      <w:start w:val="1"/>
      <w:numFmt w:val="lowerRoman"/>
      <w:lvlText w:val="(%1)"/>
      <w:lvlJc w:val="left"/>
      <w:pPr>
        <w:ind w:left="756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9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AC34C95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0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30C0"/>
    <w:rsid w:val="00013D60"/>
    <w:rsid w:val="00050046"/>
    <w:rsid w:val="00063B54"/>
    <w:rsid w:val="000C3128"/>
    <w:rsid w:val="000D4D54"/>
    <w:rsid w:val="000F1585"/>
    <w:rsid w:val="00112A61"/>
    <w:rsid w:val="001248DD"/>
    <w:rsid w:val="00127B11"/>
    <w:rsid w:val="00130919"/>
    <w:rsid w:val="0013243B"/>
    <w:rsid w:val="00135460"/>
    <w:rsid w:val="00136085"/>
    <w:rsid w:val="00137E60"/>
    <w:rsid w:val="0015094D"/>
    <w:rsid w:val="00173C1C"/>
    <w:rsid w:val="00173F9C"/>
    <w:rsid w:val="00183653"/>
    <w:rsid w:val="001C3BD4"/>
    <w:rsid w:val="001D18B5"/>
    <w:rsid w:val="00217BD1"/>
    <w:rsid w:val="00240DBD"/>
    <w:rsid w:val="00277E16"/>
    <w:rsid w:val="0028237B"/>
    <w:rsid w:val="00284F4D"/>
    <w:rsid w:val="002B17ED"/>
    <w:rsid w:val="002B2370"/>
    <w:rsid w:val="002B6957"/>
    <w:rsid w:val="002D2743"/>
    <w:rsid w:val="002E0B29"/>
    <w:rsid w:val="002E24D4"/>
    <w:rsid w:val="002F5405"/>
    <w:rsid w:val="002F6E98"/>
    <w:rsid w:val="00310288"/>
    <w:rsid w:val="003111F5"/>
    <w:rsid w:val="003122C0"/>
    <w:rsid w:val="00354CFE"/>
    <w:rsid w:val="00381493"/>
    <w:rsid w:val="00383DEC"/>
    <w:rsid w:val="00416721"/>
    <w:rsid w:val="00424A2C"/>
    <w:rsid w:val="004569C2"/>
    <w:rsid w:val="00470BE3"/>
    <w:rsid w:val="00475E34"/>
    <w:rsid w:val="0047677F"/>
    <w:rsid w:val="0048507A"/>
    <w:rsid w:val="00492BEC"/>
    <w:rsid w:val="004C00FD"/>
    <w:rsid w:val="004C5778"/>
    <w:rsid w:val="004D4104"/>
    <w:rsid w:val="00531A1C"/>
    <w:rsid w:val="0055491C"/>
    <w:rsid w:val="005750A3"/>
    <w:rsid w:val="005769F8"/>
    <w:rsid w:val="00577F8F"/>
    <w:rsid w:val="00582832"/>
    <w:rsid w:val="005A6210"/>
    <w:rsid w:val="005B3622"/>
    <w:rsid w:val="005B4090"/>
    <w:rsid w:val="005D0FE5"/>
    <w:rsid w:val="005E0988"/>
    <w:rsid w:val="005F2DC6"/>
    <w:rsid w:val="005F621E"/>
    <w:rsid w:val="00623080"/>
    <w:rsid w:val="00642654"/>
    <w:rsid w:val="0065175E"/>
    <w:rsid w:val="0065771B"/>
    <w:rsid w:val="00674521"/>
    <w:rsid w:val="006818BE"/>
    <w:rsid w:val="00686AFF"/>
    <w:rsid w:val="00691067"/>
    <w:rsid w:val="006A2113"/>
    <w:rsid w:val="006C2461"/>
    <w:rsid w:val="006D3307"/>
    <w:rsid w:val="006E36E2"/>
    <w:rsid w:val="006F3A36"/>
    <w:rsid w:val="006F3AA3"/>
    <w:rsid w:val="006F504C"/>
    <w:rsid w:val="007069B2"/>
    <w:rsid w:val="00707F6C"/>
    <w:rsid w:val="007134C8"/>
    <w:rsid w:val="00722C1C"/>
    <w:rsid w:val="00724410"/>
    <w:rsid w:val="00734C7C"/>
    <w:rsid w:val="00744BB1"/>
    <w:rsid w:val="0075194A"/>
    <w:rsid w:val="007A5285"/>
    <w:rsid w:val="007B3F80"/>
    <w:rsid w:val="007C27BF"/>
    <w:rsid w:val="007D39C7"/>
    <w:rsid w:val="007D4A8E"/>
    <w:rsid w:val="0081301E"/>
    <w:rsid w:val="00827B72"/>
    <w:rsid w:val="00836032"/>
    <w:rsid w:val="00854526"/>
    <w:rsid w:val="008622BF"/>
    <w:rsid w:val="00870562"/>
    <w:rsid w:val="00884B21"/>
    <w:rsid w:val="008974EB"/>
    <w:rsid w:val="008A37CB"/>
    <w:rsid w:val="008A6A8F"/>
    <w:rsid w:val="008A7BCE"/>
    <w:rsid w:val="008C3AB6"/>
    <w:rsid w:val="008C6074"/>
    <w:rsid w:val="008D4C1A"/>
    <w:rsid w:val="008D727F"/>
    <w:rsid w:val="008E5682"/>
    <w:rsid w:val="008F10FE"/>
    <w:rsid w:val="008F635A"/>
    <w:rsid w:val="008F7767"/>
    <w:rsid w:val="00901C5D"/>
    <w:rsid w:val="0090735A"/>
    <w:rsid w:val="00920EAA"/>
    <w:rsid w:val="00927DC8"/>
    <w:rsid w:val="00942921"/>
    <w:rsid w:val="009443BE"/>
    <w:rsid w:val="009B393F"/>
    <w:rsid w:val="009B5872"/>
    <w:rsid w:val="009C7BA5"/>
    <w:rsid w:val="009F5B27"/>
    <w:rsid w:val="00A15ECF"/>
    <w:rsid w:val="00A43F79"/>
    <w:rsid w:val="00A45573"/>
    <w:rsid w:val="00A53419"/>
    <w:rsid w:val="00A63943"/>
    <w:rsid w:val="00A77091"/>
    <w:rsid w:val="00A9096F"/>
    <w:rsid w:val="00A91335"/>
    <w:rsid w:val="00AB1218"/>
    <w:rsid w:val="00AC0EB9"/>
    <w:rsid w:val="00AD46A5"/>
    <w:rsid w:val="00AD71EF"/>
    <w:rsid w:val="00AE6572"/>
    <w:rsid w:val="00AE666B"/>
    <w:rsid w:val="00B14DBD"/>
    <w:rsid w:val="00B5274C"/>
    <w:rsid w:val="00B576E5"/>
    <w:rsid w:val="00B6655E"/>
    <w:rsid w:val="00BA7334"/>
    <w:rsid w:val="00BB331E"/>
    <w:rsid w:val="00BB37B9"/>
    <w:rsid w:val="00BD3D9A"/>
    <w:rsid w:val="00BE0A45"/>
    <w:rsid w:val="00BF1F84"/>
    <w:rsid w:val="00C26D2E"/>
    <w:rsid w:val="00C26D93"/>
    <w:rsid w:val="00C70011"/>
    <w:rsid w:val="00C72F37"/>
    <w:rsid w:val="00C90B95"/>
    <w:rsid w:val="00CD22D7"/>
    <w:rsid w:val="00CD7F0B"/>
    <w:rsid w:val="00CF514A"/>
    <w:rsid w:val="00CF51B2"/>
    <w:rsid w:val="00D057C3"/>
    <w:rsid w:val="00D5507A"/>
    <w:rsid w:val="00D64F52"/>
    <w:rsid w:val="00DD08C1"/>
    <w:rsid w:val="00DD1E27"/>
    <w:rsid w:val="00DD2782"/>
    <w:rsid w:val="00DF5CC4"/>
    <w:rsid w:val="00E22AC1"/>
    <w:rsid w:val="00E42651"/>
    <w:rsid w:val="00E9322F"/>
    <w:rsid w:val="00E96B3E"/>
    <w:rsid w:val="00E972F1"/>
    <w:rsid w:val="00ED5A25"/>
    <w:rsid w:val="00EE45A8"/>
    <w:rsid w:val="00F124F3"/>
    <w:rsid w:val="00F15739"/>
    <w:rsid w:val="00F31535"/>
    <w:rsid w:val="00F351C8"/>
    <w:rsid w:val="00F41C3E"/>
    <w:rsid w:val="00F5122C"/>
    <w:rsid w:val="00F62C9A"/>
    <w:rsid w:val="00F63221"/>
    <w:rsid w:val="00F90F24"/>
    <w:rsid w:val="00F95AF8"/>
    <w:rsid w:val="00FA0366"/>
    <w:rsid w:val="00FE108B"/>
    <w:rsid w:val="00FE4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7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71B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D22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2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2D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2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2D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785736"/>
    <w:rsid w:val="00785736"/>
    <w:rsid w:val="00BC7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99CA80F04742B3AD27EB42F3D76A89">
    <w:name w:val="F099CA80F04742B3AD27EB42F3D76A89"/>
    <w:rsid w:val="0078573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43B48-441D-4694-A993-74C0E1693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1552</Words>
  <Characters>8849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10381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33</cp:revision>
  <cp:lastPrinted>2011-01-04T02:19:00Z</cp:lastPrinted>
  <dcterms:created xsi:type="dcterms:W3CDTF">2011-09-23T21:50:00Z</dcterms:created>
  <dcterms:modified xsi:type="dcterms:W3CDTF">2011-11-06T01:50:00Z</dcterms:modified>
</cp:coreProperties>
</file>