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315650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315650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527882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315650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315650" w:rsidRPr="000F6048" w:rsidRDefault="0031565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SC-5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315650" w:rsidRPr="000F6048" w:rsidRDefault="00315650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DENIAL OF SERVICE PROTECTION</w:t>
            </w:r>
          </w:p>
        </w:tc>
      </w:tr>
      <w:tr w:rsidR="00315650" w:rsidRPr="00D54FC9" w:rsidTr="00F351C8">
        <w:trPr>
          <w:cantSplit/>
        </w:trPr>
        <w:tc>
          <w:tcPr>
            <w:tcW w:w="1166" w:type="dxa"/>
          </w:tcPr>
          <w:p w:rsidR="00527882" w:rsidRDefault="0052788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15650" w:rsidRDefault="0031565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SC-5.1</w:t>
            </w:r>
          </w:p>
          <w:p w:rsidR="00315650" w:rsidRDefault="0031565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315650" w:rsidRDefault="00315650" w:rsidP="003B08F2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15650" w:rsidRPr="000F6048" w:rsidRDefault="00315650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474" w:type="dxa"/>
            <w:gridSpan w:val="2"/>
          </w:tcPr>
          <w:p w:rsidR="00315650" w:rsidRPr="000F6048" w:rsidRDefault="00315650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15650" w:rsidRPr="000F6048" w:rsidRDefault="00315650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if:</w:t>
            </w:r>
          </w:p>
          <w:p w:rsidR="00315650" w:rsidRPr="000F6048" w:rsidRDefault="00315650" w:rsidP="00315650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i/>
                <w:iCs/>
                <w:sz w:val="20"/>
              </w:rPr>
              <w:t>the organization defines the types of denial of service attacks (or provides references to sources of current denial of service attacks) that can be addressed by the information system; and</w:t>
            </w:r>
          </w:p>
          <w:p w:rsidR="00315650" w:rsidRPr="000F6048" w:rsidRDefault="00315650" w:rsidP="00315650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0F6048">
              <w:rPr>
                <w:i/>
                <w:sz w:val="20"/>
                <w:szCs w:val="20"/>
              </w:rPr>
              <w:t>the</w:t>
            </w:r>
            <w:proofErr w:type="gramEnd"/>
            <w:r w:rsidRPr="000F6048">
              <w:rPr>
                <w:i/>
                <w:sz w:val="20"/>
                <w:szCs w:val="20"/>
              </w:rPr>
              <w:t xml:space="preserve"> information system protects against or limits the effects of the organization-defined or referenced types of denial of service attacks.</w:t>
            </w:r>
          </w:p>
          <w:p w:rsidR="00315650" w:rsidRPr="00BA79BE" w:rsidRDefault="00315650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A79B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15650" w:rsidRPr="00BA79BE" w:rsidRDefault="00315650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BA79B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A79B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A79B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A79B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A79BE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denial of service protection; information system design documentation; security plan; information system configuration settings and associated documentation; other relevant documents or records].</w:t>
            </w:r>
          </w:p>
          <w:p w:rsidR="00315650" w:rsidRPr="000F6048" w:rsidRDefault="00315650" w:rsidP="003B08F2">
            <w:pPr>
              <w:spacing w:before="60" w:after="120"/>
              <w:ind w:left="418" w:hanging="418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BA79B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BA79B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A79B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A79B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Information system for protection against or limitation of the effects of denial of service attacks].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0759DB" w:rsidRPr="005C48CD" w:rsidRDefault="000759DB" w:rsidP="000759DB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0759DB" w:rsidRPr="005C48CD" w:rsidRDefault="000759DB" w:rsidP="000759DB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concurrent controls:  </w:t>
            </w:r>
            <w:r w:rsidR="00FA354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SC-7, </w:t>
            </w:r>
            <w:r w:rsidRPr="001E1A83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>SI-3, SI-4</w:t>
            </w:r>
          </w:p>
          <w:p w:rsidR="00C70011" w:rsidRPr="005073C2" w:rsidRDefault="000759DB" w:rsidP="000759DB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527882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” for selecting, tailoring and executing action steps** </w:t>
            </w:r>
            <w:r w:rsidR="00C70011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527882" w:rsidRPr="005073C2" w:rsidTr="00F351C8">
        <w:trPr>
          <w:cantSplit/>
        </w:trPr>
        <w:tc>
          <w:tcPr>
            <w:tcW w:w="1530" w:type="dxa"/>
            <w:gridSpan w:val="2"/>
          </w:tcPr>
          <w:p w:rsidR="00527882" w:rsidRPr="005073C2" w:rsidRDefault="0052788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527882" w:rsidRDefault="00527882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527882" w:rsidRDefault="00527882" w:rsidP="00527882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527882" w:rsidRPr="005C5B9C" w:rsidRDefault="00527882" w:rsidP="00527882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527882" w:rsidRPr="005C5B9C" w:rsidRDefault="00527882" w:rsidP="00527882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94567A" w:rsidRDefault="0094567A" w:rsidP="0094567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C72F37" w:rsidRPr="002F5405" w:rsidRDefault="00C72F3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72F37" w:rsidRPr="002F5405" w:rsidRDefault="0094567A" w:rsidP="000B1B08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system and communications protection policy, procedures </w:t>
            </w:r>
            <w:r w:rsidR="000B1B08">
              <w:rPr>
                <w:sz w:val="18"/>
                <w:szCs w:val="18"/>
              </w:rPr>
              <w:t>addressing denial of service protection</w:t>
            </w:r>
            <w:r>
              <w:rPr>
                <w:sz w:val="18"/>
                <w:szCs w:val="18"/>
              </w:rPr>
              <w:t>, security plan,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types of denial of service attacks (or references to sources of current denial of service attacks) that can be addressed by the information system. </w:t>
            </w:r>
          </w:p>
        </w:tc>
      </w:tr>
      <w:tr w:rsidR="00527882" w:rsidRPr="005073C2" w:rsidTr="00527882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527882" w:rsidRDefault="00527882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527882" w:rsidRPr="008D7BED" w:rsidRDefault="00527882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94567A" w:rsidRPr="005073C2" w:rsidTr="00F351C8">
        <w:trPr>
          <w:cantSplit/>
        </w:trPr>
        <w:tc>
          <w:tcPr>
            <w:tcW w:w="1530" w:type="dxa"/>
            <w:gridSpan w:val="2"/>
          </w:tcPr>
          <w:p w:rsidR="0094567A" w:rsidRPr="002F5405" w:rsidRDefault="0094567A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94567A" w:rsidRPr="005073C2" w:rsidRDefault="0094567A" w:rsidP="00566A8A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security plan, 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automated mechanisms and their configuration settings to be employed to protect against or limit the effects of the denial of service attacks identified in SC-5.1.1.1.</w:t>
            </w:r>
          </w:p>
        </w:tc>
      </w:tr>
      <w:tr w:rsidR="0094567A" w:rsidRPr="005073C2" w:rsidTr="00F351C8">
        <w:trPr>
          <w:cantSplit/>
        </w:trPr>
        <w:tc>
          <w:tcPr>
            <w:tcW w:w="1530" w:type="dxa"/>
            <w:gridSpan w:val="2"/>
          </w:tcPr>
          <w:p w:rsidR="0094567A" w:rsidRPr="002F5405" w:rsidRDefault="0094567A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SC-5.1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</w:tcPr>
          <w:p w:rsidR="0094567A" w:rsidRPr="00846589" w:rsidRDefault="0094567A" w:rsidP="000B1B08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566A8A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SC-5.1.2.1;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SC-5.1.2.1</w:t>
            </w:r>
            <w:r w:rsidR="000B1B08">
              <w:rPr>
                <w:iCs/>
                <w:sz w:val="18"/>
                <w:szCs w:val="18"/>
              </w:rPr>
              <w:t>.</w:t>
            </w:r>
          </w:p>
        </w:tc>
      </w:tr>
      <w:tr w:rsidR="0094567A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94567A" w:rsidRPr="002F5405" w:rsidRDefault="0094567A" w:rsidP="00566A8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4567A" w:rsidRPr="005073C2" w:rsidRDefault="0094567A" w:rsidP="000B1B08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SC-5.1.2.1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 w:rsidR="000B1B08">
              <w:rPr>
                <w:iCs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315650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527882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315650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315650" w:rsidRPr="000F6048" w:rsidRDefault="0031565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SC-5(1)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315650" w:rsidRPr="000F6048" w:rsidRDefault="00315650" w:rsidP="003B08F2">
            <w:pPr>
              <w:pStyle w:val="control-name"/>
              <w:spacing w:before="120"/>
              <w:rPr>
                <w:highlight w:val="yellow"/>
              </w:rPr>
            </w:pPr>
            <w:r>
              <w:t>DENIAL OF SERVICE PROTECTION</w:t>
            </w:r>
          </w:p>
        </w:tc>
      </w:tr>
      <w:tr w:rsidR="00315650" w:rsidRPr="005073C2" w:rsidTr="00527882">
        <w:trPr>
          <w:cantSplit/>
          <w:trHeight w:val="2546"/>
        </w:trPr>
        <w:tc>
          <w:tcPr>
            <w:tcW w:w="1530" w:type="dxa"/>
            <w:gridSpan w:val="2"/>
          </w:tcPr>
          <w:p w:rsidR="00315650" w:rsidRDefault="00652A95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SC-5(1).1</w:t>
            </w:r>
          </w:p>
          <w:p w:rsidR="00315650" w:rsidRPr="000F6048" w:rsidRDefault="00315650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SC-5(1).1</w:t>
            </w:r>
            <w:r w:rsidR="00652A9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315650" w:rsidRPr="000F6048" w:rsidRDefault="00315650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15650" w:rsidRPr="000F6048" w:rsidRDefault="00315650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 the information system restricts the ability of users to launch denial of service attacks against other information systems or networks.</w:t>
            </w:r>
          </w:p>
          <w:p w:rsidR="00315650" w:rsidRPr="00B06160" w:rsidRDefault="00315650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0616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15650" w:rsidRPr="00B06160" w:rsidRDefault="00315650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B0616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0616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0616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0616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06160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denial of service protection; information system design documentation; information system configuration settings and associated documentation; other relevant documents or records].</w:t>
            </w:r>
          </w:p>
          <w:p w:rsidR="00315650" w:rsidRPr="000F6048" w:rsidRDefault="00315650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B0616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B0616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0616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0616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Information system for protection against or limitation of the effects of denial of service attacks].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3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0759DB" w:rsidRPr="005C48CD" w:rsidRDefault="000759DB" w:rsidP="000759DB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0759DB" w:rsidRPr="005C48CD" w:rsidRDefault="000759DB" w:rsidP="000759DB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concurrent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AC-4, AC-6, </w:t>
            </w:r>
            <w:r w:rsidR="00566A8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SC-7, </w:t>
            </w:r>
            <w:r w:rsidR="0081263F" w:rsidRPr="001E1A83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>SI-4</w:t>
            </w:r>
          </w:p>
          <w:p w:rsidR="001C3BD4" w:rsidRPr="002F5405" w:rsidRDefault="000759DB" w:rsidP="000759D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527882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94567A" w:rsidRPr="005073C2" w:rsidTr="00F351C8">
        <w:trPr>
          <w:cantSplit/>
        </w:trPr>
        <w:tc>
          <w:tcPr>
            <w:tcW w:w="1530" w:type="dxa"/>
            <w:gridSpan w:val="2"/>
          </w:tcPr>
          <w:p w:rsidR="0094567A" w:rsidRPr="005073C2" w:rsidRDefault="0094567A" w:rsidP="0094567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SC-5(1).1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94567A" w:rsidRPr="005073C2" w:rsidRDefault="0094567A" w:rsidP="00C40544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security plan, 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automated mechanisms and their configuration settings to be employed to restrict the ability of users to launch denial of service attacks against other information systems or networks.</w:t>
            </w:r>
          </w:p>
        </w:tc>
      </w:tr>
      <w:tr w:rsidR="0094567A" w:rsidRPr="005073C2" w:rsidTr="00F351C8">
        <w:trPr>
          <w:cantSplit/>
        </w:trPr>
        <w:tc>
          <w:tcPr>
            <w:tcW w:w="1530" w:type="dxa"/>
            <w:gridSpan w:val="2"/>
          </w:tcPr>
          <w:p w:rsidR="0094567A" w:rsidRPr="002F5405" w:rsidRDefault="0094567A" w:rsidP="0094567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SC-5(1).1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94567A" w:rsidRPr="00846589" w:rsidRDefault="0094567A" w:rsidP="0080216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C40544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SC-5(1).1.1.1;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SC-5(1).1.1.1.</w:t>
            </w:r>
          </w:p>
        </w:tc>
      </w:tr>
      <w:tr w:rsidR="0094567A" w:rsidRPr="005073C2" w:rsidTr="00F351C8">
        <w:trPr>
          <w:cantSplit/>
        </w:trPr>
        <w:tc>
          <w:tcPr>
            <w:tcW w:w="1530" w:type="dxa"/>
            <w:gridSpan w:val="2"/>
          </w:tcPr>
          <w:p w:rsidR="0094567A" w:rsidRPr="002F5405" w:rsidRDefault="0094567A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SC-5(1).1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94567A" w:rsidRPr="005073C2" w:rsidRDefault="0094567A" w:rsidP="00C40544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SC-5(1).1.1.1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315650" w:rsidRPr="005073C2" w:rsidTr="003B08F2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315650" w:rsidRPr="005073C2" w:rsidRDefault="00315650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527882" w:rsidRDefault="00527882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315650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315650" w:rsidRPr="005073C2" w:rsidRDefault="00315650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315650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315650" w:rsidRPr="005073C2" w:rsidRDefault="00315650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527882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315650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315650" w:rsidRPr="000F6048" w:rsidRDefault="0031565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SC-5(2)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315650" w:rsidRPr="000F6048" w:rsidRDefault="00315650" w:rsidP="003B08F2">
            <w:pPr>
              <w:pStyle w:val="control-name"/>
              <w:spacing w:before="120"/>
              <w:rPr>
                <w:highlight w:val="yellow"/>
              </w:rPr>
            </w:pPr>
            <w:r>
              <w:t>DENIAL OF SERVICE PROTECTION</w:t>
            </w:r>
          </w:p>
        </w:tc>
      </w:tr>
      <w:tr w:rsidR="00315650" w:rsidRPr="005073C2" w:rsidTr="00527882">
        <w:trPr>
          <w:cantSplit/>
          <w:trHeight w:val="2753"/>
        </w:trPr>
        <w:tc>
          <w:tcPr>
            <w:tcW w:w="1530" w:type="dxa"/>
          </w:tcPr>
          <w:p w:rsidR="00315650" w:rsidRDefault="00652A95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SC-5(2).1</w:t>
            </w:r>
          </w:p>
          <w:p w:rsidR="00315650" w:rsidRPr="000F6048" w:rsidRDefault="00315650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SC-5(2).1</w:t>
            </w:r>
            <w:r w:rsidR="00652A9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315650" w:rsidRPr="000F6048" w:rsidRDefault="00315650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15650" w:rsidRPr="000F6048" w:rsidRDefault="00315650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 the information system manages excess capacity, bandwidth, or other redundancy to limit the effects of information flooding types of denial of service attacks.</w:t>
            </w:r>
          </w:p>
          <w:p w:rsidR="00315650" w:rsidRPr="00B06160" w:rsidRDefault="00315650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0616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15650" w:rsidRPr="00B06160" w:rsidRDefault="00315650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B0616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0616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0616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0616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06160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denial of service protection; information system design documentation; information system configuration settings and associated documentation; other relevant documents or records].</w:t>
            </w:r>
          </w:p>
          <w:p w:rsidR="00315650" w:rsidRPr="000F6048" w:rsidRDefault="00315650" w:rsidP="003B08F2">
            <w:pPr>
              <w:spacing w:before="60" w:after="120"/>
              <w:ind w:left="418" w:hanging="418"/>
              <w:rPr>
                <w:rFonts w:ascii="Arial" w:hAnsi="Arial" w:cs="Arial"/>
                <w:iCs/>
                <w:color w:val="0000FF"/>
                <w:sz w:val="16"/>
                <w:szCs w:val="16"/>
                <w:highlight w:val="yellow"/>
              </w:rPr>
            </w:pPr>
            <w:r w:rsidRPr="00B0616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B0616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0616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0616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information system bandwidth, capacity, and redundancy management].</w:t>
            </w:r>
          </w:p>
        </w:tc>
      </w:tr>
      <w:tr w:rsidR="00315650" w:rsidRPr="005073C2" w:rsidTr="003B08F2">
        <w:trPr>
          <w:cantSplit/>
        </w:trPr>
        <w:tc>
          <w:tcPr>
            <w:tcW w:w="8640" w:type="dxa"/>
            <w:gridSpan w:val="2"/>
          </w:tcPr>
          <w:p w:rsidR="00315650" w:rsidRPr="005073C2" w:rsidRDefault="00315650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315650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15650" w:rsidRPr="005073C2" w:rsidRDefault="00315650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315650" w:rsidRPr="005073C2" w:rsidRDefault="00315650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0759DB" w:rsidRPr="005C48CD" w:rsidRDefault="000759DB" w:rsidP="000759DB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0759DB" w:rsidRPr="005C48CD" w:rsidRDefault="000759DB" w:rsidP="000759DB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concurrent controls: </w:t>
            </w:r>
            <w:r w:rsidR="0081263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4054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SC-7, </w:t>
            </w:r>
            <w:r w:rsidR="0081263F">
              <w:rPr>
                <w:rFonts w:ascii="Arial" w:hAnsi="Arial" w:cs="Arial"/>
                <w:iCs/>
                <w:smallCaps/>
                <w:sz w:val="16"/>
                <w:szCs w:val="16"/>
              </w:rPr>
              <w:t>SI-4</w:t>
            </w:r>
          </w:p>
          <w:p w:rsidR="00315650" w:rsidRPr="002F5405" w:rsidRDefault="000759DB" w:rsidP="000759D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315650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15650" w:rsidRPr="005073C2" w:rsidRDefault="00315650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15650" w:rsidRPr="005073C2" w:rsidRDefault="00315650" w:rsidP="00527882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7F58E8" w:rsidRPr="005073C2" w:rsidTr="003B08F2">
        <w:trPr>
          <w:cantSplit/>
        </w:trPr>
        <w:tc>
          <w:tcPr>
            <w:tcW w:w="1530" w:type="dxa"/>
          </w:tcPr>
          <w:p w:rsidR="007F58E8" w:rsidRPr="005073C2" w:rsidRDefault="007F58E8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SC-5(2).1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7F58E8" w:rsidRPr="005073C2" w:rsidRDefault="007F58E8" w:rsidP="0066232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security plan, 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</w:t>
            </w:r>
            <w:r w:rsidR="000C6235">
              <w:rPr>
                <w:iCs/>
                <w:sz w:val="18"/>
                <w:szCs w:val="18"/>
              </w:rPr>
              <w:t xml:space="preserve">manage excess capacity, bandwidth, or other redundancy to limit the effects of information flooding types of denial of service attacks. </w:t>
            </w:r>
          </w:p>
        </w:tc>
      </w:tr>
      <w:tr w:rsidR="007F58E8" w:rsidRPr="005073C2" w:rsidTr="003B08F2">
        <w:trPr>
          <w:cantSplit/>
        </w:trPr>
        <w:tc>
          <w:tcPr>
            <w:tcW w:w="1530" w:type="dxa"/>
          </w:tcPr>
          <w:p w:rsidR="007F58E8" w:rsidRPr="002F5405" w:rsidRDefault="000C6235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SC-5(2).1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7F58E8" w:rsidRPr="00846589" w:rsidRDefault="007F58E8" w:rsidP="0080216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CD226D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SC-5</w:t>
            </w:r>
            <w:r w:rsidR="000C6235">
              <w:rPr>
                <w:iCs/>
                <w:sz w:val="18"/>
                <w:szCs w:val="18"/>
              </w:rPr>
              <w:t>(2</w:t>
            </w:r>
            <w:r>
              <w:rPr>
                <w:iCs/>
                <w:sz w:val="18"/>
                <w:szCs w:val="18"/>
              </w:rPr>
              <w:t>).1.1.1;</w:t>
            </w:r>
            <w:r w:rsidR="000B1B08">
              <w:rPr>
                <w:iCs/>
                <w:sz w:val="18"/>
                <w:szCs w:val="18"/>
              </w:rPr>
              <w:t xml:space="preserve">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SC-5</w:t>
            </w:r>
            <w:r w:rsidR="000C6235">
              <w:rPr>
                <w:iCs/>
                <w:sz w:val="18"/>
                <w:szCs w:val="18"/>
              </w:rPr>
              <w:t>(2</w:t>
            </w:r>
            <w:r>
              <w:rPr>
                <w:iCs/>
                <w:sz w:val="18"/>
                <w:szCs w:val="18"/>
              </w:rPr>
              <w:t>).1.1.1.</w:t>
            </w:r>
          </w:p>
        </w:tc>
      </w:tr>
      <w:tr w:rsidR="007F58E8" w:rsidRPr="005073C2" w:rsidTr="003B08F2">
        <w:trPr>
          <w:cantSplit/>
        </w:trPr>
        <w:tc>
          <w:tcPr>
            <w:tcW w:w="1530" w:type="dxa"/>
          </w:tcPr>
          <w:p w:rsidR="007F58E8" w:rsidRPr="002F5405" w:rsidRDefault="000C6235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SC-5(2).1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7F58E8" w:rsidRPr="005073C2" w:rsidRDefault="007F58E8" w:rsidP="00802165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SC-5</w:t>
            </w:r>
            <w:r w:rsidR="000C6235">
              <w:rPr>
                <w:iCs/>
                <w:sz w:val="18"/>
                <w:szCs w:val="18"/>
              </w:rPr>
              <w:t>(2</w:t>
            </w:r>
            <w:r>
              <w:rPr>
                <w:iCs/>
                <w:sz w:val="18"/>
                <w:szCs w:val="18"/>
              </w:rPr>
              <w:t>).1.1.1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397" w:rsidRDefault="00361397" w:rsidP="00F351C8">
      <w:r>
        <w:separator/>
      </w:r>
    </w:p>
  </w:endnote>
  <w:endnote w:type="continuationSeparator" w:id="0">
    <w:p w:rsidR="00361397" w:rsidRDefault="00361397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882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527882" w:rsidRDefault="00527882">
            <w:pPr>
              <w:pStyle w:val="Footer"/>
              <w:jc w:val="center"/>
            </w:pPr>
            <w:r>
              <w:t>Initial Public Draft</w:t>
            </w:r>
          </w:p>
          <w:p w:rsidR="00527882" w:rsidRDefault="0052788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527882" w:rsidRDefault="005278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397" w:rsidRDefault="00361397" w:rsidP="00F351C8">
      <w:r>
        <w:separator/>
      </w:r>
    </w:p>
  </w:footnote>
  <w:footnote w:type="continuationSeparator" w:id="0">
    <w:p w:rsidR="00361397" w:rsidRDefault="00361397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882" w:rsidRDefault="00527882">
    <w:pPr>
      <w:pStyle w:val="Header"/>
    </w:pPr>
    <w:r>
      <w:t>Assessment Case:  SC-5 Denial of Service Protection</w:t>
    </w:r>
  </w:p>
  <w:p w:rsidR="00527882" w:rsidRDefault="005278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B0CE1"/>
    <w:multiLevelType w:val="hybridMultilevel"/>
    <w:tmpl w:val="8CD2F4D0"/>
    <w:lvl w:ilvl="0" w:tplc="66DA3D2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759DB"/>
    <w:rsid w:val="000B1B08"/>
    <w:rsid w:val="000C6235"/>
    <w:rsid w:val="00127B11"/>
    <w:rsid w:val="00135460"/>
    <w:rsid w:val="001C3BD4"/>
    <w:rsid w:val="001D18B5"/>
    <w:rsid w:val="002F5405"/>
    <w:rsid w:val="002F6E98"/>
    <w:rsid w:val="003111F5"/>
    <w:rsid w:val="00315650"/>
    <w:rsid w:val="00361397"/>
    <w:rsid w:val="003C34D3"/>
    <w:rsid w:val="00401C9E"/>
    <w:rsid w:val="004569C2"/>
    <w:rsid w:val="00527882"/>
    <w:rsid w:val="00531A1C"/>
    <w:rsid w:val="0055491C"/>
    <w:rsid w:val="00566A8A"/>
    <w:rsid w:val="005E0988"/>
    <w:rsid w:val="005F621E"/>
    <w:rsid w:val="00623080"/>
    <w:rsid w:val="0065175E"/>
    <w:rsid w:val="00652A95"/>
    <w:rsid w:val="0066232F"/>
    <w:rsid w:val="00684F6E"/>
    <w:rsid w:val="006E36E2"/>
    <w:rsid w:val="006F3A36"/>
    <w:rsid w:val="00707F6C"/>
    <w:rsid w:val="007134C8"/>
    <w:rsid w:val="007D39C7"/>
    <w:rsid w:val="007F58E8"/>
    <w:rsid w:val="0081263F"/>
    <w:rsid w:val="0081301E"/>
    <w:rsid w:val="008368C5"/>
    <w:rsid w:val="00854526"/>
    <w:rsid w:val="00865A65"/>
    <w:rsid w:val="00870562"/>
    <w:rsid w:val="008C3AB6"/>
    <w:rsid w:val="008E5682"/>
    <w:rsid w:val="008F048D"/>
    <w:rsid w:val="008F10FE"/>
    <w:rsid w:val="0090735A"/>
    <w:rsid w:val="00920EAA"/>
    <w:rsid w:val="00927DC8"/>
    <w:rsid w:val="0094567A"/>
    <w:rsid w:val="00A45573"/>
    <w:rsid w:val="00AD46A5"/>
    <w:rsid w:val="00B24978"/>
    <w:rsid w:val="00B576E5"/>
    <w:rsid w:val="00B65CC8"/>
    <w:rsid w:val="00B6655E"/>
    <w:rsid w:val="00B92B22"/>
    <w:rsid w:val="00BB27EA"/>
    <w:rsid w:val="00BB37B9"/>
    <w:rsid w:val="00BE0A45"/>
    <w:rsid w:val="00C26D2E"/>
    <w:rsid w:val="00C40544"/>
    <w:rsid w:val="00C70011"/>
    <w:rsid w:val="00C72F37"/>
    <w:rsid w:val="00CD226D"/>
    <w:rsid w:val="00D918F6"/>
    <w:rsid w:val="00DD0534"/>
    <w:rsid w:val="00E22AC1"/>
    <w:rsid w:val="00EB1078"/>
    <w:rsid w:val="00F15739"/>
    <w:rsid w:val="00F31535"/>
    <w:rsid w:val="00F351C8"/>
    <w:rsid w:val="00FA3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8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88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735A3F"/>
    <w:rsid w:val="00735A3F"/>
    <w:rsid w:val="00F26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C37D6E6A944A0B97B843B862861A4E">
    <w:name w:val="92C37D6E6A944A0B97B843B862861A4E"/>
    <w:rsid w:val="00735A3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A311C-6D0B-4F66-AACA-BC44893DD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12</cp:revision>
  <cp:lastPrinted>2011-01-04T02:19:00Z</cp:lastPrinted>
  <dcterms:created xsi:type="dcterms:W3CDTF">2011-10-07T18:14:00Z</dcterms:created>
  <dcterms:modified xsi:type="dcterms:W3CDTF">2011-11-06T13:23:00Z</dcterms:modified>
</cp:coreProperties>
</file>