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F8017D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F8017D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0464B4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F8017D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F8017D" w:rsidRPr="000F6048" w:rsidRDefault="00F8017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SC-19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F8017D" w:rsidRPr="000F6048" w:rsidRDefault="00F8017D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VOICE OVER INTERNET PROTOCOL</w:t>
            </w:r>
          </w:p>
        </w:tc>
      </w:tr>
      <w:tr w:rsidR="00F8017D" w:rsidRPr="00D54FC9" w:rsidTr="00F351C8">
        <w:trPr>
          <w:cantSplit/>
        </w:trPr>
        <w:tc>
          <w:tcPr>
            <w:tcW w:w="1166" w:type="dxa"/>
          </w:tcPr>
          <w:p w:rsidR="000464B4" w:rsidRDefault="000464B4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8017D" w:rsidRDefault="00F8017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SC-19.1</w:t>
            </w:r>
          </w:p>
          <w:p w:rsidR="00F8017D" w:rsidRDefault="00F8017D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F8017D" w:rsidRDefault="00F8017D" w:rsidP="003B08F2">
            <w:pPr>
              <w:spacing w:before="120" w:after="120" w:line="36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F8017D" w:rsidRPr="000F6048" w:rsidRDefault="00F8017D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474" w:type="dxa"/>
            <w:gridSpan w:val="2"/>
          </w:tcPr>
          <w:p w:rsidR="00F8017D" w:rsidRPr="000F6048" w:rsidRDefault="00F8017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F8017D" w:rsidRPr="000F6048" w:rsidRDefault="00F8017D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if:</w:t>
            </w:r>
          </w:p>
          <w:p w:rsidR="00F8017D" w:rsidRPr="000F6048" w:rsidRDefault="00F8017D" w:rsidP="00F8017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 xml:space="preserve">the organization establishes usage restrictions and implementation guidance for Voice over Internet Protocol </w:t>
            </w:r>
            <w:r>
              <w:rPr>
                <w:i/>
                <w:sz w:val="20"/>
                <w:szCs w:val="20"/>
              </w:rPr>
              <w:t xml:space="preserve">(VoIP) </w:t>
            </w:r>
            <w:r w:rsidRPr="000F6048">
              <w:rPr>
                <w:i/>
                <w:sz w:val="20"/>
                <w:szCs w:val="20"/>
              </w:rPr>
              <w:t>technologies based on the potential to cause damage to the information system if used maliciously; and</w:t>
            </w:r>
          </w:p>
          <w:p w:rsidR="00F8017D" w:rsidRPr="002B3659" w:rsidRDefault="00F8017D" w:rsidP="00F8017D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proofErr w:type="gramStart"/>
            <w:r w:rsidRPr="002B3659">
              <w:rPr>
                <w:i/>
                <w:sz w:val="20"/>
                <w:szCs w:val="20"/>
              </w:rPr>
              <w:t>the</w:t>
            </w:r>
            <w:proofErr w:type="gramEnd"/>
            <w:r w:rsidRPr="002B3659">
              <w:rPr>
                <w:i/>
                <w:sz w:val="20"/>
                <w:szCs w:val="20"/>
              </w:rPr>
              <w:t xml:space="preserve"> organization authorizes, monitors, and controls the use of VoIP within the information system.</w:t>
            </w:r>
          </w:p>
          <w:p w:rsidR="00F8017D" w:rsidRPr="00386474" w:rsidRDefault="00F8017D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386474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F8017D" w:rsidRPr="00386474" w:rsidRDefault="00F8017D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" w:hAnsi="Arial" w:cs="Arial"/>
                <w:iCs/>
                <w:sz w:val="16"/>
                <w:szCs w:val="16"/>
              </w:rPr>
            </w:pPr>
            <w:r w:rsidRPr="0038647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38647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647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647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6474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VoIP; VoIP usage restrictions; other relevant documents or records].</w:t>
            </w:r>
          </w:p>
          <w:p w:rsidR="00F8017D" w:rsidRPr="00386474" w:rsidRDefault="00F8017D" w:rsidP="003B08F2">
            <w:pPr>
              <w:autoSpaceDE w:val="0"/>
              <w:autoSpaceDN w:val="0"/>
              <w:adjustRightInd w:val="0"/>
              <w:spacing w:before="60" w:after="60"/>
              <w:ind w:left="792" w:hanging="792"/>
              <w:rPr>
                <w:rFonts w:ascii="Arial Narrow" w:hAnsi="Arial Narrow" w:cs="Arial"/>
                <w:b/>
                <w:sz w:val="16"/>
                <w:szCs w:val="16"/>
                <w:shd w:val="clear" w:color="auto" w:fill="D9D9D9"/>
              </w:rPr>
            </w:pPr>
            <w:r w:rsidRPr="0038647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Interview</w:t>
            </w:r>
            <w:r w:rsidRPr="0038647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647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647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386474">
              <w:rPr>
                <w:rFonts w:ascii="Arial" w:hAnsi="Arial" w:cs="Arial"/>
                <w:iCs/>
                <w:sz w:val="16"/>
                <w:szCs w:val="16"/>
              </w:rPr>
              <w:t>Organizational personnel with VoIP authorization and monitoring responsibilities].</w:t>
            </w:r>
          </w:p>
          <w:p w:rsidR="00F8017D" w:rsidRPr="000F6048" w:rsidRDefault="00F8017D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color w:val="0000FF"/>
                <w:sz w:val="20"/>
                <w:szCs w:val="20"/>
                <w:highlight w:val="yellow"/>
              </w:rPr>
            </w:pPr>
            <w:r w:rsidRPr="00386474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386474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386474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386474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VoIP authorization and monitoring capability for the organization].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850D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2B3659">
              <w:rPr>
                <w:rFonts w:ascii="Arial" w:hAnsi="Arial" w:cs="Arial"/>
                <w:iCs/>
                <w:smallCaps/>
                <w:sz w:val="16"/>
                <w:szCs w:val="16"/>
              </w:rPr>
              <w:t>CM-6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E850DB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E850DB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0464B4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  <w:r w:rsidR="00C70011"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 </w:t>
            </w:r>
          </w:p>
        </w:tc>
      </w:tr>
      <w:tr w:rsidR="000464B4" w:rsidRPr="005073C2" w:rsidTr="00F351C8">
        <w:trPr>
          <w:cantSplit/>
        </w:trPr>
        <w:tc>
          <w:tcPr>
            <w:tcW w:w="1530" w:type="dxa"/>
            <w:gridSpan w:val="2"/>
          </w:tcPr>
          <w:p w:rsidR="000464B4" w:rsidRPr="005073C2" w:rsidRDefault="000464B4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464B4" w:rsidRDefault="000464B4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0464B4" w:rsidRDefault="000464B4" w:rsidP="000464B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0464B4" w:rsidRPr="005C5B9C" w:rsidRDefault="000464B4" w:rsidP="000464B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0464B4" w:rsidRPr="005C5B9C" w:rsidRDefault="000464B4" w:rsidP="000464B4">
            <w:pPr>
              <w:pStyle w:val="ListParagraph"/>
              <w:numPr>
                <w:ilvl w:val="0"/>
                <w:numId w:val="10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C72F37" w:rsidRPr="005073C2" w:rsidTr="00F351C8">
        <w:trPr>
          <w:cantSplit/>
        </w:trPr>
        <w:tc>
          <w:tcPr>
            <w:tcW w:w="1530" w:type="dxa"/>
            <w:gridSpan w:val="2"/>
          </w:tcPr>
          <w:p w:rsidR="00CC0A78" w:rsidRDefault="00CC0A78" w:rsidP="00CC0A78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C72F37" w:rsidRPr="002F5405" w:rsidRDefault="00C72F37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C72F37" w:rsidRPr="002F5405" w:rsidRDefault="00CC0A78" w:rsidP="000B33D2">
            <w:pPr>
              <w:autoSpaceDE w:val="0"/>
              <w:autoSpaceDN w:val="0"/>
              <w:adjustRightInd w:val="0"/>
              <w:spacing w:before="60" w:after="60"/>
              <w:rPr>
                <w:b/>
                <w:i/>
                <w:iCs/>
                <w:sz w:val="18"/>
                <w:szCs w:val="18"/>
                <w:highlight w:val="yellow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access control policy, procedures addressing </w:t>
            </w:r>
            <w:r w:rsidR="000B33D2">
              <w:rPr>
                <w:sz w:val="18"/>
                <w:szCs w:val="18"/>
              </w:rPr>
              <w:t>Voice over Internet Protocol (VoIP)</w:t>
            </w:r>
            <w:r>
              <w:rPr>
                <w:sz w:val="18"/>
                <w:szCs w:val="18"/>
              </w:rPr>
              <w:t xml:space="preserve">, </w:t>
            </w:r>
            <w:r w:rsidR="000B33D2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2502F3">
              <w:rPr>
                <w:sz w:val="18"/>
                <w:szCs w:val="18"/>
              </w:rPr>
              <w:t xml:space="preserve">for </w:t>
            </w:r>
            <w:r>
              <w:rPr>
                <w:sz w:val="18"/>
                <w:szCs w:val="18"/>
              </w:rPr>
              <w:t xml:space="preserve">the usage restrictions and implementation guidance for VoIP technologies based on the potential to cause damage to the information system if used maliciously. </w:t>
            </w:r>
          </w:p>
        </w:tc>
      </w:tr>
      <w:tr w:rsidR="000464B4" w:rsidRPr="005073C2" w:rsidTr="000464B4">
        <w:trPr>
          <w:cantSplit/>
        </w:trPr>
        <w:tc>
          <w:tcPr>
            <w:tcW w:w="1530" w:type="dxa"/>
            <w:gridSpan w:val="2"/>
            <w:shd w:val="clear" w:color="auto" w:fill="F2F2F2" w:themeFill="background1" w:themeFillShade="F2"/>
          </w:tcPr>
          <w:p w:rsidR="000464B4" w:rsidRDefault="000464B4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0464B4" w:rsidRPr="008D7BED" w:rsidRDefault="000464B4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72E90" w:rsidRPr="005073C2" w:rsidTr="00F351C8">
        <w:trPr>
          <w:cantSplit/>
        </w:trPr>
        <w:tc>
          <w:tcPr>
            <w:tcW w:w="1530" w:type="dxa"/>
            <w:gridSpan w:val="2"/>
          </w:tcPr>
          <w:p w:rsidR="00072E90" w:rsidRPr="002F5405" w:rsidRDefault="00072E90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</w:tc>
        <w:tc>
          <w:tcPr>
            <w:tcW w:w="7110" w:type="dxa"/>
          </w:tcPr>
          <w:p w:rsidR="00072E90" w:rsidRPr="00897ABA" w:rsidRDefault="00072E90" w:rsidP="000B33D2">
            <w:pPr>
              <w:autoSpaceDE w:val="0"/>
              <w:autoSpaceDN w:val="0"/>
              <w:adjustRightInd w:val="0"/>
              <w:spacing w:before="60" w:after="60"/>
              <w:rPr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</w:t>
            </w:r>
            <w:r w:rsidR="000B33D2">
              <w:rPr>
                <w:sz w:val="18"/>
                <w:szCs w:val="18"/>
              </w:rPr>
              <w:t>access control policy</w:t>
            </w:r>
            <w:r>
              <w:rPr>
                <w:sz w:val="18"/>
                <w:szCs w:val="18"/>
              </w:rPr>
              <w:t xml:space="preserve">, procedures addressing </w:t>
            </w:r>
            <w:r w:rsidR="000B33D2">
              <w:rPr>
                <w:sz w:val="18"/>
                <w:szCs w:val="18"/>
              </w:rPr>
              <w:t>VoIP</w:t>
            </w:r>
            <w:r>
              <w:rPr>
                <w:sz w:val="18"/>
                <w:szCs w:val="18"/>
              </w:rPr>
              <w:t xml:space="preserve">, </w:t>
            </w:r>
            <w:r w:rsidR="000B33D2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 w:rsidRPr="00923068">
              <w:rPr>
                <w:iCs/>
                <w:sz w:val="18"/>
                <w:szCs w:val="18"/>
              </w:rPr>
              <w:t>for</w:t>
            </w:r>
            <w:r>
              <w:rPr>
                <w:iCs/>
                <w:sz w:val="18"/>
                <w:szCs w:val="18"/>
              </w:rPr>
              <w:t xml:space="preserve"> the measures (including automated mechanisms and their configuration settings) </w:t>
            </w:r>
            <w:r>
              <w:rPr>
                <w:sz w:val="18"/>
                <w:szCs w:val="18"/>
              </w:rPr>
              <w:t xml:space="preserve">to be employed to authorize, monitor, and control the use of </w:t>
            </w:r>
            <w:r w:rsidR="002B3659">
              <w:rPr>
                <w:sz w:val="18"/>
                <w:szCs w:val="18"/>
              </w:rPr>
              <w:t>VoIP within the information system.</w:t>
            </w:r>
          </w:p>
        </w:tc>
      </w:tr>
      <w:tr w:rsidR="00072E90" w:rsidRPr="005073C2" w:rsidTr="00F351C8">
        <w:trPr>
          <w:cantSplit/>
        </w:trPr>
        <w:tc>
          <w:tcPr>
            <w:tcW w:w="1530" w:type="dxa"/>
            <w:gridSpan w:val="2"/>
          </w:tcPr>
          <w:p w:rsidR="00072E90" w:rsidRPr="002F5405" w:rsidRDefault="00072E90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</w:tc>
        <w:tc>
          <w:tcPr>
            <w:tcW w:w="7110" w:type="dxa"/>
          </w:tcPr>
          <w:p w:rsidR="00072E90" w:rsidRPr="002033DE" w:rsidRDefault="00072E90" w:rsidP="00127C60">
            <w:pPr>
              <w:autoSpaceDE w:val="0"/>
              <w:autoSpaceDN w:val="0"/>
              <w:adjustRightInd w:val="0"/>
              <w:spacing w:before="60" w:after="60"/>
              <w:rPr>
                <w:b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9F22AF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identified in SC-19.1.2.1;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SC-19.1.2.1.</w:t>
            </w:r>
          </w:p>
        </w:tc>
      </w:tr>
      <w:tr w:rsidR="00072E90" w:rsidRPr="005073C2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72E90" w:rsidRPr="002F5405" w:rsidRDefault="00072E90" w:rsidP="00127B11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72E90" w:rsidRPr="00264C70" w:rsidRDefault="00072E90" w:rsidP="00840926">
            <w:pPr>
              <w:autoSpaceDE w:val="0"/>
              <w:autoSpaceDN w:val="0"/>
              <w:adjustRightInd w:val="0"/>
              <w:spacing w:before="60" w:after="60"/>
              <w:rPr>
                <w:b/>
                <w:iCs/>
                <w:sz w:val="18"/>
                <w:szCs w:val="18"/>
              </w:rPr>
            </w:pPr>
            <w:r w:rsidRPr="004C382C">
              <w:rPr>
                <w:b/>
                <w:iCs/>
                <w:sz w:val="18"/>
                <w:szCs w:val="18"/>
              </w:rPr>
              <w:t xml:space="preserve">Examine </w:t>
            </w:r>
            <w:r w:rsidRPr="004C382C">
              <w:rPr>
                <w:iCs/>
                <w:sz w:val="18"/>
                <w:szCs w:val="18"/>
              </w:rPr>
              <w:t>an agreed-upon [</w:t>
            </w:r>
            <w:r w:rsidRPr="002B3659">
              <w:rPr>
                <w:i/>
                <w:iCs/>
                <w:sz w:val="18"/>
                <w:szCs w:val="18"/>
              </w:rPr>
              <w:t>basic</w:t>
            </w:r>
            <w:r w:rsidRPr="004C382C">
              <w:rPr>
                <w:iCs/>
                <w:sz w:val="18"/>
                <w:szCs w:val="18"/>
              </w:rPr>
              <w:t xml:space="preserve">] sample </w:t>
            </w:r>
            <w:r w:rsidR="002B3659">
              <w:rPr>
                <w:iCs/>
                <w:sz w:val="18"/>
                <w:szCs w:val="18"/>
              </w:rPr>
              <w:t>VoIP</w:t>
            </w:r>
            <w:r w:rsidRPr="004C382C">
              <w:rPr>
                <w:iCs/>
                <w:sz w:val="18"/>
                <w:szCs w:val="18"/>
              </w:rPr>
              <w:t xml:space="preserve"> authorization record</w:t>
            </w:r>
            <w:r w:rsidR="002B3659">
              <w:rPr>
                <w:iCs/>
                <w:sz w:val="18"/>
                <w:szCs w:val="18"/>
              </w:rPr>
              <w:t>s</w:t>
            </w:r>
            <w:r w:rsidRPr="004C382C">
              <w:rPr>
                <w:iCs/>
                <w:sz w:val="18"/>
                <w:szCs w:val="18"/>
              </w:rPr>
              <w:t xml:space="preserve"> and </w:t>
            </w:r>
            <w:r w:rsidR="002B3659" w:rsidRPr="004C382C">
              <w:rPr>
                <w:iCs/>
                <w:sz w:val="18"/>
                <w:szCs w:val="18"/>
              </w:rPr>
              <w:t>an agreed-upon [</w:t>
            </w:r>
            <w:r w:rsidR="002B3659" w:rsidRPr="002B3659">
              <w:rPr>
                <w:i/>
                <w:iCs/>
                <w:sz w:val="18"/>
                <w:szCs w:val="18"/>
              </w:rPr>
              <w:t>basic</w:t>
            </w:r>
            <w:r w:rsidR="002B3659" w:rsidRPr="004C382C">
              <w:rPr>
                <w:iCs/>
                <w:sz w:val="18"/>
                <w:szCs w:val="18"/>
              </w:rPr>
              <w:t xml:space="preserve">] sample </w:t>
            </w:r>
            <w:r w:rsidR="002B3659">
              <w:rPr>
                <w:iCs/>
                <w:sz w:val="18"/>
                <w:szCs w:val="18"/>
              </w:rPr>
              <w:t xml:space="preserve">VoIP </w:t>
            </w:r>
            <w:r w:rsidRPr="004C382C">
              <w:rPr>
                <w:iCs/>
                <w:sz w:val="18"/>
                <w:szCs w:val="18"/>
              </w:rPr>
              <w:t>monitoring records; [</w:t>
            </w:r>
            <w:r w:rsidRPr="002B3659">
              <w:rPr>
                <w:i/>
                <w:iCs/>
                <w:sz w:val="18"/>
                <w:szCs w:val="18"/>
              </w:rPr>
              <w:t>reviewing</w:t>
            </w:r>
            <w:r w:rsidRPr="004C382C">
              <w:rPr>
                <w:iCs/>
                <w:sz w:val="18"/>
                <w:szCs w:val="18"/>
              </w:rPr>
              <w:t xml:space="preserve">] for evidence that the measures identified in </w:t>
            </w:r>
            <w:r>
              <w:rPr>
                <w:iCs/>
                <w:sz w:val="18"/>
                <w:szCs w:val="18"/>
              </w:rPr>
              <w:t xml:space="preserve">SC-19.1.2.1 </w:t>
            </w:r>
            <w:r w:rsidRPr="004C382C">
              <w:rPr>
                <w:iCs/>
                <w:sz w:val="18"/>
                <w:szCs w:val="18"/>
              </w:rPr>
              <w:t>are being applied.</w:t>
            </w:r>
            <w:r>
              <w:rPr>
                <w:iCs/>
                <w:sz w:val="18"/>
                <w:szCs w:val="18"/>
              </w:rPr>
              <w:t xml:space="preserve"> </w:t>
            </w:r>
          </w:p>
        </w:tc>
      </w:tr>
      <w:tr w:rsidR="00072E9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72E90" w:rsidRPr="002F5405" w:rsidRDefault="00072E9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.2.4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72E90" w:rsidRPr="00CA7132" w:rsidRDefault="00072E90" w:rsidP="00CD4397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>
              <w:rPr>
                <w:b/>
                <w:iCs/>
                <w:sz w:val="18"/>
                <w:szCs w:val="18"/>
              </w:rPr>
              <w:t xml:space="preserve">Interview </w:t>
            </w:r>
            <w:r>
              <w:rPr>
                <w:iCs/>
                <w:sz w:val="18"/>
                <w:szCs w:val="18"/>
              </w:rPr>
              <w:t>an agreed-upon [</w:t>
            </w:r>
            <w:r w:rsidRPr="002B3659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sample of organizational personnel with </w:t>
            </w:r>
            <w:r w:rsidR="00CD4397">
              <w:rPr>
                <w:iCs/>
                <w:sz w:val="18"/>
                <w:szCs w:val="18"/>
              </w:rPr>
              <w:t>VoIP authorization and monitoring</w:t>
            </w:r>
            <w:r>
              <w:rPr>
                <w:iCs/>
                <w:sz w:val="18"/>
                <w:szCs w:val="18"/>
              </w:rPr>
              <w:t xml:space="preserve"> responsibilities; conducting [</w:t>
            </w:r>
            <w:r w:rsidRPr="00CA7132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discussions for further evidence that the measures identified in </w:t>
            </w:r>
            <w:r w:rsidR="002B3659">
              <w:rPr>
                <w:iCs/>
                <w:sz w:val="18"/>
                <w:szCs w:val="18"/>
              </w:rPr>
              <w:t xml:space="preserve">SC-19.1.2.1 </w:t>
            </w:r>
            <w:r>
              <w:rPr>
                <w:iCs/>
                <w:sz w:val="18"/>
                <w:szCs w:val="18"/>
              </w:rPr>
              <w:t xml:space="preserve">are being applied. </w:t>
            </w:r>
          </w:p>
        </w:tc>
      </w:tr>
      <w:tr w:rsidR="00072E90" w:rsidRPr="004F7EFC" w:rsidTr="00F351C8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</w:tcPr>
          <w:p w:rsidR="00072E90" w:rsidRPr="002F5405" w:rsidRDefault="00072E90" w:rsidP="00005197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SC-19.1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.2.5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072E90" w:rsidRPr="005073C2" w:rsidRDefault="00072E90" w:rsidP="000B33D2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Pr="00B16608">
              <w:rPr>
                <w:iCs/>
                <w:sz w:val="18"/>
                <w:szCs w:val="18"/>
              </w:rPr>
              <w:t>automated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 w:rsidR="002B3659">
              <w:rPr>
                <w:iCs/>
                <w:sz w:val="18"/>
                <w:szCs w:val="18"/>
              </w:rPr>
              <w:t>SC-19.1.2.1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C70011" w:rsidRDefault="00C70011"/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3502" w:rsidRDefault="00063502" w:rsidP="00F351C8">
      <w:r>
        <w:separator/>
      </w:r>
    </w:p>
  </w:endnote>
  <w:endnote w:type="continuationSeparator" w:id="0">
    <w:p w:rsidR="00063502" w:rsidRDefault="00063502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934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0464B4" w:rsidRDefault="000464B4">
            <w:pPr>
              <w:pStyle w:val="Footer"/>
              <w:jc w:val="center"/>
            </w:pPr>
            <w:r>
              <w:t>Initial Public Draft</w:t>
            </w:r>
          </w:p>
          <w:p w:rsidR="000464B4" w:rsidRDefault="000464B4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2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0464B4" w:rsidRDefault="000464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3502" w:rsidRDefault="00063502" w:rsidP="00F351C8">
      <w:r>
        <w:separator/>
      </w:r>
    </w:p>
  </w:footnote>
  <w:footnote w:type="continuationSeparator" w:id="0">
    <w:p w:rsidR="00063502" w:rsidRDefault="00063502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4B4" w:rsidRDefault="000464B4">
    <w:pPr>
      <w:pStyle w:val="Header"/>
    </w:pPr>
    <w:r>
      <w:t>Assessment Case:  SC-19 Voice Over Internet Protocol</w:t>
    </w:r>
  </w:p>
  <w:p w:rsidR="000464B4" w:rsidRDefault="000464B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9804C2A"/>
    <w:multiLevelType w:val="hybridMultilevel"/>
    <w:tmpl w:val="4FACEB56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35D94"/>
    <w:rsid w:val="000464B4"/>
    <w:rsid w:val="00055D00"/>
    <w:rsid w:val="00063502"/>
    <w:rsid w:val="00072E90"/>
    <w:rsid w:val="000B33D2"/>
    <w:rsid w:val="00127B11"/>
    <w:rsid w:val="00135460"/>
    <w:rsid w:val="001C3BD4"/>
    <w:rsid w:val="001D18B5"/>
    <w:rsid w:val="001E6F13"/>
    <w:rsid w:val="002B3659"/>
    <w:rsid w:val="002F5405"/>
    <w:rsid w:val="002F6E98"/>
    <w:rsid w:val="003111F5"/>
    <w:rsid w:val="004146F1"/>
    <w:rsid w:val="004569C2"/>
    <w:rsid w:val="00531A1C"/>
    <w:rsid w:val="0055491C"/>
    <w:rsid w:val="005C0A0E"/>
    <w:rsid w:val="005D2669"/>
    <w:rsid w:val="005D5384"/>
    <w:rsid w:val="005E0988"/>
    <w:rsid w:val="005F621E"/>
    <w:rsid w:val="00623080"/>
    <w:rsid w:val="0065175E"/>
    <w:rsid w:val="00664943"/>
    <w:rsid w:val="006E36E2"/>
    <w:rsid w:val="006F3A36"/>
    <w:rsid w:val="00707F6C"/>
    <w:rsid w:val="007134C8"/>
    <w:rsid w:val="00734910"/>
    <w:rsid w:val="007D39C7"/>
    <w:rsid w:val="0081301E"/>
    <w:rsid w:val="00840926"/>
    <w:rsid w:val="0085334C"/>
    <w:rsid w:val="00854526"/>
    <w:rsid w:val="00870562"/>
    <w:rsid w:val="008C3AB6"/>
    <w:rsid w:val="008E5682"/>
    <w:rsid w:val="008F10FE"/>
    <w:rsid w:val="008F2682"/>
    <w:rsid w:val="0090735A"/>
    <w:rsid w:val="00920EAA"/>
    <w:rsid w:val="00927DC8"/>
    <w:rsid w:val="00983957"/>
    <w:rsid w:val="00A45573"/>
    <w:rsid w:val="00AD46A5"/>
    <w:rsid w:val="00AE20CC"/>
    <w:rsid w:val="00AF2486"/>
    <w:rsid w:val="00B03B45"/>
    <w:rsid w:val="00B576E5"/>
    <w:rsid w:val="00B6655E"/>
    <w:rsid w:val="00B70EF6"/>
    <w:rsid w:val="00BB37B9"/>
    <w:rsid w:val="00BE0A45"/>
    <w:rsid w:val="00C26D2E"/>
    <w:rsid w:val="00C70011"/>
    <w:rsid w:val="00C72F37"/>
    <w:rsid w:val="00CC0A78"/>
    <w:rsid w:val="00CD4397"/>
    <w:rsid w:val="00D72F7C"/>
    <w:rsid w:val="00E15D58"/>
    <w:rsid w:val="00E22AC1"/>
    <w:rsid w:val="00E850DB"/>
    <w:rsid w:val="00F05E40"/>
    <w:rsid w:val="00F15739"/>
    <w:rsid w:val="00F31535"/>
    <w:rsid w:val="00F351C8"/>
    <w:rsid w:val="00F45827"/>
    <w:rsid w:val="00F8017D"/>
    <w:rsid w:val="00FC0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64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4B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222FD6"/>
    <w:rsid w:val="00222FD6"/>
    <w:rsid w:val="00C96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6A3B05FB5843A8A8798EAF3B8C4D88">
    <w:name w:val="5A6A3B05FB5843A8A8798EAF3B8C4D88"/>
    <w:rsid w:val="00222FD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DB043-90B1-4AC4-A732-3D610405A9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3891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3</cp:revision>
  <cp:lastPrinted>2011-01-04T02:19:00Z</cp:lastPrinted>
  <dcterms:created xsi:type="dcterms:W3CDTF">2011-10-07T20:36:00Z</dcterms:created>
  <dcterms:modified xsi:type="dcterms:W3CDTF">2011-11-07T13:11:00Z</dcterms:modified>
</cp:coreProperties>
</file>