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0E4967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0E4967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8C1167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0E4967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0E4967" w:rsidRPr="00DD0D87" w:rsidRDefault="000E4967" w:rsidP="003B08F2">
            <w:pPr>
              <w:spacing w:before="120" w:after="120"/>
              <w:jc w:val="both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sz w:val="16"/>
                <w:szCs w:val="16"/>
              </w:rPr>
              <w:t xml:space="preserve">SI-11     </w:t>
            </w: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                                                                                                                       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0E4967" w:rsidRPr="00DD0D87" w:rsidRDefault="000E4967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ERROR HANDLING</w:t>
            </w:r>
          </w:p>
        </w:tc>
      </w:tr>
      <w:tr w:rsidR="000E4967" w:rsidRPr="00D54FC9" w:rsidTr="00F351C8">
        <w:trPr>
          <w:cantSplit/>
        </w:trPr>
        <w:tc>
          <w:tcPr>
            <w:tcW w:w="1166" w:type="dxa"/>
          </w:tcPr>
          <w:p w:rsidR="008C1167" w:rsidRDefault="008C1167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E4967" w:rsidRDefault="000E4967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SI-11.1</w:t>
            </w:r>
          </w:p>
          <w:p w:rsidR="000E4967" w:rsidRDefault="000E4967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0E4967" w:rsidRDefault="000E4967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0E4967" w:rsidRDefault="000E4967" w:rsidP="003B08F2">
            <w:pPr>
              <w:spacing w:before="100" w:after="8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E4967" w:rsidRDefault="000E4967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0E4967" w:rsidRDefault="000E4967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E4967" w:rsidRDefault="000E4967" w:rsidP="003B08F2">
            <w:pPr>
              <w:spacing w:before="100" w:after="80" w:line="48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E4967" w:rsidRDefault="000E4967" w:rsidP="003B08F2">
            <w:pPr>
              <w:spacing w:before="100" w:after="80"/>
              <w:rPr>
                <w:rFonts w:ascii="Arial" w:hAnsi="Arial" w:cs="Arial"/>
                <w:b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</w:tc>
        <w:tc>
          <w:tcPr>
            <w:tcW w:w="7474" w:type="dxa"/>
            <w:gridSpan w:val="2"/>
          </w:tcPr>
          <w:p w:rsidR="000E4967" w:rsidRPr="002B60CC" w:rsidRDefault="000E4967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2B60C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0E4967" w:rsidRPr="002B60CC" w:rsidRDefault="000E4967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2B60CC">
              <w:rPr>
                <w:bCs/>
                <w:i/>
                <w:iCs/>
                <w:sz w:val="20"/>
              </w:rPr>
              <w:t>Determine</w:t>
            </w:r>
            <w:r w:rsidRPr="002B60CC">
              <w:rPr>
                <w:i/>
                <w:iCs/>
                <w:sz w:val="20"/>
              </w:rPr>
              <w:t xml:space="preserve"> if:</w:t>
            </w:r>
          </w:p>
          <w:p w:rsidR="000E4967" w:rsidRPr="002B60CC" w:rsidRDefault="000E4967" w:rsidP="000E4967">
            <w:pPr>
              <w:numPr>
                <w:ilvl w:val="0"/>
                <w:numId w:val="8"/>
              </w:numPr>
              <w:tabs>
                <w:tab w:val="clear" w:pos="1152"/>
                <w:tab w:val="num" w:pos="436"/>
              </w:tabs>
              <w:autoSpaceDE w:val="0"/>
              <w:autoSpaceDN w:val="0"/>
              <w:adjustRightInd w:val="0"/>
              <w:spacing w:before="60" w:after="60"/>
              <w:ind w:left="436"/>
              <w:rPr>
                <w:i/>
                <w:iCs/>
                <w:sz w:val="20"/>
              </w:rPr>
            </w:pPr>
            <w:r w:rsidRPr="002B60CC">
              <w:rPr>
                <w:i/>
                <w:iCs/>
                <w:sz w:val="20"/>
              </w:rPr>
              <w:t xml:space="preserve">the information system identifies </w:t>
            </w:r>
            <w:r>
              <w:rPr>
                <w:i/>
                <w:iCs/>
                <w:sz w:val="20"/>
              </w:rPr>
              <w:t xml:space="preserve">potentially security-relevant </w:t>
            </w:r>
            <w:r w:rsidRPr="002B60CC">
              <w:rPr>
                <w:i/>
                <w:iCs/>
                <w:sz w:val="20"/>
              </w:rPr>
              <w:t xml:space="preserve">error conditions; </w:t>
            </w:r>
          </w:p>
          <w:p w:rsidR="000E4967" w:rsidRDefault="000E4967" w:rsidP="000E4967">
            <w:pPr>
              <w:numPr>
                <w:ilvl w:val="0"/>
                <w:numId w:val="8"/>
              </w:numPr>
              <w:tabs>
                <w:tab w:val="clear" w:pos="1152"/>
                <w:tab w:val="num" w:pos="436"/>
              </w:tabs>
              <w:autoSpaceDE w:val="0"/>
              <w:autoSpaceDN w:val="0"/>
              <w:adjustRightInd w:val="0"/>
              <w:spacing w:before="60" w:after="60"/>
              <w:ind w:left="436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the organization defines sensitive or potentially harmful information that should not be contained in error logs and administrative messages;</w:t>
            </w:r>
          </w:p>
          <w:p w:rsidR="000E4967" w:rsidRDefault="000E4967" w:rsidP="000E4967">
            <w:pPr>
              <w:numPr>
                <w:ilvl w:val="0"/>
                <w:numId w:val="8"/>
              </w:numPr>
              <w:tabs>
                <w:tab w:val="clear" w:pos="1152"/>
                <w:tab w:val="num" w:pos="436"/>
              </w:tabs>
              <w:autoSpaceDE w:val="0"/>
              <w:autoSpaceDN w:val="0"/>
              <w:adjustRightInd w:val="0"/>
              <w:spacing w:before="60" w:after="60"/>
              <w:ind w:left="436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the information system generates error messages that provide information necessary for corrective actions without revealing organization-defined sensitive or potentially harmful information in error logs and administrative messages  that could be exploited by adversaries; and</w:t>
            </w:r>
          </w:p>
          <w:p w:rsidR="000E4967" w:rsidRPr="002B60CC" w:rsidRDefault="000E4967" w:rsidP="000E4967">
            <w:pPr>
              <w:numPr>
                <w:ilvl w:val="0"/>
                <w:numId w:val="8"/>
              </w:numPr>
              <w:tabs>
                <w:tab w:val="clear" w:pos="1152"/>
                <w:tab w:val="num" w:pos="436"/>
              </w:tabs>
              <w:autoSpaceDE w:val="0"/>
              <w:autoSpaceDN w:val="0"/>
              <w:adjustRightInd w:val="0"/>
              <w:spacing w:before="60" w:after="60"/>
              <w:ind w:left="436"/>
              <w:rPr>
                <w:i/>
                <w:iCs/>
                <w:sz w:val="20"/>
                <w:szCs w:val="20"/>
              </w:rPr>
            </w:pPr>
            <w:proofErr w:type="gramStart"/>
            <w:r w:rsidRPr="002B60CC">
              <w:rPr>
                <w:i/>
                <w:iCs/>
                <w:sz w:val="20"/>
                <w:szCs w:val="20"/>
              </w:rPr>
              <w:t>the</w:t>
            </w:r>
            <w:proofErr w:type="gramEnd"/>
            <w:r w:rsidRPr="002B60CC">
              <w:rPr>
                <w:i/>
                <w:iCs/>
                <w:sz w:val="20"/>
                <w:szCs w:val="20"/>
              </w:rPr>
              <w:t xml:space="preserve"> information system reveals error messages only to authorized </w:t>
            </w:r>
            <w:r>
              <w:rPr>
                <w:i/>
                <w:iCs/>
                <w:sz w:val="20"/>
                <w:szCs w:val="20"/>
              </w:rPr>
              <w:t>personnel.</w:t>
            </w:r>
          </w:p>
          <w:p w:rsidR="000E4967" w:rsidRPr="001A1041" w:rsidRDefault="000E4967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A1041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0E4967" w:rsidRPr="001A1041" w:rsidRDefault="000E4967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 Bold" w:hAnsi="Arial Bold" w:cs="Arial"/>
                <w:b/>
                <w:iCs/>
                <w:smallCaps/>
                <w:sz w:val="20"/>
                <w:szCs w:val="20"/>
              </w:rPr>
            </w:pPr>
            <w:r w:rsidRPr="001A104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1A104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A104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A104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1A1041">
              <w:rPr>
                <w:rFonts w:ascii="Arial" w:hAnsi="Arial" w:cs="Arial"/>
                <w:iCs/>
                <w:sz w:val="16"/>
                <w:szCs w:val="16"/>
              </w:rPr>
              <w:t>System and information integrity policy; procedures addressing information system error handling; information system design documentation; information system configuration settings and associated documentation</w:t>
            </w:r>
            <w:r w:rsidRPr="001A1041">
              <w:rPr>
                <w:rFonts w:ascii="Arial" w:hAnsi="Arial" w:cs="Arial"/>
                <w:bCs/>
                <w:iCs/>
                <w:sz w:val="16"/>
                <w:szCs w:val="16"/>
              </w:rPr>
              <w:t>;</w:t>
            </w:r>
            <w:r w:rsidRPr="001A1041">
              <w:rPr>
                <w:rFonts w:ascii="Arial" w:hAnsi="Arial" w:cs="Arial"/>
                <w:iCs/>
                <w:sz w:val="16"/>
                <w:szCs w:val="16"/>
              </w:rPr>
              <w:t xml:space="preserve"> other relevant documents or records].</w:t>
            </w:r>
          </w:p>
          <w:p w:rsidR="000E4967" w:rsidRPr="00DD0D87" w:rsidRDefault="000E4967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1A104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1A104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A104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A104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Information system error handling capability].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FE54FA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FE54F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AU-2, AU-3, AU-9, AC-5, AC-6, CM-6 </w:t>
            </w:r>
          </w:p>
          <w:p w:rsidR="00C70011" w:rsidRPr="005073C2" w:rsidRDefault="00C70011" w:rsidP="00FE54FA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FE54FA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  <w:bookmarkStart w:id="0" w:name="_GoBack"/>
            <w:bookmarkEnd w:id="0"/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8C1167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8C1167" w:rsidRPr="005073C2" w:rsidTr="00F351C8">
        <w:trPr>
          <w:cantSplit/>
        </w:trPr>
        <w:tc>
          <w:tcPr>
            <w:tcW w:w="1530" w:type="dxa"/>
            <w:gridSpan w:val="2"/>
          </w:tcPr>
          <w:p w:rsidR="008C1167" w:rsidRPr="005073C2" w:rsidRDefault="008C116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8C1167" w:rsidRDefault="008C1167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8C1167" w:rsidRDefault="008C1167" w:rsidP="008C1167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8C1167" w:rsidRPr="005C5B9C" w:rsidRDefault="008C1167" w:rsidP="008C1167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8C1167" w:rsidRPr="005C5B9C" w:rsidRDefault="008C1167" w:rsidP="008C1167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BC6CB5" w:rsidRPr="005073C2" w:rsidTr="00F351C8">
        <w:trPr>
          <w:cantSplit/>
        </w:trPr>
        <w:tc>
          <w:tcPr>
            <w:tcW w:w="1530" w:type="dxa"/>
            <w:gridSpan w:val="2"/>
          </w:tcPr>
          <w:p w:rsidR="00BC6CB5" w:rsidRPr="00BC6CB5" w:rsidRDefault="00BC6CB5" w:rsidP="00BC6CB5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BC6CB5" w:rsidRPr="00B86D3C" w:rsidRDefault="00BC6CB5" w:rsidP="00BC6CB5">
            <w:pPr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sz w:val="20"/>
                <w:szCs w:val="20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rFonts w:cs="Arial"/>
                <w:iCs/>
                <w:sz w:val="18"/>
                <w:szCs w:val="18"/>
              </w:rPr>
              <w:t>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identify potentially security-relevant error conditions. </w:t>
            </w:r>
          </w:p>
        </w:tc>
      </w:tr>
      <w:tr w:rsidR="00BC6CB5" w:rsidRPr="005073C2" w:rsidTr="00F351C8">
        <w:trPr>
          <w:cantSplit/>
        </w:trPr>
        <w:tc>
          <w:tcPr>
            <w:tcW w:w="1530" w:type="dxa"/>
            <w:gridSpan w:val="2"/>
          </w:tcPr>
          <w:p w:rsidR="00BC6CB5" w:rsidRPr="002F5405" w:rsidRDefault="00BC6CB5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BC6CB5" w:rsidRPr="00846589" w:rsidRDefault="00BC6CB5" w:rsidP="00BC6CB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SI-11.1.1.1;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SI-11.1.1.1.</w:t>
            </w:r>
          </w:p>
        </w:tc>
      </w:tr>
      <w:tr w:rsidR="00BC6CB5" w:rsidRPr="005073C2" w:rsidTr="00F351C8">
        <w:trPr>
          <w:cantSplit/>
        </w:trPr>
        <w:tc>
          <w:tcPr>
            <w:tcW w:w="1530" w:type="dxa"/>
            <w:gridSpan w:val="2"/>
          </w:tcPr>
          <w:p w:rsidR="00BC6CB5" w:rsidRDefault="00BC6CB5" w:rsidP="00BC6CB5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SI-11.1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  <w:p w:rsidR="00BC6CB5" w:rsidRPr="002F5405" w:rsidRDefault="00BC6CB5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BC6CB5" w:rsidRPr="005073C2" w:rsidRDefault="00BC6CB5" w:rsidP="001F610F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SI-11.1.1.1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>
              <w:rPr>
                <w:iCs/>
                <w:sz w:val="18"/>
                <w:szCs w:val="18"/>
              </w:rPr>
              <w:t xml:space="preserve">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C1167" w:rsidRPr="005073C2" w:rsidTr="008C1167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8C1167" w:rsidRDefault="008C1167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8C1167" w:rsidRPr="008D7BED" w:rsidRDefault="008C1167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127B11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BC6CB5" w:rsidRDefault="00BC6CB5" w:rsidP="00BC6CB5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127B11" w:rsidRPr="002F5405" w:rsidRDefault="00127B11" w:rsidP="00127B1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27B11" w:rsidRPr="002F5405" w:rsidRDefault="00BC6CB5" w:rsidP="00BC6CB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system and information integrity policy, procedures addressing information system error handling, security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sensitive or potentially harmful information that should not be contained in error logs and administrative messages. </w:t>
            </w:r>
          </w:p>
        </w:tc>
      </w:tr>
      <w:tr w:rsidR="008C1167" w:rsidRPr="005073C2" w:rsidTr="008C116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C1167" w:rsidRDefault="008C1167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C1167" w:rsidRPr="008D7BED" w:rsidRDefault="008C1167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BC6CB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BC6CB5" w:rsidRDefault="00BC6CB5" w:rsidP="00BC6CB5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BC6CB5" w:rsidRPr="002F5405" w:rsidRDefault="00BC6CB5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C6CB5" w:rsidRPr="00B86D3C" w:rsidRDefault="00BC6CB5" w:rsidP="00BC6CB5">
            <w:pPr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sz w:val="20"/>
                <w:szCs w:val="20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rFonts w:cs="Arial"/>
                <w:iCs/>
                <w:sz w:val="18"/>
                <w:szCs w:val="18"/>
              </w:rPr>
              <w:t>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</w:t>
            </w:r>
            <w:r w:rsidR="00994D59">
              <w:rPr>
                <w:iCs/>
                <w:sz w:val="18"/>
                <w:szCs w:val="18"/>
              </w:rPr>
              <w:t xml:space="preserve">be employed to </w:t>
            </w:r>
            <w:r>
              <w:rPr>
                <w:iCs/>
                <w:sz w:val="18"/>
                <w:szCs w:val="18"/>
              </w:rPr>
              <w:t xml:space="preserve">generate error messages that provide information necessary for corrective actions without revealing </w:t>
            </w:r>
            <w:r w:rsidR="001F610F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sensitive or potentially harmful information identified in SI-11.1.2.1 in error logs and administrative messages that could be exploited by adversaries.  </w:t>
            </w:r>
          </w:p>
        </w:tc>
      </w:tr>
      <w:tr w:rsidR="00BC6CB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BC6CB5" w:rsidRDefault="00BC6CB5" w:rsidP="00BC6CB5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.3.2</w:t>
            </w:r>
          </w:p>
          <w:p w:rsidR="00BC6CB5" w:rsidRPr="002F5405" w:rsidRDefault="00BC6CB5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C6CB5" w:rsidRPr="00846589" w:rsidRDefault="00BC6CB5" w:rsidP="00F43453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SI-11.1.3.1;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SI-11.1.3.1.</w:t>
            </w:r>
          </w:p>
        </w:tc>
      </w:tr>
      <w:tr w:rsidR="00BC6CB5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BC6CB5" w:rsidRDefault="00BC6CB5" w:rsidP="00BC6CB5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.3.3</w:t>
            </w:r>
          </w:p>
          <w:p w:rsidR="00BC6CB5" w:rsidRPr="002F5405" w:rsidRDefault="00BC6CB5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C6CB5" w:rsidRPr="005073C2" w:rsidRDefault="00BC6CB5" w:rsidP="001F610F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SI-11.1.3.1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>
              <w:rPr>
                <w:iCs/>
                <w:sz w:val="18"/>
                <w:szCs w:val="18"/>
              </w:rPr>
              <w:t xml:space="preserve">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C1167" w:rsidRPr="005073C2" w:rsidTr="008C116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C1167" w:rsidRDefault="008C1167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C1167" w:rsidRPr="008D7BED" w:rsidRDefault="008C1167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994D59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994D59" w:rsidRDefault="00994D59" w:rsidP="00994D59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.4.1</w:t>
            </w:r>
          </w:p>
          <w:p w:rsidR="00994D59" w:rsidRPr="00DD0D87" w:rsidRDefault="00994D59" w:rsidP="00BC6CB5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94D59" w:rsidRPr="00B86D3C" w:rsidRDefault="00994D59" w:rsidP="00994D59">
            <w:pPr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sz w:val="20"/>
                <w:szCs w:val="20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rFonts w:cs="Arial"/>
                <w:iCs/>
                <w:sz w:val="18"/>
                <w:szCs w:val="18"/>
              </w:rPr>
              <w:t>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reveal error messages only to authorized personnel.   </w:t>
            </w:r>
          </w:p>
        </w:tc>
      </w:tr>
      <w:tr w:rsidR="00994D59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994D59" w:rsidRDefault="00994D59" w:rsidP="00994D59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.4.2</w:t>
            </w:r>
          </w:p>
          <w:p w:rsidR="00994D59" w:rsidRPr="00DD0D87" w:rsidRDefault="00994D59" w:rsidP="00BC6CB5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94D59" w:rsidRPr="00846589" w:rsidRDefault="00994D59" w:rsidP="00F43453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SI-11.1.4.1;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SI-11.1.4.1.</w:t>
            </w:r>
          </w:p>
        </w:tc>
      </w:tr>
      <w:tr w:rsidR="00994D59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994D59" w:rsidRDefault="00994D59" w:rsidP="00994D59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.4.3</w:t>
            </w:r>
          </w:p>
          <w:p w:rsidR="00994D59" w:rsidRPr="00DD0D87" w:rsidRDefault="00994D59" w:rsidP="00BC6CB5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94D59" w:rsidRPr="005073C2" w:rsidRDefault="00994D59" w:rsidP="00BE1CB3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SI-11.1.4.1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>
              <w:rPr>
                <w:iCs/>
                <w:sz w:val="18"/>
                <w:szCs w:val="18"/>
              </w:rPr>
              <w:t xml:space="preserve">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5513" w:rsidRDefault="00BF5513" w:rsidP="00F351C8">
      <w:r>
        <w:separator/>
      </w:r>
    </w:p>
  </w:endnote>
  <w:endnote w:type="continuationSeparator" w:id="0">
    <w:p w:rsidR="00BF5513" w:rsidRDefault="00BF5513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999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8C1167" w:rsidRDefault="008C1167">
            <w:pPr>
              <w:pStyle w:val="Footer"/>
              <w:jc w:val="center"/>
            </w:pPr>
            <w:r>
              <w:t>Initial Public Draft</w:t>
            </w:r>
          </w:p>
          <w:p w:rsidR="008C1167" w:rsidRDefault="008C116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8C1167" w:rsidRDefault="008C11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5513" w:rsidRDefault="00BF5513" w:rsidP="00F351C8">
      <w:r>
        <w:separator/>
      </w:r>
    </w:p>
  </w:footnote>
  <w:footnote w:type="continuationSeparator" w:id="0">
    <w:p w:rsidR="00BF5513" w:rsidRDefault="00BF5513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67" w:rsidRDefault="008C1167">
    <w:pPr>
      <w:pStyle w:val="Header"/>
    </w:pPr>
    <w:r>
      <w:t>Assessment Case:  SI-11 Error Handling</w:t>
    </w:r>
  </w:p>
  <w:p w:rsidR="008C1167" w:rsidRDefault="008C116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43568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F40511"/>
    <w:multiLevelType w:val="hybridMultilevel"/>
    <w:tmpl w:val="3F82D946"/>
    <w:lvl w:ilvl="0" w:tplc="8B1A0470">
      <w:start w:val="1"/>
      <w:numFmt w:val="lowerRoman"/>
      <w:lvlText w:val="(%1)"/>
      <w:lvlJc w:val="left"/>
      <w:pPr>
        <w:tabs>
          <w:tab w:val="num" w:pos="1152"/>
        </w:tabs>
        <w:ind w:left="115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E4967"/>
    <w:rsid w:val="00127B11"/>
    <w:rsid w:val="00135460"/>
    <w:rsid w:val="001C3BD4"/>
    <w:rsid w:val="001D18B5"/>
    <w:rsid w:val="001F610F"/>
    <w:rsid w:val="002A30FF"/>
    <w:rsid w:val="002F5405"/>
    <w:rsid w:val="002F6E98"/>
    <w:rsid w:val="003111F5"/>
    <w:rsid w:val="004569C2"/>
    <w:rsid w:val="00514B8D"/>
    <w:rsid w:val="00531A1C"/>
    <w:rsid w:val="0055491C"/>
    <w:rsid w:val="005E0988"/>
    <w:rsid w:val="005F2EA0"/>
    <w:rsid w:val="005F621E"/>
    <w:rsid w:val="006004FB"/>
    <w:rsid w:val="00623080"/>
    <w:rsid w:val="0065175E"/>
    <w:rsid w:val="006E36E2"/>
    <w:rsid w:val="006F3A36"/>
    <w:rsid w:val="00707F6C"/>
    <w:rsid w:val="007134C8"/>
    <w:rsid w:val="007D39C7"/>
    <w:rsid w:val="0081301E"/>
    <w:rsid w:val="00854526"/>
    <w:rsid w:val="00870562"/>
    <w:rsid w:val="008C1167"/>
    <w:rsid w:val="008C3AB6"/>
    <w:rsid w:val="008E5682"/>
    <w:rsid w:val="008F10FE"/>
    <w:rsid w:val="0090735A"/>
    <w:rsid w:val="00920EAA"/>
    <w:rsid w:val="00927DC8"/>
    <w:rsid w:val="00994D59"/>
    <w:rsid w:val="009A7285"/>
    <w:rsid w:val="00A45573"/>
    <w:rsid w:val="00A5492E"/>
    <w:rsid w:val="00A605A3"/>
    <w:rsid w:val="00AD46A5"/>
    <w:rsid w:val="00B260D4"/>
    <w:rsid w:val="00B4003B"/>
    <w:rsid w:val="00B576E5"/>
    <w:rsid w:val="00B6655E"/>
    <w:rsid w:val="00BB37B9"/>
    <w:rsid w:val="00BC6CB5"/>
    <w:rsid w:val="00BE0A45"/>
    <w:rsid w:val="00BE1CB3"/>
    <w:rsid w:val="00BF5513"/>
    <w:rsid w:val="00C26D2E"/>
    <w:rsid w:val="00C70011"/>
    <w:rsid w:val="00C72F37"/>
    <w:rsid w:val="00DB1C47"/>
    <w:rsid w:val="00E22AC1"/>
    <w:rsid w:val="00F15739"/>
    <w:rsid w:val="00F31535"/>
    <w:rsid w:val="00F351C8"/>
    <w:rsid w:val="00FE5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b/>
      <w:bCs/>
      <w:color w:val="365F91" w:themeColor="accent1" w:themeShade="BF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1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16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b/>
      <w:bCs/>
      <w:color w:val="365F91" w:themeColor="accent1" w:themeShade="BF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87123E"/>
    <w:rsid w:val="0087123E"/>
    <w:rsid w:val="00B85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14FD3F941C405097A84CFE7B514912">
    <w:name w:val="9714FD3F941C405097A84CFE7B514912"/>
    <w:rsid w:val="0087123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25D0B-7C8B-4F83-9B54-FF19887FC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5354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</dc:creator>
  <cp:lastModifiedBy>Arnold </cp:lastModifiedBy>
  <cp:revision>3</cp:revision>
  <cp:lastPrinted>2011-01-04T02:19:00Z</cp:lastPrinted>
  <dcterms:created xsi:type="dcterms:W3CDTF">2011-10-10T01:32:00Z</dcterms:created>
  <dcterms:modified xsi:type="dcterms:W3CDTF">2011-11-07T18:09:00Z</dcterms:modified>
</cp:coreProperties>
</file>