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Annotated Proposal Outline</w:t>
      </w:r>
    </w:p>
    <w:p>
      <w:pPr>
        <w:pStyle w:val="Subtitle"/>
      </w:pPr>
      <w:r>
        <w:t>Civic Records Support</w:t>
      </w:r>
    </w:p>
    <w:p>
      <w:pPr>
        <w:widowControl/>
      </w:pPr>
      <w:r>
        <w:rPr>
          <w:b/>
        </w:rPr>
        <w:t xml:space="preserve">Illustrative fictional example: </w:t>
      </w:r>
      <w:r>
        <w:t>This writing plan demonstrates how to annotate a response. It is not usable evidence or a proposal for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tcMar>
              <w:top w:w="100" w:type="dxa"/>
              <w:bottom w:w="100" w:type="dxa"/>
              <w:left w:w="110" w:type="dxa"/>
              <w:right w:w="110" w:type="dxa"/>
            </w:tcMar>
            <w:shd w:fill="E7EDF2"/>
          </w:tcPr>
          <w:p>
            <w:pPr>
              <w:spacing w:after="0" w:line="250" w:lineRule="auto"/>
            </w:pPr>
            <w:r>
              <w:rPr>
                <w:b/>
                <w:color w:val="000000"/>
                <w:sz w:val="20"/>
              </w:rPr>
              <w:t>Identifier</w:t>
            </w:r>
          </w:p>
        </w:tc>
        <w:tc>
          <w:tcPr>
            <w:tcW w:type="dxa" w:w="7776"/>
            <w:vAlign w:val="center"/>
            <w:tcMar>
              <w:top w:w="100" w:type="dxa"/>
              <w:bottom w:w="100" w:type="dxa"/>
              <w:left w:w="110" w:type="dxa"/>
              <w:right w:w="110" w:type="dxa"/>
            </w:tcMar>
            <w:shd w:fill="E7EDF2"/>
          </w:tcPr>
          <w:p>
            <w:pPr>
              <w:spacing w:after="0" w:line="250" w:lineRule="auto"/>
            </w:pPr>
            <w:r>
              <w:rPr>
                <w:b/>
                <w:color w:val="000000"/>
                <w:sz w:val="20"/>
              </w:rPr>
              <w:t>Working value</w:t>
            </w:r>
          </w:p>
        </w:tc>
      </w:tr>
      <w:tr>
        <w:trPr>
          <w:cantSplit/>
        </w:trPr>
        <w:tc>
          <w:tcPr>
            <w:tcW w:type="dxa" w:w="2160"/>
            <w:vAlign w:val="center"/>
            <w:tcMar>
              <w:top w:w="100" w:type="dxa"/>
              <w:bottom w:w="100" w:type="dxa"/>
              <w:left w:w="110" w:type="dxa"/>
              <w:right w:w="110" w:type="dxa"/>
            </w:tcMar>
          </w:tcPr>
          <w:p>
            <w:pPr>
              <w:spacing w:after="0" w:line="250" w:lineRule="auto"/>
            </w:pPr>
            <w:r>
              <w:rPr>
                <w:b w:val="0"/>
                <w:color w:val="000000"/>
                <w:sz w:val="20"/>
              </w:rPr>
              <w:t>Buyer and solicitation</w:t>
            </w:r>
          </w:p>
        </w:tc>
        <w:tc>
          <w:tcPr>
            <w:tcW w:type="dxa" w:w="7776"/>
            <w:vAlign w:val="center"/>
            <w:tcMar>
              <w:top w:w="100" w:type="dxa"/>
              <w:bottom w:w="100" w:type="dxa"/>
              <w:left w:w="110" w:type="dxa"/>
              <w:right w:w="110" w:type="dxa"/>
            </w:tcMar>
          </w:tcPr>
          <w:p>
            <w:pPr>
              <w:spacing w:after="0" w:line="250" w:lineRule="auto"/>
            </w:pPr>
            <w:r>
              <w:rPr>
                <w:b w:val="0"/>
                <w:color w:val="000000"/>
                <w:sz w:val="20"/>
              </w:rPr>
              <w:t>Example Federal Agency | DEMO-OUTLINE-01</w:t>
            </w:r>
          </w:p>
        </w:tc>
      </w:tr>
      <w:tr>
        <w:trPr>
          <w:cantSplit/>
        </w:trPr>
        <w:tc>
          <w:tcPr>
            <w:tcW w:type="dxa" w:w="2160"/>
            <w:vAlign w:val="center"/>
            <w:tcMar>
              <w:top w:w="100" w:type="dxa"/>
              <w:bottom w:w="100" w:type="dxa"/>
              <w:left w:w="110" w:type="dxa"/>
              <w:right w:w="110" w:type="dxa"/>
            </w:tcMar>
          </w:tcPr>
          <w:p>
            <w:pPr>
              <w:spacing w:after="0" w:line="250" w:lineRule="auto"/>
            </w:pPr>
            <w:r>
              <w:rPr>
                <w:b w:val="0"/>
                <w:color w:val="000000"/>
                <w:sz w:val="20"/>
              </w:rPr>
              <w:t>Outline version</w:t>
            </w:r>
          </w:p>
        </w:tc>
        <w:tc>
          <w:tcPr>
            <w:tcW w:type="dxa" w:w="7776"/>
            <w:vAlign w:val="center"/>
            <w:tcMar>
              <w:top w:w="100" w:type="dxa"/>
              <w:bottom w:w="100" w:type="dxa"/>
              <w:left w:w="110" w:type="dxa"/>
              <w:right w:w="110" w:type="dxa"/>
            </w:tcMar>
          </w:tcPr>
          <w:p>
            <w:pPr>
              <w:spacing w:after="0" w:line="250" w:lineRule="auto"/>
            </w:pPr>
            <w:r>
              <w:rPr>
                <w:b w:val="0"/>
                <w:color w:val="000000"/>
                <w:sz w:val="20"/>
              </w:rPr>
              <w:t>Illustrative version 1 | Date not assigned</w:t>
            </w:r>
          </w:p>
        </w:tc>
      </w:tr>
      <w:tr>
        <w:trPr>
          <w:cantSplit/>
        </w:trPr>
        <w:tc>
          <w:tcPr>
            <w:tcW w:type="dxa" w:w="2160"/>
            <w:vAlign w:val="center"/>
            <w:tcMar>
              <w:top w:w="100" w:type="dxa"/>
              <w:bottom w:w="100" w:type="dxa"/>
              <w:left w:w="110" w:type="dxa"/>
              <w:right w:w="110" w:type="dxa"/>
            </w:tcMar>
          </w:tcPr>
          <w:p>
            <w:pPr>
              <w:spacing w:after="0" w:line="250" w:lineRule="auto"/>
            </w:pPr>
            <w:r>
              <w:rPr>
                <w:b w:val="0"/>
                <w:color w:val="000000"/>
                <w:sz w:val="20"/>
              </w:rPr>
              <w:t>Register and source pointer</w:t>
            </w:r>
          </w:p>
        </w:tc>
        <w:tc>
          <w:tcPr>
            <w:tcW w:type="dxa" w:w="7776"/>
            <w:vAlign w:val="center"/>
            <w:tcMar>
              <w:top w:w="100" w:type="dxa"/>
              <w:bottom w:w="100" w:type="dxa"/>
              <w:left w:w="110" w:type="dxa"/>
              <w:right w:w="110" w:type="dxa"/>
            </w:tcMar>
          </w:tcPr>
          <w:p>
            <w:pPr>
              <w:spacing w:after="0" w:line="250" w:lineRule="auto"/>
            </w:pPr>
            <w:r>
              <w:rPr>
                <w:b w:val="0"/>
                <w:color w:val="000000"/>
                <w:sz w:val="20"/>
              </w:rPr>
              <w:t>Demonstration baseline: R1, R2, E1 and E2; SRC1 sections 3.1, 3.2 and M. Existing register and source file/version not supplied.</w:t>
            </w:r>
          </w:p>
        </w:tc>
      </w:tr>
    </w:tbl>
    <w:p>
      <w:pPr>
        <w:widowControl/>
        <w:spacing w:after="0"/>
      </w:pPr>
    </w:p>
    <w:p>
      <w:pPr>
        <w:pStyle w:val="Heading1"/>
      </w:pPr>
      <w:r>
        <w:t>Technical response structure</w:t>
      </w:r>
    </w:p>
    <w:p>
      <w:pPr>
        <w:widowControl/>
      </w:pPr>
      <w:r>
        <w:t>The buyer requires Transition and Staffing headings and a six-page technical volume. The allocation below is a recommendation. Introduction is a proposed opening, subject to buyer instructions.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4320"/>
        <w:gridCol w:w="2592"/>
      </w:tblGrid>
      <w:tr>
        <w:trPr>
          <w:cantSplit/>
          <w:tblHeader/>
        </w:trPr>
        <w:tc>
          <w:tcPr>
            <w:tcW w:type="dxa" w:w="3024"/>
            <w:vAlign w:val="center"/>
            <w:tcMar>
              <w:top w:w="100" w:type="dxa"/>
              <w:bottom w:w="100" w:type="dxa"/>
              <w:left w:w="110" w:type="dxa"/>
              <w:right w:w="110" w:type="dxa"/>
            </w:tcMar>
            <w:shd w:fill="E7EDF2"/>
          </w:tcPr>
          <w:p>
            <w:pPr>
              <w:spacing w:after="0" w:line="250" w:lineRule="auto"/>
            </w:pPr>
            <w:r>
              <w:rPr>
                <w:b/>
                <w:color w:val="000000"/>
                <w:sz w:val="20"/>
              </w:rPr>
              <w:t>Technical section</w:t>
            </w:r>
          </w:p>
        </w:tc>
        <w:tc>
          <w:tcPr>
            <w:tcW w:type="dxa" w:w="4320"/>
            <w:vAlign w:val="center"/>
            <w:tcMar>
              <w:top w:w="100" w:type="dxa"/>
              <w:bottom w:w="100" w:type="dxa"/>
              <w:left w:w="110" w:type="dxa"/>
              <w:right w:w="110" w:type="dxa"/>
            </w:tcMar>
            <w:shd w:fill="E7EDF2"/>
          </w:tcPr>
          <w:p>
            <w:pPr>
              <w:spacing w:after="0" w:line="250" w:lineRule="auto"/>
            </w:pPr>
            <w:r>
              <w:rPr>
                <w:b/>
                <w:color w:val="000000"/>
                <w:sz w:val="20"/>
              </w:rPr>
              <w:t>Structure status</w:t>
            </w:r>
          </w:p>
        </w:tc>
        <w:tc>
          <w:tcPr>
            <w:tcW w:type="dxa" w:w="2592"/>
            <w:vAlign w:val="center"/>
            <w:tcMar>
              <w:top w:w="100" w:type="dxa"/>
              <w:bottom w:w="100" w:type="dxa"/>
              <w:left w:w="110" w:type="dxa"/>
              <w:right w:w="110" w:type="dxa"/>
            </w:tcMar>
            <w:shd w:fill="E7EDF2"/>
          </w:tcPr>
          <w:p>
            <w:pPr>
              <w:spacing w:after="0" w:line="250" w:lineRule="auto"/>
              <w:jc w:val="center"/>
            </w:pPr>
            <w:r>
              <w:rPr>
                <w:b/>
                <w:color w:val="000000"/>
                <w:sz w:val="20"/>
              </w:rPr>
              <w:t>Recommended pages</w:t>
            </w:r>
          </w:p>
        </w:tc>
      </w:tr>
      <w:tr>
        <w:trPr>
          <w:cantSplit/>
        </w:trPr>
        <w:tc>
          <w:tcPr>
            <w:tcW w:type="dxa" w:w="3024"/>
            <w:vAlign w:val="center"/>
            <w:tcMar>
              <w:top w:w="100" w:type="dxa"/>
              <w:bottom w:w="100" w:type="dxa"/>
              <w:left w:w="110" w:type="dxa"/>
              <w:right w:w="110" w:type="dxa"/>
            </w:tcMar>
          </w:tcPr>
          <w:p>
            <w:pPr>
              <w:spacing w:after="0" w:line="250" w:lineRule="auto"/>
            </w:pPr>
            <w:r>
              <w:rPr>
                <w:b w:val="0"/>
                <w:color w:val="000000"/>
                <w:sz w:val="20"/>
              </w:rPr>
              <w:t>Introduction</w:t>
            </w:r>
          </w:p>
        </w:tc>
        <w:tc>
          <w:tcPr>
            <w:tcW w:type="dxa" w:w="4320"/>
            <w:vAlign w:val="center"/>
            <w:tcMar>
              <w:top w:w="100" w:type="dxa"/>
              <w:bottom w:w="100" w:type="dxa"/>
              <w:left w:w="110" w:type="dxa"/>
              <w:right w:w="110" w:type="dxa"/>
            </w:tcMar>
          </w:tcPr>
          <w:p>
            <w:pPr>
              <w:spacing w:after="0" w:line="250" w:lineRule="auto"/>
            </w:pPr>
            <w:r>
              <w:rPr>
                <w:b w:val="0"/>
                <w:color w:val="000000"/>
                <w:sz w:val="20"/>
              </w:rPr>
              <w:t>Proposed opening</w:t>
            </w:r>
          </w:p>
        </w:tc>
        <w:tc>
          <w:tcPr>
            <w:tcW w:type="dxa" w:w="2592"/>
            <w:vAlign w:val="center"/>
            <w:tcMar>
              <w:top w:w="100" w:type="dxa"/>
              <w:bottom w:w="100" w:type="dxa"/>
              <w:left w:w="110" w:type="dxa"/>
              <w:right w:w="110" w:type="dxa"/>
            </w:tcMar>
          </w:tcPr>
          <w:p>
            <w:pPr>
              <w:spacing w:after="0" w:line="250" w:lineRule="auto"/>
              <w:jc w:val="center"/>
            </w:pPr>
            <w:r>
              <w:rPr>
                <w:b w:val="0"/>
                <w:color w:val="000000"/>
                <w:sz w:val="20"/>
              </w:rPr>
              <w:t>1</w:t>
            </w:r>
          </w:p>
        </w:tc>
      </w:tr>
      <w:tr>
        <w:trPr>
          <w:cantSplit/>
        </w:trPr>
        <w:tc>
          <w:tcPr>
            <w:tcW w:type="dxa" w:w="3024"/>
            <w:vAlign w:val="center"/>
            <w:tcMar>
              <w:top w:w="100" w:type="dxa"/>
              <w:bottom w:w="100" w:type="dxa"/>
              <w:left w:w="110" w:type="dxa"/>
              <w:right w:w="110" w:type="dxa"/>
            </w:tcMar>
          </w:tcPr>
          <w:p>
            <w:pPr>
              <w:spacing w:after="0" w:line="250" w:lineRule="auto"/>
            </w:pPr>
            <w:r>
              <w:rPr>
                <w:b w:val="0"/>
                <w:color w:val="000000"/>
                <w:sz w:val="20"/>
              </w:rPr>
              <w:t>Transition</w:t>
            </w:r>
          </w:p>
        </w:tc>
        <w:tc>
          <w:tcPr>
            <w:tcW w:type="dxa" w:w="4320"/>
            <w:vAlign w:val="center"/>
            <w:tcMar>
              <w:top w:w="100" w:type="dxa"/>
              <w:bottom w:w="100" w:type="dxa"/>
              <w:left w:w="110" w:type="dxa"/>
              <w:right w:w="110" w:type="dxa"/>
            </w:tcMar>
          </w:tcPr>
          <w:p>
            <w:pPr>
              <w:spacing w:after="0" w:line="250" w:lineRule="auto"/>
            </w:pPr>
            <w:r>
              <w:rPr>
                <w:b w:val="0"/>
                <w:color w:val="000000"/>
                <w:sz w:val="20"/>
              </w:rPr>
              <w:t>Required heading</w:t>
            </w:r>
          </w:p>
        </w:tc>
        <w:tc>
          <w:tcPr>
            <w:tcW w:type="dxa" w:w="2592"/>
            <w:vAlign w:val="center"/>
            <w:tcMar>
              <w:top w:w="100" w:type="dxa"/>
              <w:bottom w:w="100" w:type="dxa"/>
              <w:left w:w="110" w:type="dxa"/>
              <w:right w:w="110" w:type="dxa"/>
            </w:tcMar>
          </w:tcPr>
          <w:p>
            <w:pPr>
              <w:spacing w:after="0" w:line="250" w:lineRule="auto"/>
              <w:jc w:val="center"/>
            </w:pPr>
            <w:r>
              <w:rPr>
                <w:b w:val="0"/>
                <w:color w:val="000000"/>
                <w:sz w:val="20"/>
              </w:rPr>
              <w:t>3</w:t>
            </w:r>
          </w:p>
        </w:tc>
      </w:tr>
      <w:tr>
        <w:trPr>
          <w:cantSplit/>
        </w:trPr>
        <w:tc>
          <w:tcPr>
            <w:tcW w:type="dxa" w:w="3024"/>
            <w:vAlign w:val="center"/>
            <w:tcMar>
              <w:top w:w="100" w:type="dxa"/>
              <w:bottom w:w="100" w:type="dxa"/>
              <w:left w:w="110" w:type="dxa"/>
              <w:right w:w="110" w:type="dxa"/>
            </w:tcMar>
          </w:tcPr>
          <w:p>
            <w:pPr>
              <w:spacing w:after="0" w:line="250" w:lineRule="auto"/>
            </w:pPr>
            <w:r>
              <w:rPr>
                <w:b w:val="0"/>
                <w:color w:val="000000"/>
                <w:sz w:val="20"/>
              </w:rPr>
              <w:t>Staffing</w:t>
            </w:r>
          </w:p>
        </w:tc>
        <w:tc>
          <w:tcPr>
            <w:tcW w:type="dxa" w:w="4320"/>
            <w:vAlign w:val="center"/>
            <w:tcMar>
              <w:top w:w="100" w:type="dxa"/>
              <w:bottom w:w="100" w:type="dxa"/>
              <w:left w:w="110" w:type="dxa"/>
              <w:right w:w="110" w:type="dxa"/>
            </w:tcMar>
          </w:tcPr>
          <w:p>
            <w:pPr>
              <w:spacing w:after="0" w:line="250" w:lineRule="auto"/>
            </w:pPr>
            <w:r>
              <w:rPr>
                <w:b w:val="0"/>
                <w:color w:val="000000"/>
                <w:sz w:val="20"/>
              </w:rPr>
              <w:t>Required heading</w:t>
            </w:r>
          </w:p>
        </w:tc>
        <w:tc>
          <w:tcPr>
            <w:tcW w:type="dxa" w:w="2592"/>
            <w:vAlign w:val="center"/>
            <w:tcMar>
              <w:top w:w="100" w:type="dxa"/>
              <w:bottom w:w="100" w:type="dxa"/>
              <w:left w:w="110" w:type="dxa"/>
              <w:right w:w="110" w:type="dxa"/>
            </w:tcMar>
          </w:tcPr>
          <w:p>
            <w:pPr>
              <w:spacing w:after="0" w:line="250" w:lineRule="auto"/>
              <w:jc w:val="center"/>
            </w:pPr>
            <w:r>
              <w:rPr>
                <w:b w:val="0"/>
                <w:color w:val="000000"/>
                <w:sz w:val="20"/>
              </w:rPr>
              <w:t>2</w:t>
            </w:r>
          </w:p>
        </w:tc>
      </w:tr>
      <w:tr>
        <w:trPr>
          <w:cantSplit/>
        </w:trPr>
        <w:tc>
          <w:tcPr>
            <w:tcW w:type="dxa" w:w="3024"/>
            <w:vAlign w:val="center"/>
            <w:tcMar>
              <w:top w:w="100" w:type="dxa"/>
              <w:bottom w:w="100" w:type="dxa"/>
              <w:left w:w="110" w:type="dxa"/>
              <w:right w:w="110" w:type="dxa"/>
            </w:tcMar>
          </w:tcPr>
          <w:p>
            <w:pPr>
              <w:spacing w:after="0" w:line="250" w:lineRule="auto"/>
            </w:pPr>
            <w:r>
              <w:rPr>
                <w:b w:val="0"/>
                <w:color w:val="000000"/>
                <w:sz w:val="20"/>
              </w:rPr>
              <w:t>Total technical volume</w:t>
            </w:r>
          </w:p>
        </w:tc>
        <w:tc>
          <w:tcPr>
            <w:tcW w:type="dxa" w:w="4320"/>
            <w:vAlign w:val="center"/>
            <w:tcMar>
              <w:top w:w="100" w:type="dxa"/>
              <w:bottom w:w="100" w:type="dxa"/>
              <w:left w:w="110" w:type="dxa"/>
              <w:right w:w="110" w:type="dxa"/>
            </w:tcMar>
          </w:tcPr>
          <w:p>
            <w:pPr>
              <w:spacing w:after="0" w:line="250" w:lineRule="auto"/>
            </w:pPr>
            <w:r>
              <w:rPr>
                <w:b w:val="0"/>
                <w:color w:val="000000"/>
                <w:sz w:val="20"/>
              </w:rPr>
              <w:t>Buyer limit is 6 pages</w:t>
            </w:r>
          </w:p>
        </w:tc>
        <w:tc>
          <w:tcPr>
            <w:tcW w:type="dxa" w:w="2592"/>
            <w:vAlign w:val="center"/>
            <w:tcMar>
              <w:top w:w="100" w:type="dxa"/>
              <w:bottom w:w="100" w:type="dxa"/>
              <w:left w:w="110" w:type="dxa"/>
              <w:right w:w="110" w:type="dxa"/>
            </w:tcMar>
          </w:tcPr>
          <w:p>
            <w:pPr>
              <w:spacing w:after="0" w:line="250" w:lineRule="auto"/>
              <w:jc w:val="center"/>
            </w:pPr>
            <w:r>
              <w:rPr>
                <w:b w:val="0"/>
                <w:color w:val="000000"/>
                <w:sz w:val="20"/>
              </w:rPr>
              <w:t>6</w:t>
            </w:r>
          </w:p>
        </w:tc>
      </w:tr>
    </w:tbl>
    <w:p>
      <w:pPr>
        <w:widowControl/>
        <w:spacing w:after="0"/>
      </w:pPr>
    </w:p>
    <w:p>
      <w:pPr>
        <w:widowControl/>
      </w:pPr>
      <w:r>
        <w:rPr>
          <w:b/>
        </w:rPr>
        <w:t xml:space="preserve">Introduction writing note: </w:t>
      </w:r>
      <w:r>
        <w:t>Briefly orient the reader to the service and response. Point to the R1/E1 Transition and R2/E2 Staffing sections; keep their required content in those sections. Owner unassigned. Add no unsupported company claims; no visual is needed.</w:t>
      </w:r>
    </w:p>
    <w:p>
      <w:pPr>
        <w:widowControl/>
      </w:pPr>
      <w:r>
        <w:rPr>
          <w:b/>
        </w:rPr>
        <w:t xml:space="preserve">Price submission: </w:t>
      </w:r>
      <w:r>
        <w:t>Use the separate buyer workbook. Include no technical price. Reconcile staffing assumptions after roles and evidence are confirmed.</w:t>
      </w:r>
    </w:p>
    <w:p>
      <w:pPr>
        <w:widowControl/>
      </w:pPr>
      <w:r>
        <w:rPr>
          <w:b/>
        </w:rPr>
        <w:t xml:space="preserve">Structure and revisions: </w:t>
      </w:r>
      <w:r>
        <w:t>Use the requested headings and forms. Retain selected working revisions. Confirm page-counting rules and whether the proposed introduction is permitted.</w:t>
      </w:r>
    </w:p>
    <w:p>
      <w:r>
        <w:br w:type="page"/>
      </w:r>
    </w:p>
    <w:p>
      <w:pPr>
        <w:pStyle w:val="Heading1"/>
      </w:pPr>
      <w:r>
        <w:t>Transition</w:t>
      </w:r>
    </w:p>
    <w:p>
      <w:pPr>
        <w:widowControl/>
      </w:pPr>
      <w:r>
        <w:t>Technical volume | Required buyer heading | Recommended allocation 3 pages</w:t>
      </w:r>
    </w:p>
    <w:p>
      <w:pPr>
        <w:pStyle w:val="Heading2"/>
      </w:pPr>
      <w:r>
        <w:t>Purpose and evaluation question</w:t>
      </w:r>
    </w:p>
    <w:p>
      <w:pPr>
        <w:widowControl/>
      </w:pPr>
      <w:r>
        <w:t>Explain a proposed 30-day transition that preserves service continuity. How will the approach control transition risk?</w:t>
      </w:r>
    </w:p>
    <w:p>
      <w:pPr>
        <w:pStyle w:val="Heading2"/>
      </w:pPr>
      <w:r>
        <w:t>Requirements and source locators</w:t>
      </w:r>
    </w:p>
    <w:p>
      <w:pPr>
        <w:widowControl/>
      </w:pPr>
      <w:r>
        <w:t>R1 | SRC1 section 3.1: 30-day transition and service continuity. E1 | SRC1 section M: transition risk. No numerical evaluation weights are supplied.</w:t>
      </w:r>
    </w:p>
    <w:p>
      <w:pPr>
        <w:pStyle w:val="Heading2"/>
      </w:pPr>
      <w:r>
        <w:t>Response approach and evidence</w:t>
      </w:r>
    </w:p>
    <w:p>
      <w:pPr>
        <w:widowControl/>
      </w:pPr>
      <w:r>
        <w:t>Planning approach only: organize the 30 days around readiness, handover and continuity checks. Identify dependencies, continuity controls and proposed escalation points. Evidence needed: confirmed operating constraints, a feasible schedule, transition responsibilities and support for the proposed controls. None has been supplied.</w:t>
      </w:r>
    </w:p>
    <w:p>
      <w:pPr>
        <w:pStyle w:val="Heading2"/>
      </w:pPr>
      <w:r>
        <w:t>Supported differentiators</w:t>
      </w:r>
    </w:p>
    <w:p>
      <w:pPr>
        <w:widowControl/>
      </w:pPr>
      <w:r>
        <w:t>None substantiated. A transition approach may become a supported theme only after evidence establishes its feasibility and buyer relevance. Prior performance has not been supplied; do not imply a record of successful transitions.</w:t>
      </w:r>
    </w:p>
    <w:p>
      <w:pPr>
        <w:pStyle w:val="Heading2"/>
      </w:pPr>
      <w:r>
        <w:t>Writer and dependencies</w:t>
      </w:r>
    </w:p>
    <w:p>
      <w:pPr>
        <w:widowControl/>
      </w:pPr>
      <w:r>
        <w:t>Owner and SME are unassigned. Suggested roles are a transition writer and an operations SME. Confirm service constraints and staffing inputs before finalizing the schedule. Review focus: explain continuity throughout the 30 days and trace each control to transition risk.</w:t>
      </w:r>
    </w:p>
    <w:p>
      <w:pPr>
        <w:pStyle w:val="Heading2"/>
      </w:pPr>
      <w:r>
        <w:t>Page allocation and useful visual</w:t>
      </w:r>
    </w:p>
    <w:p>
      <w:pPr>
        <w:widowControl/>
      </w:pPr>
      <w:r>
        <w:t>Recommend 3 of the 6 technical pages. A 30-day schedule could show activities, dependencies and continuity checks. It is a proposed planning visual; dates, assignments and commitments need confirmation.</w:t>
      </w:r>
    </w:p>
    <w:p>
      <w:pPr>
        <w:pStyle w:val="Heading2"/>
      </w:pPr>
      <w:r>
        <w:t>Open question</w:t>
      </w:r>
    </w:p>
    <w:p>
      <w:pPr>
        <w:widowControl/>
      </w:pPr>
      <w:r>
        <w:t>Which service activities and handover dependencies must remain continuous during transition? Owner unassigned. Obtain the operating inputs before the writer commits to a detailed sequence.</w:t>
      </w:r>
    </w:p>
    <w:p>
      <w:r>
        <w:br w:type="page"/>
      </w:r>
    </w:p>
    <w:p>
      <w:pPr>
        <w:pStyle w:val="Heading1"/>
      </w:pPr>
      <w:r>
        <w:t>Staffing</w:t>
      </w:r>
    </w:p>
    <w:p>
      <w:pPr>
        <w:widowControl/>
      </w:pPr>
      <w:r>
        <w:t>Technical volume | Required buyer heading | Recommended allocation 2 pages</w:t>
      </w:r>
    </w:p>
    <w:p>
      <w:pPr>
        <w:pStyle w:val="Heading2"/>
      </w:pPr>
      <w:r>
        <w:t>Purpose and evaluation question</w:t>
      </w:r>
    </w:p>
    <w:p>
      <w:pPr>
        <w:widowControl/>
      </w:pPr>
      <w:r>
        <w:t>Explain how the proposed key personnel meet the buyer's qualification needs. What resume evidence will allow the evaluator to assess staffing qualifications?</w:t>
      </w:r>
    </w:p>
    <w:p>
      <w:pPr>
        <w:pStyle w:val="Heading2"/>
      </w:pPr>
      <w:r>
        <w:t>Requirements and source locators</w:t>
      </w:r>
    </w:p>
    <w:p>
      <w:pPr>
        <w:widowControl/>
      </w:pPr>
      <w:r>
        <w:t>R2 | SRC1 section 3.2: two key-person resumes. E2 | SRC1 section M: staffing qualifications. No numerical evaluation weights are supplied.</w:t>
      </w:r>
    </w:p>
    <w:p>
      <w:pPr>
        <w:pStyle w:val="Heading2"/>
      </w:pPr>
      <w:r>
        <w:t>Response approach and evidence</w:t>
      </w:r>
    </w:p>
    <w:p>
      <w:pPr>
        <w:widowControl/>
      </w:pPr>
      <w:r>
        <w:t>Planning approach only: identify the two key-person roles, map the buyer's qualification criteria to resume evidence and describe the proposed coverage. Two resumes are required; no resumes have been supplied. Obtain the roles, detailed criteria and candidate evidence before drafting qualification claims.</w:t>
      </w:r>
    </w:p>
    <w:p>
      <w:pPr>
        <w:pStyle w:val="Heading2"/>
      </w:pPr>
      <w:r>
        <w:t>Supported differentiators</w:t>
      </w:r>
    </w:p>
    <w:p>
      <w:pPr>
        <w:widowControl/>
      </w:pPr>
      <w:r>
        <w:t>None substantiated. Candidate qualifications and prior performance have not been supplied. Do not claim superior credentials, experience or availability. Any proposed staffing theme remains unproven until the relevant evidence is received.</w:t>
      </w:r>
    </w:p>
    <w:p>
      <w:pPr>
        <w:pStyle w:val="Heading2"/>
      </w:pPr>
      <w:r>
        <w:t>Writer and dependencies</w:t>
      </w:r>
    </w:p>
    <w:p>
      <w:pPr>
        <w:widowControl/>
      </w:pPr>
      <w:r>
        <w:t>Owner and SME are unassigned. Suggested roles are a staffing writer and a recruiting or personnel SME. Resume collection and qualification review precede the section draft. Share confirmed staffing inputs with the transition writer and the separate price-workbook owner, who is also unassigned.</w:t>
      </w:r>
    </w:p>
    <w:p>
      <w:pPr>
        <w:pStyle w:val="Heading2"/>
      </w:pPr>
      <w:r>
        <w:t>Page allocation and useful visual</w:t>
      </w:r>
    </w:p>
    <w:p>
      <w:pPr>
        <w:widowControl/>
      </w:pPr>
      <w:r>
        <w:t>Recommend 2 of the 6 technical pages. A compact qualification table could connect each key role to its criteria and resume locator. Confirm whether resumes count toward the limit or belong in a separate buyer-designated location before fixing the layout.</w:t>
      </w:r>
    </w:p>
    <w:p>
      <w:pPr>
        <w:pStyle w:val="Heading2"/>
      </w:pPr>
      <w:r>
        <w:t>Open question</w:t>
      </w:r>
    </w:p>
    <w:p>
      <w:pPr>
        <w:widowControl/>
      </w:pPr>
      <w:r>
        <w:t>Who are the two proposed key personnel, and where must their resumes appear? Owner unassigned. Obtain both resumes and confirm the required response location and counting rules before approving this section for drafting.</w:t>
      </w:r>
    </w:p>
    <w:sectPr w:rsidR="00FC693F" w:rsidRPr="0006063C" w:rsidSect="00034616">
      <w:footerReference w:type="default" r:id="rId9"/>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Illustrative example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Annotated Proposal Outline</dc:title>
  <dc:subject>Illustrative Civic Records Support writing plan</dc:subject>
  <dc:creator>GovTribe</dc:creator>
  <cp:keywords>annotated outline, proposal planning</cp:keywords>
  <dc:description>generated by python-docx</dc:description>
  <cp:lastModifiedBy/>
  <cp:revision>1</cp:revision>
  <dcterms:created xsi:type="dcterms:W3CDTF">2013-12-23T23:15:00Z</dcterms:created>
  <dcterms:modified xsi:type="dcterms:W3CDTF">2013-12-23T23:15:00Z</dcterms:modified>
  <cp:category/>
</cp:coreProperties>
</file>