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829A"/>
        </w:rPr>
        <w:t>ILLUSTRATIVE EXAMPLE</w:t>
      </w:r>
    </w:p>
    <w:p>
      <w:pPr>
        <w:pStyle w:val="Title"/>
      </w:pPr>
      <w:r>
        <w:t>Procurement research subscription</w:t>
      </w:r>
    </w:p>
    <w:p>
      <w:pPr>
        <w:pStyle w:val="Subtitle"/>
      </w:pPr>
      <w:r>
        <w:t>Example Public Services Agency</w:t>
        <w:br/>
        <w:t>Acquisition Research Office</w:t>
      </w:r>
    </w:p>
    <w:p>
      <w:r>
        <w:t>A fictional quotation demonstrating the response structure. All identities, dates, capabilities and economics are illustrative; this is not an offer or a record of an award.</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Quotation summary</w:t>
            </w:r>
          </w:p>
        </w:tc>
        <w:tc>
          <w:tcPr>
            <w:tcW w:type="dxa" w:w="6336"/>
            <w:shd w:fill="35354C"/>
          </w:tcPr>
          <w:p>
            <w:pPr>
              <w:keepNext/>
              <w:spacing w:after="120" w:before="120"/>
            </w:pPr>
            <w:r>
              <w:rPr>
                <w:b/>
                <w:color w:val="FFFFFF"/>
                <w:sz w:val="20"/>
              </w:rPr>
              <w:t>Details</w:t>
            </w:r>
          </w:p>
        </w:tc>
      </w:tr>
      <w:tr>
        <w:trPr>
          <w:cantSplit/>
        </w:trPr>
        <w:tc>
          <w:tcPr>
            <w:tcW w:type="dxa" w:w="3024"/>
            <w:shd w:fill="EAF7FA"/>
          </w:tcPr>
          <w:p>
            <w:pPr>
              <w:spacing w:after="120" w:before="120"/>
            </w:pPr>
            <w:r>
              <w:rPr>
                <w:sz w:val="20"/>
              </w:rPr>
              <w:t>Solicitation</w:t>
            </w:r>
          </w:p>
        </w:tc>
        <w:tc>
          <w:tcPr>
            <w:tcW w:type="dxa" w:w="6336"/>
            <w:shd w:fill="EAF7FA"/>
          </w:tcPr>
          <w:p>
            <w:pPr>
              <w:spacing w:after="120" w:before="120"/>
            </w:pPr>
            <w:r>
              <w:rPr>
                <w:sz w:val="20"/>
              </w:rPr>
              <w:t>EXAMPLE-RFQ-2030-004 | Revision 02</w:t>
            </w:r>
          </w:p>
        </w:tc>
      </w:tr>
      <w:tr>
        <w:trPr>
          <w:cantSplit/>
        </w:trPr>
        <w:tc>
          <w:tcPr>
            <w:tcW w:type="dxa" w:w="3024"/>
          </w:tcPr>
          <w:p>
            <w:pPr>
              <w:spacing w:after="120" w:before="120"/>
            </w:pPr>
            <w:r>
              <w:rPr>
                <w:sz w:val="20"/>
              </w:rPr>
              <w:t>Quotation date</w:t>
            </w:r>
          </w:p>
        </w:tc>
        <w:tc>
          <w:tcPr>
            <w:tcW w:type="dxa" w:w="6336"/>
          </w:tcPr>
          <w:p>
            <w:pPr>
              <w:spacing w:after="120" w:before="120"/>
            </w:pPr>
            <w:r>
              <w:rPr>
                <w:sz w:val="20"/>
              </w:rPr>
              <w:t>May 10, 2030</w:t>
            </w:r>
          </w:p>
        </w:tc>
      </w:tr>
      <w:tr>
        <w:trPr>
          <w:cantSplit/>
        </w:trPr>
        <w:tc>
          <w:tcPr>
            <w:tcW w:type="dxa" w:w="3024"/>
            <w:shd w:fill="EAF7FA"/>
          </w:tcPr>
          <w:p>
            <w:pPr>
              <w:spacing w:after="120" w:before="120"/>
            </w:pPr>
            <w:r>
              <w:rPr>
                <w:sz w:val="20"/>
              </w:rPr>
              <w:t>Delivery or performance</w:t>
            </w:r>
          </w:p>
        </w:tc>
        <w:tc>
          <w:tcPr>
            <w:tcW w:type="dxa" w:w="6336"/>
            <w:shd w:fill="EAF7FA"/>
          </w:tcPr>
          <w:p>
            <w:pPr>
              <w:spacing w:after="120" w:before="120"/>
            </w:pPr>
            <w:r>
              <w:rPr>
                <w:sz w:val="20"/>
              </w:rPr>
              <w:t>July 1, 2030 through June 30, 2031</w:t>
            </w:r>
          </w:p>
        </w:tc>
      </w:tr>
      <w:tr>
        <w:trPr>
          <w:cantSplit/>
        </w:trPr>
        <w:tc>
          <w:tcPr>
            <w:tcW w:type="dxa" w:w="3024"/>
          </w:tcPr>
          <w:p>
            <w:pPr>
              <w:spacing w:after="120" w:before="120"/>
            </w:pPr>
            <w:r>
              <w:rPr>
                <w:sz w:val="20"/>
              </w:rPr>
              <w:t>Base quoted price</w:t>
            </w:r>
          </w:p>
        </w:tc>
        <w:tc>
          <w:tcPr>
            <w:tcW w:type="dxa" w:w="6336"/>
          </w:tcPr>
          <w:p>
            <w:pPr>
              <w:spacing w:after="120" w:before="120"/>
            </w:pPr>
            <w:r>
              <w:rPr>
                <w:sz w:val="20"/>
              </w:rPr>
              <w:t>$12,600.00</w:t>
            </w:r>
          </w:p>
        </w:tc>
      </w:tr>
      <w:tr>
        <w:trPr>
          <w:cantSplit/>
        </w:trPr>
        <w:tc>
          <w:tcPr>
            <w:tcW w:type="dxa" w:w="3024"/>
            <w:shd w:fill="EAF7FA"/>
          </w:tcPr>
          <w:p>
            <w:pPr>
              <w:spacing w:after="120" w:before="120"/>
            </w:pPr>
            <w:r>
              <w:rPr>
                <w:sz w:val="20"/>
              </w:rPr>
              <w:t>Total evaluated price</w:t>
            </w:r>
          </w:p>
        </w:tc>
        <w:tc>
          <w:tcPr>
            <w:tcW w:type="dxa" w:w="6336"/>
            <w:shd w:fill="EAF7FA"/>
          </w:tcPr>
          <w:p>
            <w:pPr>
              <w:spacing w:after="120" w:before="120"/>
            </w:pPr>
            <w:r>
              <w:rPr>
                <w:sz w:val="20"/>
              </w:rPr>
              <w:t>$13,200.00 | Base plus optional workshop</w:t>
            </w:r>
          </w:p>
        </w:tc>
      </w:tr>
    </w:tbl>
    <w:p>
      <w:pPr>
        <w:spacing w:after="20"/>
      </w:pPr>
    </w:p>
    <w:tbl>
      <w:tblPr>
        <w:tblW w:type="auto" w:w="0"/>
        <w:tblLayout w:type="fixed"/>
        <w:tblLook w:firstColumn="1" w:firstRow="1" w:lastColumn="0" w:lastRow="0" w:noHBand="0" w:noVBand="1" w:val="04A0"/>
      </w:tblPr>
      <w:tblGrid>
        <w:gridCol w:w="4680"/>
        <w:gridCol w:w="4680"/>
      </w:tblGrid>
      <w:tr>
        <w:trPr>
          <w:tblHeader/>
          <w:cantSplit/>
        </w:trPr>
        <w:tc>
          <w:tcPr>
            <w:tcW w:type="dxa" w:w="4680"/>
            <w:shd w:fill="35354C"/>
          </w:tcPr>
          <w:p>
            <w:pPr>
              <w:keepNext/>
              <w:spacing w:after="120" w:before="120"/>
            </w:pPr>
            <w:r>
              <w:rPr>
                <w:b/>
                <w:color w:val="FFFFFF"/>
                <w:sz w:val="20"/>
              </w:rPr>
              <w:t>Offeror</w:t>
            </w:r>
          </w:p>
        </w:tc>
        <w:tc>
          <w:tcPr>
            <w:tcW w:type="dxa" w:w="4680"/>
            <w:shd w:fill="35354C"/>
          </w:tcPr>
          <w:p>
            <w:pPr>
              <w:keepNext/>
              <w:spacing w:after="120" w:before="120"/>
            </w:pPr>
            <w:r>
              <w:rPr>
                <w:b/>
                <w:color w:val="FFFFFF"/>
                <w:sz w:val="20"/>
              </w:rPr>
              <w:t>Quotation contact</w:t>
            </w:r>
          </w:p>
        </w:tc>
      </w:tr>
      <w:tr>
        <w:trPr>
          <w:cantSplit/>
        </w:trPr>
        <w:tc>
          <w:tcPr>
            <w:tcW w:type="dxa" w:w="4680"/>
            <w:shd w:fill="EAF7FA"/>
          </w:tcPr>
          <w:p>
            <w:pPr>
              <w:spacing w:after="120" w:before="120"/>
            </w:pPr>
            <w:r>
              <w:rPr>
                <w:sz w:val="20"/>
              </w:rPr>
              <w:t>Example Analytics Company</w:t>
              <w:br/>
              <w:t>100 Example Plaza</w:t>
              <w:br/>
              <w:t>Example City, VA 00000</w:t>
            </w:r>
          </w:p>
        </w:tc>
        <w:tc>
          <w:tcPr>
            <w:tcW w:type="dxa" w:w="4680"/>
            <w:shd w:fill="EAF7FA"/>
          </w:tcPr>
          <w:p>
            <w:pPr>
              <w:spacing w:after="120" w:before="120"/>
            </w:pPr>
            <w:r>
              <w:rPr>
                <w:sz w:val="20"/>
              </w:rPr>
              <w:t>Alex Example | Account Manager</w:t>
              <w:br/>
              <w:t>quotes@example.com</w:t>
              <w:br/>
              <w:t>202-555-0100</w:t>
            </w:r>
          </w:p>
        </w:tc>
      </w:tr>
    </w:tbl>
    <w:p>
      <w:pPr>
        <w:spacing w:after="20"/>
      </w:pPr>
    </w:p>
    <w:p>
      <w:r>
        <w:t>One annual research subscription for 12 users, onboarding and support. An optional workshop is priced separately.</w:t>
      </w:r>
    </w:p>
    <w:p>
      <w:r>
        <w:br w:type="page"/>
      </w:r>
    </w:p>
    <w:p>
      <w:pPr>
        <w:pStyle w:val="Heading1"/>
      </w:pPr>
      <w:r>
        <w:t>1  Cover letter and offeror information</w:t>
      </w:r>
    </w:p>
    <w:p>
      <w:r>
        <w:t>May 10, 2030</w:t>
        <w:br/>
        <w:t>Jordan Sample, Acquisition Specialist</w:t>
        <w:br/>
        <w:t>Example Public Services Agency</w:t>
      </w:r>
    </w:p>
    <w:p>
      <w:r>
        <w:t>Subject: EXAMPLE-RFQ-2030-004 - Procurement research subscription</w:t>
      </w:r>
    </w:p>
    <w:p>
      <w:r>
        <w:t>Example Analytics Company proposes a twelve-month research subscription for the Acquisition Research Office. The illustrative base price is $12,600.00, including 12 users, onboarding and support. With the separately priced optional workshop, the illustrative evaluated price is $13,200.00.</w:t>
      </w:r>
    </w:p>
    <w:p>
      <w:r>
        <w:t>For this fictional scenario, Revision 02 is the controlling source. The commercial assumptions and the unresolved terms acknowledgment are identified in Section 6. This example does not execute an acceptance or signature.</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Required information</w:t>
            </w:r>
          </w:p>
        </w:tc>
        <w:tc>
          <w:tcPr>
            <w:tcW w:type="dxa" w:w="6336"/>
            <w:shd w:fill="35354C"/>
          </w:tcPr>
          <w:p>
            <w:pPr>
              <w:keepNext/>
              <w:spacing w:after="120" w:before="120"/>
            </w:pPr>
            <w:r>
              <w:rPr>
                <w:b/>
                <w:color w:val="FFFFFF"/>
                <w:sz w:val="20"/>
              </w:rPr>
              <w:t>Offeror response</w:t>
            </w:r>
          </w:p>
        </w:tc>
      </w:tr>
      <w:tr>
        <w:trPr>
          <w:cantSplit/>
        </w:trPr>
        <w:tc>
          <w:tcPr>
            <w:tcW w:type="dxa" w:w="3024"/>
            <w:shd w:fill="EAF7FA"/>
          </w:tcPr>
          <w:p>
            <w:pPr>
              <w:spacing w:after="120" w:before="120"/>
            </w:pPr>
            <w:r>
              <w:rPr>
                <w:sz w:val="20"/>
              </w:rPr>
              <w:t>Legal name and address</w:t>
            </w:r>
          </w:p>
        </w:tc>
        <w:tc>
          <w:tcPr>
            <w:tcW w:type="dxa" w:w="6336"/>
            <w:shd w:fill="EAF7FA"/>
          </w:tcPr>
          <w:p>
            <w:pPr>
              <w:spacing w:after="120" w:before="120"/>
            </w:pPr>
            <w:r>
              <w:rPr>
                <w:sz w:val="20"/>
              </w:rPr>
              <w:t>Example Analytics Company</w:t>
              <w:br/>
              <w:t>100 Example Plaza, Example City, VA 00000</w:t>
            </w:r>
          </w:p>
        </w:tc>
      </w:tr>
      <w:tr>
        <w:trPr>
          <w:cantSplit/>
        </w:trPr>
        <w:tc>
          <w:tcPr>
            <w:tcW w:type="dxa" w:w="3024"/>
          </w:tcPr>
          <w:p>
            <w:pPr>
              <w:spacing w:after="120" w:before="120"/>
            </w:pPr>
            <w:r>
              <w:rPr>
                <w:sz w:val="20"/>
              </w:rPr>
              <w:t>UEI / CAGE if required</w:t>
            </w:r>
          </w:p>
        </w:tc>
        <w:tc>
          <w:tcPr>
            <w:tcW w:type="dxa" w:w="6336"/>
          </w:tcPr>
          <w:p>
            <w:pPr>
              <w:spacing w:after="120" w:before="120"/>
            </w:pPr>
            <w:r>
              <w:rPr>
                <w:sz w:val="20"/>
              </w:rPr>
              <w:t>[Supply verified identifiers if required]</w:t>
            </w:r>
          </w:p>
        </w:tc>
      </w:tr>
      <w:tr>
        <w:trPr>
          <w:cantSplit/>
        </w:trPr>
        <w:tc>
          <w:tcPr>
            <w:tcW w:type="dxa" w:w="3024"/>
            <w:shd w:fill="EAF7FA"/>
          </w:tcPr>
          <w:p>
            <w:pPr>
              <w:spacing w:after="120" w:before="120"/>
            </w:pPr>
            <w:r>
              <w:rPr>
                <w:sz w:val="20"/>
              </w:rPr>
              <w:t>Contact</w:t>
            </w:r>
          </w:p>
        </w:tc>
        <w:tc>
          <w:tcPr>
            <w:tcW w:type="dxa" w:w="6336"/>
            <w:shd w:fill="EAF7FA"/>
          </w:tcPr>
          <w:p>
            <w:pPr>
              <w:spacing w:after="120" w:before="120"/>
            </w:pPr>
            <w:r>
              <w:rPr>
                <w:sz w:val="20"/>
              </w:rPr>
              <w:t>Alex Example | Account Manager</w:t>
              <w:br/>
              <w:t>quotes@example.com | 202-555-0100</w:t>
            </w:r>
          </w:p>
        </w:tc>
      </w:tr>
      <w:tr>
        <w:trPr>
          <w:cantSplit/>
        </w:trPr>
        <w:tc>
          <w:tcPr>
            <w:tcW w:type="dxa" w:w="3024"/>
          </w:tcPr>
          <w:p>
            <w:pPr>
              <w:spacing w:after="120" w:before="120"/>
            </w:pPr>
            <w:r>
              <w:rPr>
                <w:sz w:val="20"/>
              </w:rPr>
              <w:t>Assumptions and exceptions</w:t>
            </w:r>
          </w:p>
        </w:tc>
        <w:tc>
          <w:tcPr>
            <w:tcW w:type="dxa" w:w="6336"/>
          </w:tcPr>
          <w:p>
            <w:pPr>
              <w:spacing w:after="120" w:before="120"/>
            </w:pPr>
            <w:r>
              <w:rPr>
                <w:sz w:val="20"/>
              </w:rPr>
              <w:t>See Section 6</w:t>
            </w:r>
          </w:p>
        </w:tc>
      </w:tr>
      <w:tr>
        <w:trPr>
          <w:cantSplit/>
        </w:trPr>
        <w:tc>
          <w:tcPr>
            <w:tcW w:type="dxa" w:w="3024"/>
            <w:shd w:fill="EAF7FA"/>
          </w:tcPr>
          <w:p>
            <w:pPr>
              <w:spacing w:after="120" w:before="120"/>
            </w:pPr>
            <w:r>
              <w:rPr>
                <w:sz w:val="20"/>
              </w:rPr>
              <w:t>Acknowledgment / signature</w:t>
            </w:r>
          </w:p>
        </w:tc>
        <w:tc>
          <w:tcPr>
            <w:tcW w:type="dxa" w:w="6336"/>
            <w:shd w:fill="EAF7FA"/>
          </w:tcPr>
          <w:p>
            <w:pPr>
              <w:spacing w:after="120" w:before="120"/>
            </w:pPr>
            <w:r>
              <w:rPr>
                <w:sz w:val="20"/>
              </w:rPr>
              <w:t>[Authorized offeror review required]</w:t>
            </w:r>
          </w:p>
        </w:tc>
      </w:tr>
    </w:tbl>
    <w:p>
      <w:pPr>
        <w:spacing w:after="20"/>
      </w:pPr>
    </w:p>
    <w:p>
      <w:pPr>
        <w:pStyle w:val="Heading1"/>
      </w:pPr>
      <w:r>
        <w:t>2  Executive summary</w:t>
      </w:r>
    </w:p>
    <w:p>
      <w:r>
        <w:t>The proposed service combines procurement research, reusable searches, reporting and team collaboration. The response below follows the fictional buyer criteria for capability, data coverage, practical use and support.</w:t>
      </w:r>
    </w:p>
    <w:p>
      <w:r>
        <w:br w:type="page"/>
      </w:r>
    </w:p>
    <w:p>
      <w:pPr>
        <w:pStyle w:val="Heading1"/>
      </w:pPr>
      <w:r>
        <w:t>3  Technical response</w:t>
      </w:r>
    </w:p>
    <w:p>
      <w:r>
        <w:t>The following fictional mapping illustrates a technical response. References identify illustrative scenario inputs, not independently verified capabilities.</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Requirement / source</w:t>
            </w:r>
          </w:p>
        </w:tc>
        <w:tc>
          <w:tcPr>
            <w:tcW w:type="dxa" w:w="6336"/>
            <w:shd w:fill="35354C"/>
          </w:tcPr>
          <w:p>
            <w:pPr>
              <w:keepNext/>
              <w:spacing w:after="120" w:before="120"/>
            </w:pPr>
            <w:r>
              <w:rPr>
                <w:b/>
                <w:color w:val="FFFFFF"/>
                <w:sz w:val="20"/>
              </w:rPr>
              <w:t>Response and supporting basis</w:t>
            </w:r>
          </w:p>
        </w:tc>
      </w:tr>
      <w:tr>
        <w:trPr>
          <w:cantSplit/>
        </w:trPr>
        <w:tc>
          <w:tcPr>
            <w:tcW w:type="dxa" w:w="3024"/>
            <w:shd w:fill="EAF7FA"/>
          </w:tcPr>
          <w:p>
            <w:pPr>
              <w:spacing w:after="120" w:before="120"/>
            </w:pPr>
            <w:r>
              <w:rPr>
                <w:sz w:val="20"/>
              </w:rPr>
              <w:t>R1 | Illustrative SOW 2.1</w:t>
              <w:br/>
              <w:t>Research capability</w:t>
            </w:r>
          </w:p>
        </w:tc>
        <w:tc>
          <w:tcPr>
            <w:tcW w:type="dxa" w:w="6336"/>
            <w:shd w:fill="EAF7FA"/>
          </w:tcPr>
          <w:p>
            <w:pPr>
              <w:spacing w:after="120" w:before="120"/>
            </w:pPr>
            <w:r>
              <w:rPr>
                <w:sz w:val="20"/>
              </w:rPr>
              <w:t>Search opportunity and award records, save queries and configure alerts. Scenario capability sheet A describes the proposed research functions.</w:t>
            </w:r>
          </w:p>
        </w:tc>
      </w:tr>
      <w:tr>
        <w:trPr>
          <w:cantSplit/>
        </w:trPr>
        <w:tc>
          <w:tcPr>
            <w:tcW w:type="dxa" w:w="3024"/>
          </w:tcPr>
          <w:p>
            <w:pPr>
              <w:spacing w:after="120" w:before="120"/>
            </w:pPr>
            <w:r>
              <w:rPr>
                <w:sz w:val="20"/>
              </w:rPr>
              <w:t>R2 | Illustrative SOW 2.2</w:t>
              <w:br/>
              <w:t>Coverage and timeliness</w:t>
            </w:r>
          </w:p>
        </w:tc>
        <w:tc>
          <w:tcPr>
            <w:tcW w:type="dxa" w:w="6336"/>
          </w:tcPr>
          <w:p>
            <w:pPr>
              <w:spacing w:after="120" w:before="120"/>
            </w:pPr>
            <w:r>
              <w:rPr>
                <w:sz w:val="20"/>
              </w:rPr>
              <w:t>The scenario offers linked buyer, supplier and award views. Refresh timing and source limitations are disclosed in capability sheet A; no real-world coverage claim is made.</w:t>
            </w:r>
          </w:p>
        </w:tc>
      </w:tr>
      <w:tr>
        <w:trPr>
          <w:cantSplit/>
        </w:trPr>
        <w:tc>
          <w:tcPr>
            <w:tcW w:type="dxa" w:w="3024"/>
            <w:shd w:fill="EAF7FA"/>
          </w:tcPr>
          <w:p>
            <w:pPr>
              <w:spacing w:after="120" w:before="120"/>
            </w:pPr>
            <w:r>
              <w:rPr>
                <w:sz w:val="20"/>
              </w:rPr>
              <w:t>R3 | Illustrative SOW 2.3</w:t>
              <w:br/>
              <w:t>Analysis and collaboration</w:t>
            </w:r>
          </w:p>
        </w:tc>
        <w:tc>
          <w:tcPr>
            <w:tcW w:type="dxa" w:w="6336"/>
            <w:shd w:fill="EAF7FA"/>
          </w:tcPr>
          <w:p>
            <w:pPr>
              <w:spacing w:after="120" w:before="120"/>
            </w:pPr>
            <w:r>
              <w:rPr>
                <w:sz w:val="20"/>
              </w:rPr>
              <w:t>Users compare purchasing patterns, export research results and share team notes. The example workflow supports market research and acquisition planning.</w:t>
            </w:r>
          </w:p>
        </w:tc>
      </w:tr>
      <w:tr>
        <w:trPr>
          <w:cantSplit/>
        </w:trPr>
        <w:tc>
          <w:tcPr>
            <w:tcW w:type="dxa" w:w="3024"/>
          </w:tcPr>
          <w:p>
            <w:pPr>
              <w:spacing w:after="120" w:before="120"/>
            </w:pPr>
            <w:r>
              <w:rPr>
                <w:sz w:val="20"/>
              </w:rPr>
              <w:t>R4 | Illustrative SOW 2.4</w:t>
              <w:br/>
              <w:t>Onboarding and support</w:t>
            </w:r>
          </w:p>
        </w:tc>
        <w:tc>
          <w:tcPr>
            <w:tcW w:type="dxa" w:w="6336"/>
          </w:tcPr>
          <w:p>
            <w:pPr>
              <w:spacing w:after="120" w:before="120"/>
            </w:pPr>
            <w:r>
              <w:rPr>
                <w:sz w:val="20"/>
              </w:rPr>
              <w:t>Provide virtual onboarding and support during the base subscription. An optional additional workshop appears as CLIN 1001.</w:t>
            </w:r>
          </w:p>
        </w:tc>
      </w:tr>
    </w:tbl>
    <w:p>
      <w:pPr>
        <w:spacing w:after="20"/>
      </w:pPr>
    </w:p>
    <w:p>
      <w:pPr>
        <w:pStyle w:val="Heading2"/>
      </w:pPr>
      <w:r>
        <w:t>Delivery and configuration</w:t>
      </w:r>
    </w:p>
    <w:p>
      <w:r>
        <w:t>The base term is July 1, 2030 through June 30, 2031. The scenario includes 12 authorized users. The buyer supplies the user list before activation. No AI-credit allowance or integration entitlement is assumed.</w:t>
      </w:r>
    </w:p>
    <w:p>
      <w:pPr>
        <w:pStyle w:val="Heading2"/>
      </w:pPr>
      <w:r>
        <w:t>Evidence and unresolved inputs</w:t>
      </w:r>
    </w:p>
    <w:p>
      <w:r>
        <w:t>Illustrative inputs: scenario SOW, Revision 02, capability sheet A and price schedule B. A real response requires verified company capability evidence and the actual buyer package.</w:t>
      </w:r>
    </w:p>
    <w:p>
      <w:r>
        <w:br w:type="page"/>
      </w:r>
    </w:p>
    <w:p>
      <w:pPr>
        <w:pStyle w:val="Heading1"/>
      </w:pPr>
      <w:r>
        <w:t>4  Itemized price quotation</w:t>
      </w:r>
    </w:p>
    <w:p>
      <w:r>
        <w:t>Illustrative firm-fixed prices in USD. Scenario price schedule B evaluates the base items plus the optional workshop. The option is separately identified and is not part of the base commitment.</w:t>
      </w:r>
    </w:p>
    <w:tbl>
      <w:tblPr>
        <w:tblW w:type="auto" w:w="0"/>
        <w:tblLayout w:type="fixed"/>
        <w:tblLook w:firstColumn="1" w:firstRow="1" w:lastColumn="0" w:lastRow="0" w:noHBand="0" w:noVBand="1" w:val="04A0"/>
      </w:tblPr>
      <w:tblGrid>
        <w:gridCol w:w="936"/>
        <w:gridCol w:w="2664"/>
        <w:gridCol w:w="720"/>
        <w:gridCol w:w="1008"/>
        <w:gridCol w:w="1872"/>
        <w:gridCol w:w="2160"/>
      </w:tblGrid>
      <w:tr>
        <w:trPr>
          <w:tblHeader/>
          <w:cantSplit/>
        </w:trPr>
        <w:tc>
          <w:tcPr>
            <w:tcW w:type="dxa" w:w="936"/>
            <w:shd w:fill="35354C"/>
          </w:tcPr>
          <w:p>
            <w:pPr>
              <w:keepNext/>
              <w:spacing w:after="120" w:before="120"/>
            </w:pPr>
            <w:r>
              <w:rPr>
                <w:b/>
                <w:color w:val="FFFFFF"/>
                <w:sz w:val="20"/>
              </w:rPr>
              <w:t>CLIN</w:t>
            </w:r>
          </w:p>
        </w:tc>
        <w:tc>
          <w:tcPr>
            <w:tcW w:type="dxa" w:w="2664"/>
            <w:shd w:fill="35354C"/>
          </w:tcPr>
          <w:p>
            <w:pPr>
              <w:keepNext/>
              <w:spacing w:after="120" w:before="120"/>
            </w:pPr>
            <w:r>
              <w:rPr>
                <w:b/>
                <w:color w:val="FFFFFF"/>
                <w:sz w:val="20"/>
              </w:rPr>
              <w:t>Description</w:t>
            </w:r>
          </w:p>
        </w:tc>
        <w:tc>
          <w:tcPr>
            <w:tcW w:type="dxa" w:w="720"/>
            <w:shd w:fill="35354C"/>
          </w:tcPr>
          <w:p>
            <w:pPr>
              <w:keepNext/>
              <w:spacing w:after="120" w:before="120"/>
            </w:pPr>
            <w:r>
              <w:rPr>
                <w:b/>
                <w:color w:val="FFFFFF"/>
                <w:sz w:val="20"/>
              </w:rPr>
              <w:t>Qty</w:t>
            </w:r>
          </w:p>
        </w:tc>
        <w:tc>
          <w:tcPr>
            <w:tcW w:type="dxa" w:w="1008"/>
            <w:shd w:fill="35354C"/>
          </w:tcPr>
          <w:p>
            <w:pPr>
              <w:keepNext/>
              <w:spacing w:after="120" w:before="120"/>
            </w:pPr>
            <w:r>
              <w:rPr>
                <w:b/>
                <w:color w:val="FFFFFF"/>
                <w:sz w:val="20"/>
              </w:rPr>
              <w:t>Unit</w:t>
            </w:r>
          </w:p>
        </w:tc>
        <w:tc>
          <w:tcPr>
            <w:tcW w:type="dxa" w:w="1872"/>
            <w:shd w:fill="35354C"/>
          </w:tcPr>
          <w:p>
            <w:pPr>
              <w:keepNext/>
              <w:spacing w:after="120" w:before="120"/>
            </w:pPr>
            <w:r>
              <w:rPr>
                <w:b/>
                <w:color w:val="FFFFFF"/>
                <w:sz w:val="20"/>
              </w:rPr>
              <w:t>Unit price</w:t>
            </w:r>
          </w:p>
        </w:tc>
        <w:tc>
          <w:tcPr>
            <w:tcW w:type="dxa" w:w="2160"/>
            <w:shd w:fill="35354C"/>
          </w:tcPr>
          <w:p>
            <w:pPr>
              <w:keepNext/>
              <w:spacing w:after="120" w:before="120"/>
            </w:pPr>
            <w:r>
              <w:rPr>
                <w:b/>
                <w:color w:val="FFFFFF"/>
                <w:sz w:val="20"/>
              </w:rPr>
              <w:t>Amount</w:t>
            </w:r>
          </w:p>
        </w:tc>
      </w:tr>
      <w:tr>
        <w:trPr>
          <w:cantSplit/>
        </w:trPr>
        <w:tc>
          <w:tcPr>
            <w:tcW w:type="dxa" w:w="936"/>
            <w:shd w:fill="EAF7FA"/>
          </w:tcPr>
          <w:p>
            <w:pPr>
              <w:spacing w:after="120" w:before="120"/>
            </w:pPr>
            <w:r>
              <w:rPr>
                <w:sz w:val="20"/>
              </w:rPr>
              <w:t>0001</w:t>
            </w:r>
          </w:p>
        </w:tc>
        <w:tc>
          <w:tcPr>
            <w:tcW w:type="dxa" w:w="2664"/>
            <w:shd w:fill="EAF7FA"/>
          </w:tcPr>
          <w:p>
            <w:pPr>
              <w:spacing w:after="120" w:before="120"/>
            </w:pPr>
            <w:r>
              <w:rPr>
                <w:sz w:val="20"/>
              </w:rPr>
              <w:t>Annual subscription</w:t>
              <w:br/>
              <w:t>12 users</w:t>
            </w:r>
          </w:p>
        </w:tc>
        <w:tc>
          <w:tcPr>
            <w:tcW w:type="dxa" w:w="720"/>
            <w:shd w:fill="EAF7FA"/>
          </w:tcPr>
          <w:p>
            <w:pPr>
              <w:spacing w:after="120" w:before="120"/>
            </w:pPr>
            <w:r>
              <w:rPr>
                <w:sz w:val="20"/>
              </w:rPr>
              <w:t>1</w:t>
            </w:r>
          </w:p>
        </w:tc>
        <w:tc>
          <w:tcPr>
            <w:tcW w:type="dxa" w:w="1008"/>
            <w:shd w:fill="EAF7FA"/>
          </w:tcPr>
          <w:p>
            <w:pPr>
              <w:spacing w:after="120" w:before="120"/>
            </w:pPr>
            <w:r>
              <w:rPr>
                <w:sz w:val="20"/>
              </w:rPr>
              <w:t>Year</w:t>
            </w:r>
          </w:p>
        </w:tc>
        <w:tc>
          <w:tcPr>
            <w:tcW w:type="dxa" w:w="1872"/>
            <w:shd w:fill="EAF7FA"/>
          </w:tcPr>
          <w:p>
            <w:pPr>
              <w:spacing w:after="120" w:before="120"/>
            </w:pPr>
            <w:r>
              <w:rPr>
                <w:sz w:val="20"/>
              </w:rPr>
              <w:t>$12,000.00</w:t>
            </w:r>
          </w:p>
        </w:tc>
        <w:tc>
          <w:tcPr>
            <w:tcW w:type="dxa" w:w="2160"/>
            <w:shd w:fill="EAF7FA"/>
          </w:tcPr>
          <w:p>
            <w:pPr>
              <w:spacing w:after="120" w:before="120"/>
            </w:pPr>
            <w:r>
              <w:rPr>
                <w:sz w:val="20"/>
              </w:rPr>
              <w:t>$12,000.00</w:t>
            </w:r>
          </w:p>
        </w:tc>
      </w:tr>
      <w:tr>
        <w:trPr>
          <w:cantSplit/>
        </w:trPr>
        <w:tc>
          <w:tcPr>
            <w:tcW w:type="dxa" w:w="936"/>
          </w:tcPr>
          <w:p>
            <w:pPr>
              <w:spacing w:after="120" w:before="120"/>
            </w:pPr>
            <w:r>
              <w:rPr>
                <w:sz w:val="20"/>
              </w:rPr>
              <w:t>0002</w:t>
            </w:r>
          </w:p>
        </w:tc>
        <w:tc>
          <w:tcPr>
            <w:tcW w:type="dxa" w:w="2664"/>
          </w:tcPr>
          <w:p>
            <w:pPr>
              <w:spacing w:after="120" w:before="120"/>
            </w:pPr>
            <w:r>
              <w:rPr>
                <w:sz w:val="20"/>
              </w:rPr>
              <w:t>Virtual onboarding</w:t>
            </w:r>
          </w:p>
        </w:tc>
        <w:tc>
          <w:tcPr>
            <w:tcW w:type="dxa" w:w="720"/>
          </w:tcPr>
          <w:p>
            <w:pPr>
              <w:spacing w:after="120" w:before="120"/>
            </w:pPr>
            <w:r>
              <w:rPr>
                <w:sz w:val="20"/>
              </w:rPr>
              <w:t>1</w:t>
            </w:r>
          </w:p>
        </w:tc>
        <w:tc>
          <w:tcPr>
            <w:tcW w:type="dxa" w:w="1008"/>
          </w:tcPr>
          <w:p>
            <w:pPr>
              <w:spacing w:after="120" w:before="120"/>
            </w:pPr>
            <w:r>
              <w:rPr>
                <w:sz w:val="20"/>
              </w:rPr>
              <w:t>Package</w:t>
            </w:r>
          </w:p>
        </w:tc>
        <w:tc>
          <w:tcPr>
            <w:tcW w:type="dxa" w:w="1872"/>
          </w:tcPr>
          <w:p>
            <w:pPr>
              <w:spacing w:after="120" w:before="120"/>
            </w:pPr>
            <w:r>
              <w:rPr>
                <w:sz w:val="20"/>
              </w:rPr>
              <w:t>$600.00</w:t>
            </w:r>
          </w:p>
        </w:tc>
        <w:tc>
          <w:tcPr>
            <w:tcW w:type="dxa" w:w="2160"/>
          </w:tcPr>
          <w:p>
            <w:pPr>
              <w:spacing w:after="120" w:before="120"/>
            </w:pPr>
            <w:r>
              <w:rPr>
                <w:sz w:val="20"/>
              </w:rPr>
              <w:t>$600.00</w:t>
            </w:r>
          </w:p>
        </w:tc>
      </w:tr>
      <w:tr>
        <w:trPr>
          <w:cantSplit/>
        </w:trPr>
        <w:tc>
          <w:tcPr>
            <w:tcW w:type="dxa" w:w="936"/>
            <w:shd w:fill="EAF7FA"/>
          </w:tcPr>
          <w:p>
            <w:pPr>
              <w:spacing w:after="120" w:before="120"/>
            </w:pPr>
            <w:r>
              <w:rPr>
                <w:sz w:val="20"/>
              </w:rPr>
              <w:t>1001</w:t>
            </w:r>
          </w:p>
        </w:tc>
        <w:tc>
          <w:tcPr>
            <w:tcW w:type="dxa" w:w="2664"/>
            <w:shd w:fill="EAF7FA"/>
          </w:tcPr>
          <w:p>
            <w:pPr>
              <w:spacing w:after="120" w:before="120"/>
            </w:pPr>
            <w:r>
              <w:rPr>
                <w:sz w:val="20"/>
              </w:rPr>
              <w:t>Optional workshop</w:t>
            </w:r>
          </w:p>
        </w:tc>
        <w:tc>
          <w:tcPr>
            <w:tcW w:type="dxa" w:w="720"/>
            <w:shd w:fill="EAF7FA"/>
          </w:tcPr>
          <w:p>
            <w:pPr>
              <w:spacing w:after="120" w:before="120"/>
            </w:pPr>
            <w:r>
              <w:rPr>
                <w:sz w:val="20"/>
              </w:rPr>
              <w:t>2</w:t>
            </w:r>
          </w:p>
        </w:tc>
        <w:tc>
          <w:tcPr>
            <w:tcW w:type="dxa" w:w="1008"/>
            <w:shd w:fill="EAF7FA"/>
          </w:tcPr>
          <w:p>
            <w:pPr>
              <w:spacing w:after="120" w:before="120"/>
            </w:pPr>
            <w:r>
              <w:rPr>
                <w:sz w:val="20"/>
              </w:rPr>
              <w:t>Session</w:t>
            </w:r>
          </w:p>
        </w:tc>
        <w:tc>
          <w:tcPr>
            <w:tcW w:type="dxa" w:w="1872"/>
            <w:shd w:fill="EAF7FA"/>
          </w:tcPr>
          <w:p>
            <w:pPr>
              <w:spacing w:after="120" w:before="120"/>
            </w:pPr>
            <w:r>
              <w:rPr>
                <w:sz w:val="20"/>
              </w:rPr>
              <w:t>$300.00</w:t>
            </w:r>
          </w:p>
        </w:tc>
        <w:tc>
          <w:tcPr>
            <w:tcW w:type="dxa" w:w="2160"/>
            <w:shd w:fill="EAF7FA"/>
          </w:tcPr>
          <w:p>
            <w:pPr>
              <w:spacing w:after="120" w:before="120"/>
            </w:pPr>
            <w:r>
              <w:rPr>
                <w:sz w:val="20"/>
              </w:rPr>
              <w:t>$600.00</w:t>
            </w:r>
          </w:p>
        </w:tc>
      </w:tr>
    </w:tbl>
    <w:p>
      <w:pPr>
        <w:spacing w:after="20"/>
      </w:pPr>
    </w:p>
    <w:tbl>
      <w:tblPr>
        <w:tblW w:type="auto" w:w="0"/>
        <w:tblLayout w:type="fixed"/>
        <w:tblLook w:firstColumn="1" w:firstRow="1" w:lastColumn="0" w:lastRow="0" w:noHBand="0" w:noVBand="1" w:val="04A0"/>
      </w:tblPr>
      <w:tblGrid>
        <w:gridCol w:w="5328"/>
        <w:gridCol w:w="4032"/>
      </w:tblGrid>
      <w:tr>
        <w:trPr>
          <w:tblHeader/>
          <w:cantSplit/>
        </w:trPr>
        <w:tc>
          <w:tcPr>
            <w:tcW w:type="dxa" w:w="5328"/>
            <w:shd w:fill="35354C"/>
          </w:tcPr>
          <w:p>
            <w:pPr>
              <w:keepNext/>
              <w:spacing w:after="120" w:before="120"/>
            </w:pPr>
            <w:r>
              <w:rPr>
                <w:b/>
                <w:color w:val="FFFFFF"/>
                <w:sz w:val="20"/>
              </w:rPr>
              <w:t>Pricing summary</w:t>
            </w:r>
          </w:p>
        </w:tc>
        <w:tc>
          <w:tcPr>
            <w:tcW w:type="dxa" w:w="4032"/>
            <w:shd w:fill="35354C"/>
          </w:tcPr>
          <w:p>
            <w:pPr>
              <w:keepNext/>
              <w:spacing w:after="120" w:before="120"/>
            </w:pPr>
            <w:r>
              <w:rPr>
                <w:b/>
                <w:color w:val="FFFFFF"/>
                <w:sz w:val="20"/>
              </w:rPr>
              <w:t>Amount / treatment</w:t>
            </w:r>
          </w:p>
        </w:tc>
      </w:tr>
      <w:tr>
        <w:trPr>
          <w:cantSplit/>
        </w:trPr>
        <w:tc>
          <w:tcPr>
            <w:tcW w:type="dxa" w:w="5328"/>
            <w:shd w:fill="EAF7FA"/>
          </w:tcPr>
          <w:p>
            <w:pPr>
              <w:spacing w:after="120" w:before="120"/>
            </w:pPr>
            <w:r>
              <w:rPr>
                <w:sz w:val="20"/>
              </w:rPr>
              <w:t>Base subtotal</w:t>
            </w:r>
          </w:p>
        </w:tc>
        <w:tc>
          <w:tcPr>
            <w:tcW w:type="dxa" w:w="4032"/>
            <w:shd w:fill="EAF7FA"/>
          </w:tcPr>
          <w:p>
            <w:pPr>
              <w:spacing w:after="120" w:before="120"/>
            </w:pPr>
            <w:r>
              <w:rPr>
                <w:sz w:val="20"/>
              </w:rPr>
              <w:t>$12,600.00</w:t>
            </w:r>
          </w:p>
        </w:tc>
      </w:tr>
      <w:tr>
        <w:trPr>
          <w:cantSplit/>
        </w:trPr>
        <w:tc>
          <w:tcPr>
            <w:tcW w:type="dxa" w:w="5328"/>
          </w:tcPr>
          <w:p>
            <w:pPr>
              <w:spacing w:after="120" w:before="120"/>
            </w:pPr>
            <w:r>
              <w:rPr>
                <w:sz w:val="20"/>
              </w:rPr>
              <w:t>Discounts</w:t>
            </w:r>
          </w:p>
        </w:tc>
        <w:tc>
          <w:tcPr>
            <w:tcW w:type="dxa" w:w="4032"/>
          </w:tcPr>
          <w:p>
            <w:pPr>
              <w:spacing w:after="120" w:before="120"/>
            </w:pPr>
            <w:r>
              <w:rPr>
                <w:sz w:val="20"/>
              </w:rPr>
              <w:t>$0.00</w:t>
            </w:r>
          </w:p>
        </w:tc>
      </w:tr>
      <w:tr>
        <w:trPr>
          <w:cantSplit/>
        </w:trPr>
        <w:tc>
          <w:tcPr>
            <w:tcW w:type="dxa" w:w="5328"/>
            <w:shd w:fill="EAF7FA"/>
          </w:tcPr>
          <w:p>
            <w:pPr>
              <w:spacing w:after="120" w:before="120"/>
            </w:pPr>
            <w:r>
              <w:rPr>
                <w:sz w:val="20"/>
              </w:rPr>
              <w:t>Base quoted price</w:t>
            </w:r>
          </w:p>
        </w:tc>
        <w:tc>
          <w:tcPr>
            <w:tcW w:type="dxa" w:w="4032"/>
            <w:shd w:fill="EAF7FA"/>
          </w:tcPr>
          <w:p>
            <w:pPr>
              <w:spacing w:after="120" w:before="120"/>
            </w:pPr>
            <w:r>
              <w:rPr>
                <w:sz w:val="20"/>
              </w:rPr>
              <w:t>$12,600.00</w:t>
            </w:r>
          </w:p>
        </w:tc>
      </w:tr>
      <w:tr>
        <w:trPr>
          <w:cantSplit/>
        </w:trPr>
        <w:tc>
          <w:tcPr>
            <w:tcW w:type="dxa" w:w="5328"/>
          </w:tcPr>
          <w:p>
            <w:pPr>
              <w:spacing w:after="120" w:before="120"/>
            </w:pPr>
            <w:r>
              <w:rPr>
                <w:sz w:val="20"/>
              </w:rPr>
              <w:t>Separately priced options</w:t>
            </w:r>
          </w:p>
        </w:tc>
        <w:tc>
          <w:tcPr>
            <w:tcW w:type="dxa" w:w="4032"/>
          </w:tcPr>
          <w:p>
            <w:pPr>
              <w:spacing w:after="120" w:before="120"/>
            </w:pPr>
            <w:r>
              <w:rPr>
                <w:sz w:val="20"/>
              </w:rPr>
              <w:t>$600.00</w:t>
            </w:r>
          </w:p>
        </w:tc>
      </w:tr>
      <w:tr>
        <w:trPr>
          <w:cantSplit/>
        </w:trPr>
        <w:tc>
          <w:tcPr>
            <w:tcW w:type="dxa" w:w="5328"/>
            <w:shd w:fill="EAF7FA"/>
          </w:tcPr>
          <w:p>
            <w:pPr>
              <w:spacing w:after="120" w:before="120"/>
            </w:pPr>
            <w:r>
              <w:rPr>
                <w:sz w:val="20"/>
              </w:rPr>
              <w:t>Total evaluated price</w:t>
            </w:r>
          </w:p>
        </w:tc>
        <w:tc>
          <w:tcPr>
            <w:tcW w:type="dxa" w:w="4032"/>
            <w:shd w:fill="EAF7FA"/>
          </w:tcPr>
          <w:p>
            <w:pPr>
              <w:spacing w:after="120" w:before="120"/>
            </w:pPr>
            <w:r>
              <w:rPr>
                <w:sz w:val="20"/>
              </w:rPr>
              <w:t>$13,200.00</w:t>
            </w:r>
          </w:p>
        </w:tc>
      </w:tr>
    </w:tbl>
    <w:p>
      <w:pPr>
        <w:spacing w:after="20"/>
      </w:pPr>
    </w:p>
    <w:p>
      <w:pPr>
        <w:pStyle w:val="Heading2"/>
      </w:pPr>
      <w:r>
        <w:t>Price basis and validity</w:t>
      </w:r>
    </w:p>
    <w:p>
      <w:r>
        <w:t>Base pricing includes the stated users, onboarding, support and maintenance. The additional workshop is optional. No discount or quotation-validity period is assumed.</w:t>
      </w:r>
    </w:p>
    <w:p>
      <w:pPr>
        <w:pStyle w:val="Heading2"/>
      </w:pPr>
      <w:r>
        <w:t>Invoice approach</w:t>
      </w:r>
    </w:p>
    <w:p>
      <w:r>
        <w:t>The illustrative schedule calls for one base-period invoice with itemized CLIN amounts. Any requested monthly service or rate detail remains supporting documentation; it does not change the invoice frequency.</w:t>
      </w:r>
    </w:p>
    <w:p>
      <w:r>
        <w:br w:type="page"/>
      </w:r>
    </w:p>
    <w:p>
      <w:pPr>
        <w:pStyle w:val="Heading1"/>
      </w:pPr>
      <w:r>
        <w:t>5  Assumptions and limitations</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Topic</w:t>
            </w:r>
          </w:p>
        </w:tc>
        <w:tc>
          <w:tcPr>
            <w:tcW w:type="dxa" w:w="6336"/>
            <w:shd w:fill="35354C"/>
          </w:tcPr>
          <w:p>
            <w:pPr>
              <w:keepNext/>
              <w:spacing w:after="120" w:before="120"/>
            </w:pPr>
            <w:r>
              <w:rPr>
                <w:b/>
                <w:color w:val="FFFFFF"/>
                <w:sz w:val="20"/>
              </w:rPr>
              <w:t>Quotation basis</w:t>
            </w:r>
          </w:p>
        </w:tc>
      </w:tr>
      <w:tr>
        <w:trPr>
          <w:cantSplit/>
        </w:trPr>
        <w:tc>
          <w:tcPr>
            <w:tcW w:type="dxa" w:w="3024"/>
            <w:shd w:fill="EAF7FA"/>
          </w:tcPr>
          <w:p>
            <w:pPr>
              <w:spacing w:after="120" w:before="120"/>
            </w:pPr>
            <w:r>
              <w:rPr>
                <w:sz w:val="20"/>
              </w:rPr>
              <w:t>Performance period</w:t>
            </w:r>
          </w:p>
        </w:tc>
        <w:tc>
          <w:tcPr>
            <w:tcW w:type="dxa" w:w="6336"/>
            <w:shd w:fill="EAF7FA"/>
          </w:tcPr>
          <w:p>
            <w:pPr>
              <w:spacing w:after="120" w:before="120"/>
            </w:pPr>
            <w:r>
              <w:rPr>
                <w:sz w:val="20"/>
              </w:rPr>
              <w:t>July 1, 2030 through June 30, 2031 in the fictional scenario. An actual award change requires review.</w:t>
            </w:r>
          </w:p>
        </w:tc>
      </w:tr>
      <w:tr>
        <w:trPr>
          <w:cantSplit/>
        </w:trPr>
        <w:tc>
          <w:tcPr>
            <w:tcW w:type="dxa" w:w="3024"/>
          </w:tcPr>
          <w:p>
            <w:pPr>
              <w:spacing w:after="120" w:before="120"/>
            </w:pPr>
            <w:r>
              <w:rPr>
                <w:sz w:val="20"/>
              </w:rPr>
              <w:t>Scope and quantities</w:t>
            </w:r>
          </w:p>
        </w:tc>
        <w:tc>
          <w:tcPr>
            <w:tcW w:type="dxa" w:w="6336"/>
          </w:tcPr>
          <w:p>
            <w:pPr>
              <w:spacing w:after="120" w:before="120"/>
            </w:pPr>
            <w:r>
              <w:rPr>
                <w:sz w:val="20"/>
              </w:rPr>
              <w:t>12 users for the base subscription; additional workshops are optional. No unspecified features are included by inference.</w:t>
            </w:r>
          </w:p>
        </w:tc>
      </w:tr>
      <w:tr>
        <w:trPr>
          <w:cantSplit/>
        </w:trPr>
        <w:tc>
          <w:tcPr>
            <w:tcW w:type="dxa" w:w="3024"/>
            <w:shd w:fill="EAF7FA"/>
          </w:tcPr>
          <w:p>
            <w:pPr>
              <w:spacing w:after="120" w:before="120"/>
            </w:pPr>
            <w:r>
              <w:rPr>
                <w:sz w:val="20"/>
              </w:rPr>
              <w:t>Buyer dependencies</w:t>
            </w:r>
          </w:p>
        </w:tc>
        <w:tc>
          <w:tcPr>
            <w:tcW w:type="dxa" w:w="6336"/>
            <w:shd w:fill="EAF7FA"/>
          </w:tcPr>
          <w:p>
            <w:pPr>
              <w:spacing w:after="120" w:before="120"/>
            </w:pPr>
            <w:r>
              <w:rPr>
                <w:sz w:val="20"/>
              </w:rPr>
              <w:t>Buyer provides its authorized user list and onboarding contact.</w:t>
            </w:r>
          </w:p>
        </w:tc>
      </w:tr>
      <w:tr>
        <w:trPr>
          <w:cantSplit/>
        </w:trPr>
        <w:tc>
          <w:tcPr>
            <w:tcW w:type="dxa" w:w="3024"/>
          </w:tcPr>
          <w:p>
            <w:pPr>
              <w:spacing w:after="120" w:before="120"/>
            </w:pPr>
            <w:r>
              <w:rPr>
                <w:sz w:val="20"/>
              </w:rPr>
              <w:t>Use restrictions</w:t>
            </w:r>
          </w:p>
        </w:tc>
        <w:tc>
          <w:tcPr>
            <w:tcW w:type="dxa" w:w="6336"/>
          </w:tcPr>
          <w:p>
            <w:pPr>
              <w:spacing w:after="120" w:before="120"/>
            </w:pPr>
            <w:r>
              <w:rPr>
                <w:sz w:val="20"/>
              </w:rPr>
              <w:t>Scenario inputs do not establish integration or AI-use authorization. Confirm applicable terms before offering either.</w:t>
            </w:r>
          </w:p>
        </w:tc>
      </w:tr>
      <w:tr>
        <w:trPr>
          <w:cantSplit/>
        </w:trPr>
        <w:tc>
          <w:tcPr>
            <w:tcW w:type="dxa" w:w="3024"/>
            <w:shd w:fill="EAF7FA"/>
          </w:tcPr>
          <w:p>
            <w:pPr>
              <w:spacing w:after="120" w:before="120"/>
            </w:pPr>
            <w:r>
              <w:rPr>
                <w:sz w:val="20"/>
              </w:rPr>
              <w:t>Additional costs</w:t>
            </w:r>
          </w:p>
        </w:tc>
        <w:tc>
          <w:tcPr>
            <w:tcW w:type="dxa" w:w="6336"/>
            <w:shd w:fill="EAF7FA"/>
          </w:tcPr>
          <w:p>
            <w:pPr>
              <w:spacing w:after="120" w:before="120"/>
            </w:pPr>
            <w:r>
              <w:rPr>
                <w:sz w:val="20"/>
              </w:rPr>
              <w:t>Only CLIN 1001 is priced as an option. Unspecified expansion is outside this illustrative configuration.</w:t>
            </w:r>
          </w:p>
        </w:tc>
      </w:tr>
    </w:tbl>
    <w:p>
      <w:pPr>
        <w:spacing w:after="20"/>
      </w:pPr>
    </w:p>
    <w:p>
      <w:pPr>
        <w:pStyle w:val="Heading1"/>
      </w:pPr>
      <w:r>
        <w:t>6  Exceptions and terms acknowledgment</w:t>
      </w:r>
    </w:p>
    <w:p>
      <w:r>
        <w:t>Terms acceptance remains for authorized offeror review. Do not infer “no exceptions” from this example. Reconcile any proposed commercial terms with the controlling RFQ before finalizing.</w:t>
      </w:r>
    </w:p>
    <w:tbl>
      <w:tblPr>
        <w:tblW w:type="auto" w:w="0"/>
        <w:tblLayout w:type="fixed"/>
        <w:tblLook w:firstColumn="1" w:firstRow="1" w:lastColumn="0" w:lastRow="0" w:noHBand="0" w:noVBand="1" w:val="04A0"/>
      </w:tblPr>
      <w:tblGrid>
        <w:gridCol w:w="3024"/>
        <w:gridCol w:w="6336"/>
      </w:tblGrid>
      <w:tr>
        <w:trPr>
          <w:tblHeader/>
          <w:cantSplit/>
        </w:trPr>
        <w:tc>
          <w:tcPr>
            <w:tcW w:type="dxa" w:w="3024"/>
            <w:shd w:fill="35354C"/>
          </w:tcPr>
          <w:p>
            <w:pPr>
              <w:keepNext/>
              <w:spacing w:after="120" w:before="120"/>
            </w:pPr>
            <w:r>
              <w:rPr>
                <w:b/>
                <w:color w:val="FFFFFF"/>
                <w:sz w:val="20"/>
              </w:rPr>
              <w:t>Review item</w:t>
            </w:r>
          </w:p>
        </w:tc>
        <w:tc>
          <w:tcPr>
            <w:tcW w:type="dxa" w:w="6336"/>
            <w:shd w:fill="35354C"/>
          </w:tcPr>
          <w:p>
            <w:pPr>
              <w:keepNext/>
              <w:spacing w:after="120" w:before="120"/>
            </w:pPr>
            <w:r>
              <w:rPr>
                <w:b/>
                <w:color w:val="FFFFFF"/>
                <w:sz w:val="20"/>
              </w:rPr>
              <w:t>Status</w:t>
            </w:r>
          </w:p>
        </w:tc>
      </w:tr>
      <w:tr>
        <w:trPr>
          <w:cantSplit/>
        </w:trPr>
        <w:tc>
          <w:tcPr>
            <w:tcW w:type="dxa" w:w="3024"/>
            <w:shd w:fill="EAF7FA"/>
          </w:tcPr>
          <w:p>
            <w:pPr>
              <w:spacing w:after="120" w:before="120"/>
            </w:pPr>
            <w:r>
              <w:rPr>
                <w:sz w:val="20"/>
              </w:rPr>
              <w:t>Amendments</w:t>
            </w:r>
          </w:p>
        </w:tc>
        <w:tc>
          <w:tcPr>
            <w:tcW w:type="dxa" w:w="6336"/>
            <w:shd w:fill="EAF7FA"/>
          </w:tcPr>
          <w:p>
            <w:pPr>
              <w:spacing w:after="120" w:before="120"/>
            </w:pPr>
            <w:r>
              <w:rPr>
                <w:sz w:val="20"/>
              </w:rPr>
              <w:t>[Confirm controlling amendments and acknowledgment]</w:t>
            </w:r>
          </w:p>
        </w:tc>
      </w:tr>
      <w:tr>
        <w:trPr>
          <w:cantSplit/>
        </w:trPr>
        <w:tc>
          <w:tcPr>
            <w:tcW w:type="dxa" w:w="3024"/>
          </w:tcPr>
          <w:p>
            <w:pPr>
              <w:spacing w:after="120" w:before="120"/>
            </w:pPr>
            <w:r>
              <w:rPr>
                <w:sz w:val="20"/>
              </w:rPr>
              <w:t>Buyer forms</w:t>
            </w:r>
          </w:p>
        </w:tc>
        <w:tc>
          <w:tcPr>
            <w:tcW w:type="dxa" w:w="6336"/>
          </w:tcPr>
          <w:p>
            <w:pPr>
              <w:spacing w:after="120" w:before="120"/>
            </w:pPr>
            <w:r>
              <w:rPr>
                <w:sz w:val="20"/>
              </w:rPr>
              <w:t>[Confirm required forms, fields and attachments]</w:t>
            </w:r>
          </w:p>
        </w:tc>
      </w:tr>
      <w:tr>
        <w:trPr>
          <w:cantSplit/>
        </w:trPr>
        <w:tc>
          <w:tcPr>
            <w:tcW w:type="dxa" w:w="3024"/>
            <w:shd w:fill="EAF7FA"/>
          </w:tcPr>
          <w:p>
            <w:pPr>
              <w:spacing w:after="120" w:before="120"/>
            </w:pPr>
            <w:r>
              <w:rPr>
                <w:sz w:val="20"/>
              </w:rPr>
              <w:t>Signature, if required</w:t>
            </w:r>
          </w:p>
        </w:tc>
        <w:tc>
          <w:tcPr>
            <w:tcW w:type="dxa" w:w="6336"/>
            <w:shd w:fill="EAF7FA"/>
          </w:tcPr>
          <w:p>
            <w:pPr>
              <w:spacing w:after="120" w:before="120"/>
            </w:pPr>
            <w:r>
              <w:rPr>
                <w:sz w:val="20"/>
              </w:rPr>
              <w:t>[Authorized signer and date; do not simulate signature]</w:t>
            </w:r>
          </w:p>
        </w:tc>
      </w:tr>
    </w:tbl>
    <w:p>
      <w:pPr>
        <w:spacing w:after="20"/>
      </w:pPr>
    </w:p>
    <w:p>
      <w:r>
        <w:t>Example contact: Alex Example | quotes@example.com | 202-555-0100</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Illustrative example  |  </w:t>
    </w:r>
    <w:r>
      <w:rPr>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Illustrative example  |  </w:t>
    </w: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34440" cy="1445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34440" cy="14453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234440" cy="14453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34440" cy="14453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Arial" w:hAnsi="Arial"/>
      <w:color w:val="35354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Arial" w:hAnsi="Arial"/>
      <w:b/>
      <w:bCs/>
      <w:color w:val="35354C"/>
      <w:sz w:val="38"/>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Arial" w:hAnsi="Arial"/>
      <w:b/>
      <w:bCs/>
      <w:color w:val="3535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40"/>
      <w:contextualSpacing/>
    </w:pPr>
    <w:rPr>
      <w:rFonts w:asciiTheme="majorHAnsi" w:eastAsiaTheme="majorEastAsia" w:hAnsiTheme="majorHAnsi" w:cstheme="majorBidi" w:ascii="Arial" w:hAnsi="Arial"/>
      <w:b/>
      <w:color w:val="35354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5354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RFQ Quotation Response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