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00000"/>
        </w:rPr>
        <w:t>Bid / No-Bid Assessment</w:t>
      </w:r>
    </w:p>
    <w:p>
      <w:pPr>
        <w:pStyle w:val="Subtitle"/>
        <w:spacing w:after="120"/>
      </w:pPr>
      <w:r>
        <w:rPr>
          <w:rFonts w:ascii="Arial" w:hAnsi="Arial"/>
          <w:color w:val="000000"/>
        </w:rPr>
        <w:t>Panama social listening services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U.S. Embassy Panama | As of 11 September 2026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>Bidder: GovTribe, Inc. | 19PM0726Q0031</w:t>
      </w:r>
    </w:p>
    <w:p>
      <w:pPr>
        <w:pStyle w:val="Meta"/>
        <w:spacing w:after="60"/>
      </w:pPr>
      <w:r>
        <w:rPr>
          <w:rFonts w:ascii="Arial" w:hAnsi="Arial"/>
          <w:color w:val="555E6B"/>
        </w:rPr>
        <w:t xml:space="preserve">Quotation due: 24 September 2026, 10 a.m. Panama local time </w:t>
      </w:r>
      <w:hyperlink r:id="rId13" w:history="1">
        <w:r>
          <w:rPr>
            <w:rFonts w:ascii="Arial" w:hAnsi="Arial"/>
            <w:color w:val="126B80"/>
          </w:rPr>
          <w:t>[S2 p1]</w:t>
        </w:r>
      </w:hyperlink>
      <w:r>
        <w:rPr>
          <w:rFonts w:ascii="Arial" w:hAnsi="Arial"/>
          <w:color w:val="555E6B"/>
        </w:rPr>
        <w:t xml:space="preserve"> </w:t>
      </w:r>
      <w:hyperlink r:id="rId14" w:history="1">
        <w:r>
          <w:rPr>
            <w:rFonts w:ascii="Arial" w:hAnsi="Arial"/>
            <w:color w:val="126B80"/>
          </w:rPr>
          <w:t>[S3 block8]</w:t>
        </w:r>
      </w:hyperlink>
      <w:r>
        <w:rPr>
          <w:rFonts w:ascii="Arial" w:hAnsi="Arial"/>
          <w:color w:val="555E6B"/>
        </w:rPr>
      </w:r>
    </w:p>
    <w:p>
      <w:pPr>
        <w:pStyle w:val="Small"/>
        <w:spacing w:after="100"/>
      </w:pPr>
      <w:r>
        <w:rPr>
          <w:rFonts w:ascii="Arial" w:hAnsi="Arial"/>
          <w:color w:val="555E6B"/>
        </w:rPr>
        <w:t>GovTribe’s identity is real; scenario assumptions and past performance are illustrative.</w:t>
      </w:r>
    </w:p>
    <w:p>
      <w:pPr>
        <w:pStyle w:val="Heading1"/>
      </w:pPr>
      <w:r>
        <w:rPr>
          <w:rFonts w:ascii="Arial" w:hAnsi="Arial"/>
          <w:color w:val="000000"/>
        </w:rPr>
        <w:t>Recommendation</w:t>
      </w:r>
    </w:p>
    <w:p>
      <w:pPr>
        <w:spacing w:after="100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No Bid.</w:t>
      </w:r>
      <w:r>
        <w:rPr>
          <w:rFonts w:ascii="Arial" w:hAnsi="Arial"/>
          <w:color w:val="20252D"/>
        </w:rPr>
        <w:t xml:space="preserve"> Staffing leaves a 40-hour weekly coverage gap. Only 1 of 5 required tools/platforms is available. 5 other factors remain unresolved.</w:t>
      </w:r>
    </w:p>
    <w:p>
      <w:pPr>
        <w:pStyle w:val="Small"/>
        <w:spacing w:after="80"/>
      </w:pPr>
      <w:r>
        <w:rPr>
          <w:rFonts w:ascii="Arial" w:hAnsi="Arial"/>
          <w:color w:val="555E6B"/>
        </w:rPr>
      </w:r>
      <w:r>
        <w:rPr>
          <w:rFonts w:ascii="Arial" w:hAnsi="Arial"/>
          <w:b/>
          <w:color w:val="555E6B"/>
        </w:rPr>
        <w:t>What would change the recommendation:</w:t>
      </w:r>
      <w:r>
        <w:rPr>
          <w:rFonts w:ascii="Arial" w:hAnsi="Arial"/>
          <w:color w:val="555E6B"/>
        </w:rPr>
        <w:t xml:space="preserve"> Resolve the failed and unresolved factors by 18 September 2026. A partner could help; none is committed. Confirm whether the buyer accepts partner experience.</w:t>
      </w:r>
    </w:p>
    <w:p>
      <w:pPr>
        <w:pStyle w:val="Heading1"/>
      </w:pPr>
      <w:r>
        <w:rPr>
          <w:rFonts w:ascii="Arial" w:hAnsi="Arial"/>
          <w:color w:val="000000"/>
        </w:rPr>
        <w:t>Decision factors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1771"/>
        <w:gridCol w:w="1584"/>
        <w:gridCol w:w="4997"/>
        <w:gridCol w:w="1728"/>
      </w:tblGrid>
      <w:tr>
        <w:trPr>
          <w:cantSplit/>
          <w:tblHeader/>
        </w:trPr>
        <w:tc>
          <w:tcPr>
            <w:tcW w:type="dxa" w:w="1771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1584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4997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Decision impact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Staffing coverage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Fail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50 of 90 hours/week; 40-hour gap. Updates every 20 minutes, 6 a.m.–9 p.m., Monday–Saturday. Urgent and backup coverage is uncommitted.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pp4-6]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Tools and data rights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Fail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 of 5 required tools/platforms available. Publication coverage, export rights and supplier/AI terms are unverified.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pp4-5,23-31]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Relevant experience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Three Panama years versus five requested. Confirm whether international or partner experience qualifies.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pp4,32]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Security evidence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No questionnaire or accepted alternative assessment. Confirm critical-software attestation applicability and supplier security evidence.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pp32,36-37]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hyperlink r:id="rId16" w:history="1">
              <w:r>
                <w:rPr>
                  <w:rFonts w:ascii="Arial" w:hAnsi="Arial"/>
                  <w:color w:val="126B80"/>
                  <w:sz w:val="21"/>
                </w:rPr>
                <w:t>[S4]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SAM registration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Current registration proof is missing. Registration is required at submission.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margin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delivery cost are incomplete. Include unlimited topics and urgent work; test 15% margin on sales and cash needs.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pp3,5-6]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Submission readiness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Unresolved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Required service samples and the signed offer package are incomplete. Scope questions remain open.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pp32-33]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Staff qualifications</w:t>
            </w:r>
          </w:p>
        </w:tc>
        <w:tc>
          <w:tcPr>
            <w:tcW w:type="dxa" w:w="1584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  <w:jc w:val="center"/>
            </w:pPr>
            <w:r>
              <w:rPr>
                <w:rFonts w:ascii="Arial" w:hAnsi="Arial"/>
                <w:color w:val="20252D"/>
                <w:sz w:val="21"/>
              </w:rPr>
              <w:t>Pass</w:t>
            </w:r>
          </w:p>
        </w:tc>
        <w:tc>
          <w:tcPr>
            <w:tcW w:type="dxa" w:w="4997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Bilingual manager; analysts with five and seven years of experience. Availability is addressed above.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pp4,32]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r>
              <w:rPr>
                <w:rFonts w:ascii="Arial" w:hAnsi="Arial"/>
                <w:color w:val="555E6B"/>
                <w:sz w:val="21"/>
              </w:rPr>
              <w:t>[B1]</w:t>
            </w:r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ource"/>
        <w:spacing w:after="0"/>
      </w:pPr>
      <w:r>
        <w:rPr>
          <w:rFonts w:ascii="Arial" w:hAnsi="Arial"/>
          <w:color w:val="20252D"/>
        </w:rPr>
        <w:t xml:space="preserve">Award is based on the lowest technically acceptable price. Extra features cannot offset unmet requirements. Price the full one-year service, including urgent reports and changing topics. </w:t>
      </w:r>
      <w:hyperlink r:id="rId15" w:history="1">
        <w:r>
          <w:rPr>
            <w:rFonts w:ascii="Arial" w:hAnsi="Arial"/>
            <w:color w:val="126B80"/>
          </w:rPr>
          <w:t>[S1 pp2-6,36-37]</w:t>
        </w:r>
      </w:hyperlink>
      <w:r>
        <w:rPr>
          <w:rFonts w:ascii="Arial" w:hAnsi="Arial"/>
          <w:color w:val="20252D"/>
        </w:rPr>
      </w:r>
    </w:p>
    <w:p>
      <w:pPr>
        <w:pStyle w:val="Heading1"/>
        <w:pageBreakBefore/>
      </w:pPr>
      <w:r>
        <w:rPr>
          <w:rFonts w:ascii="Arial" w:hAnsi="Arial"/>
          <w:color w:val="000000"/>
        </w:rPr>
        <w:t>Next actions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7848"/>
        <w:gridCol w:w="2232"/>
      </w:tblGrid>
      <w:tr>
        <w:trPr>
          <w:cantSplit/>
          <w:tblHeader/>
        </w:trPr>
        <w:tc>
          <w:tcPr>
            <w:tcW w:type="dxa" w:w="784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223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Due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Submit the source questions before the question deadline.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14 Sep 2026, before 10 a.m. Panama local time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Obtain current SAM registration proof.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16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Price and commit coverage for 90 hours/week, urgent reports and backup staff.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Secure 5 qualifying tools/platforms and verify data rights; confirm experience and obtain supplier or partner quotes.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Complete the security questionnaire or permitted alternative; confirm attestation and AI-related obligations.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Complete the price, margin and cash-flow review; prepare samples and the full offer package.</w:t>
            </w:r>
          </w:p>
        </w:tc>
        <w:tc>
          <w:tcPr>
            <w:tcW w:type="dxa" w:w="223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17 Sep 2026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Reassess the recommendation using updated evidence and record the management decision.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  <w:t>18 Sep 2026</w:t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Small"/>
        <w:spacing w:after="80"/>
      </w:pPr>
      <w:r>
        <w:rPr>
          <w:rFonts w:ascii="Arial" w:hAnsi="Arial"/>
          <w:color w:val="555E6B"/>
        </w:rPr>
        <w:t>Recorded decision: Not recorded | Date: Not recorded</w:t>
      </w:r>
    </w:p>
    <w:p>
      <w:pPr>
        <w:pStyle w:val="Heading1"/>
        <w:pageBreakBefore/>
      </w:pPr>
      <w:r>
        <w:rPr>
          <w:rFonts w:ascii="Arial" w:hAnsi="Arial"/>
          <w:color w:val="000000"/>
        </w:rPr>
        <w:t>Source questions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20" w:type="dxa"/>
          <w:right w:w="120" w:type="dxa"/>
        </w:tblCellMar>
      </w:tblPr>
      <w:tblGrid>
        <w:gridCol w:w="8352"/>
        <w:gridCol w:w="1728"/>
      </w:tblGrid>
      <w:tr>
        <w:trPr>
          <w:cantSplit/>
          <w:tblHeader/>
        </w:trPr>
        <w:tc>
          <w:tcPr>
            <w:tcW w:type="dxa" w:w="8352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728"/>
            <w:vAlign w:val="center"/>
            <w:shd w:fill="19253D"/>
          </w:tcPr>
          <w:p>
            <w:pPr>
              <w:keepNext/>
              <w:widowControl/>
              <w:spacing w:before="0" w:after="0" w:line="25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Citation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Would the buyer accept fewer than five tools/platforms?</w:t>
            </w:r>
            <w:r>
              <w:rPr>
                <w:rFonts w:ascii="Arial" w:hAnsi="Arial"/>
                <w:color w:val="20252D"/>
                <w:sz w:val="21"/>
              </w:rPr>
              <w:t xml:space="preserve"> The written minimum is five; covering five networks alone does not meet it. Confirm any permitted alternative in writing.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Can international or partner experience qualify?</w:t>
            </w:r>
            <w:r>
              <w:rPr>
                <w:rFonts w:ascii="Arial" w:hAnsi="Arial"/>
                <w:color w:val="20252D"/>
                <w:sz w:val="21"/>
              </w:rPr>
              <w:t xml:space="preserve"> Reconcile the five-year Panama requirement with the permission to supply international references.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pp4,32]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Which security documents apply?</w:t>
            </w:r>
            <w:r>
              <w:rPr>
                <w:rFonts w:ascii="Arial" w:hAnsi="Arial"/>
                <w:color w:val="20252D"/>
                <w:sz w:val="21"/>
              </w:rPr>
              <w:t xml:space="preserve"> Confirm the questionnaire labeled Attachment 1, B and A, and whether critical-software attestation applies.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pp32,36-37,42]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hyperlink r:id="rId16" w:history="1">
              <w:r>
                <w:rPr>
                  <w:rFonts w:ascii="Arial" w:hAnsi="Arial"/>
                  <w:color w:val="126B80"/>
                  <w:sz w:val="21"/>
                </w:rPr>
                <w:t>[S4]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Are focus groups and polling in scope?</w:t>
            </w:r>
            <w:r>
              <w:rPr>
                <w:rFonts w:ascii="Arial" w:hAnsi="Arial"/>
                <w:color w:val="20252D"/>
                <w:sz w:val="21"/>
              </w:rPr>
              <w:t xml:space="preserve"> The submission instructions mention both; the social-listening scope does not explain them.</w:t>
            </w:r>
          </w:p>
        </w:tc>
        <w:tc>
          <w:tcPr>
            <w:tcW w:type="dxa" w:w="1728"/>
            <w:vAlign w:val="center"/>
            <w:shd w:fill="F1F6F8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5" w:history="1">
              <w:r>
                <w:rPr>
                  <w:rFonts w:ascii="Arial" w:hAnsi="Arial"/>
                  <w:color w:val="126B80"/>
                  <w:sz w:val="21"/>
                </w:rPr>
                <w:t>[S1 p33]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r>
              <w:rPr>
                <w:rFonts w:ascii="Arial" w:hAnsi="Arial"/>
                <w:b/>
                <w:color w:val="20252D"/>
                <w:sz w:val="21"/>
              </w:rPr>
              <w:t>Which submission time controls?</w:t>
            </w:r>
            <w:r>
              <w:rPr>
                <w:rFonts w:ascii="Arial" w:hAnsi="Arial"/>
                <w:color w:val="20252D"/>
                <w:sz w:val="21"/>
              </w:rPr>
              <w:t xml:space="preserve"> The signed cover letter and SF1449 state 10 a.m. Panama local time (15:00 UTC); GovTribe indexes 14:00 UTC.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before="0" w:after="0" w:line="250" w:lineRule="auto"/>
            </w:pPr>
            <w:r>
              <w:rPr>
                <w:rFonts w:ascii="Arial" w:hAnsi="Arial"/>
                <w:color w:val="20252D"/>
                <w:sz w:val="21"/>
              </w:rPr>
            </w:r>
            <w:hyperlink r:id="rId13" w:history="1">
              <w:r>
                <w:rPr>
                  <w:rFonts w:ascii="Arial" w:hAnsi="Arial"/>
                  <w:color w:val="126B80"/>
                  <w:sz w:val="21"/>
                </w:rPr>
                <w:t>[S2 p1]</w:t>
              </w:r>
            </w:hyperlink>
            <w:r>
              <w:rPr>
                <w:rFonts w:ascii="Arial" w:hAnsi="Arial"/>
                <w:color w:val="20252D"/>
                <w:sz w:val="21"/>
              </w:rPr>
              <w:t xml:space="preserve"> </w:t>
            </w:r>
            <w:hyperlink r:id="rId14" w:history="1">
              <w:r>
                <w:rPr>
                  <w:rFonts w:ascii="Arial" w:hAnsi="Arial"/>
                  <w:color w:val="126B80"/>
                  <w:sz w:val="21"/>
                </w:rPr>
                <w:t>[S3 block8]</w:t>
              </w:r>
            </w:hyperlink>
            <w:r>
              <w:rPr>
                <w:rFonts w:ascii="Arial" w:hAnsi="Arial"/>
                <w:color w:val="20252D"/>
                <w:sz w:val="21"/>
              </w:rPr>
            </w:r>
          </w:p>
        </w:tc>
      </w:tr>
    </w:tbl>
    <w:p>
      <w:pPr>
        <w:spacing w:after="0" w:before="0" w:line="80" w:lineRule="exact"/>
      </w:pPr>
      <w:r>
        <w:rPr>
          <w:rFonts w:ascii="Arial" w:hAnsi="Arial"/>
          <w:color w:val="20252D"/>
          <w:sz w:val="6"/>
        </w:rPr>
      </w:r>
    </w:p>
    <w:p>
      <w:pPr>
        <w:pStyle w:val="Heading2"/>
      </w:pPr>
      <w:r>
        <w:rPr>
          <w:rFonts w:ascii="Arial" w:hAnsi="Arial"/>
          <w:color w:val="000000"/>
        </w:rPr>
        <w:t>Source register</w:t>
      </w:r>
    </w:p>
    <w:p>
      <w:pPr>
        <w:pStyle w:val="ListBullet"/>
      </w:pPr>
      <w:hyperlink r:id="rId15" w:history="1">
        <w:r>
          <w:rPr>
            <w:rFonts w:ascii="Arial" w:hAnsi="Arial"/>
            <w:color w:val="126B80"/>
            <w:sz w:val="19"/>
          </w:rPr>
          <w:t>S1  Social Listening Dashboard and Strategic Intelligence Service RFQ</w:t>
        </w:r>
      </w:hyperlink>
      <w:r>
        <w:rPr>
          <w:rFonts w:ascii="Arial" w:hAnsi="Arial"/>
          <w:color w:val="20252D"/>
          <w:sz w:val="19"/>
        </w:rPr>
        <w:t>. 19PM0726Q0031, issued 10 September 2026. Page citations use the printed 1-42 numbering.</w:t>
      </w:r>
    </w:p>
    <w:p>
      <w:pPr>
        <w:pStyle w:val="ListBullet"/>
      </w:pPr>
      <w:hyperlink r:id="rId13" w:history="1">
        <w:r>
          <w:rPr>
            <w:rFonts w:ascii="Arial" w:hAnsi="Arial"/>
            <w:color w:val="126B80"/>
            <w:sz w:val="19"/>
          </w:rPr>
          <w:t>S2  Signed cover letter</w:t>
        </w:r>
      </w:hyperlink>
      <w:r>
        <w:rPr>
          <w:rFonts w:ascii="Arial" w:hAnsi="Arial"/>
          <w:color w:val="20252D"/>
          <w:sz w:val="19"/>
        </w:rPr>
        <w:t>. 10 September 2026, p. 1. Question and quotation deadlines, submission format and SAM registration.</w:t>
      </w:r>
    </w:p>
    <w:p>
      <w:pPr>
        <w:pStyle w:val="ListBullet"/>
      </w:pPr>
      <w:hyperlink r:id="rId14" w:history="1">
        <w:r>
          <w:rPr>
            <w:rFonts w:ascii="Arial" w:hAnsi="Arial"/>
            <w:color w:val="126B80"/>
            <w:sz w:val="19"/>
          </w:rPr>
          <w:t>S3  SF1449 cover form</w:t>
        </w:r>
      </w:hyperlink>
      <w:r>
        <w:rPr>
          <w:rFonts w:ascii="Arial" w:hAnsi="Arial"/>
          <w:color w:val="20252D"/>
          <w:sz w:val="19"/>
        </w:rPr>
        <w:t>. 10 September 2026. Blocks 8 and 10 identify the deadline and unrestricted acquisition.</w:t>
      </w:r>
    </w:p>
    <w:p>
      <w:pPr>
        <w:pStyle w:val="ListBullet"/>
      </w:pPr>
      <w:hyperlink r:id="rId16" w:history="1">
        <w:r>
          <w:rPr>
            <w:rFonts w:ascii="Arial" w:hAnsi="Arial"/>
            <w:color w:val="126B80"/>
            <w:sz w:val="19"/>
          </w:rPr>
          <w:t>S4  Cybersecurity supply chain risk management questionnaire</w:t>
        </w:r>
      </w:hyperlink>
      <w:r>
        <w:rPr>
          <w:rFonts w:ascii="Arial" w:hAnsi="Arial"/>
          <w:color w:val="20252D"/>
          <w:sz w:val="19"/>
        </w:rPr>
        <w:t>. Attachment A. C-SCRM Questionnaire sheet, instructions A2 and sections 2-3. Retrieved 11 September 2026.</w:t>
      </w:r>
    </w:p>
    <w:p>
      <w:pPr>
        <w:pStyle w:val="Heading2"/>
      </w:pPr>
      <w:r>
        <w:rPr>
          <w:rFonts w:ascii="Arial" w:hAnsi="Arial"/>
          <w:color w:val="000000"/>
        </w:rPr>
        <w:t xml:space="preserve">Company assumptions </w:t>
      </w:r>
      <w:r>
        <w:rPr>
          <w:rFonts w:ascii="Arial" w:hAnsi="Arial"/>
          <w:color w:val="555E6B"/>
        </w:rPr>
        <w:t>[B1]</w:t>
      </w:r>
      <w:r>
        <w:rPr>
          <w:rFonts w:ascii="Arial" w:hAnsi="Arial"/>
          <w:color w:val="000000"/>
        </w:rPr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Experience:</w:t>
      </w:r>
      <w:r>
        <w:rPr>
          <w:rFonts w:ascii="Arial" w:hAnsi="Arial"/>
          <w:color w:val="20252D"/>
        </w:rPr>
        <w:t xml:space="preserve"> Seven years of regional analytics work, including three in Panama; no real contract references or committed partner are asserted.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Team and platforms:</w:t>
      </w:r>
      <w:r>
        <w:rPr>
          <w:rFonts w:ascii="Arial" w:hAnsi="Arial"/>
          <w:color w:val="20252D"/>
        </w:rPr>
        <w:t xml:space="preserve"> Bilingual manager; analysts with five and seven years of experience; current coverage of 50 hours/week; 1 committed tool/platform covering the five named networks.</w:t>
      </w:r>
    </w:p>
    <w:p>
      <w:pPr>
        <w:pStyle w:val="ListBullet"/>
      </w:pPr>
      <w:r>
        <w:rPr>
          <w:rFonts w:ascii="Arial" w:hAnsi="Arial"/>
          <w:color w:val="20252D"/>
        </w:rPr>
      </w:r>
      <w:r>
        <w:rPr>
          <w:rFonts w:ascii="Arial" w:hAnsi="Arial"/>
          <w:b/>
          <w:color w:val="20252D"/>
        </w:rPr>
        <w:t>Company policy:</w:t>
      </w:r>
      <w:r>
        <w:rPr>
          <w:rFonts w:ascii="Arial" w:hAnsi="Arial"/>
          <w:color w:val="20252D"/>
        </w:rPr>
        <w:t xml:space="preserve"> 15% minimum margin on sales. Capability and cost assumptions are illustrative and dated 11 September 2026; no management approval is recorded.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238" w:right="1080" w:bottom="1008" w:left="1080" w:header="475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E6B"/>
        <w:sz w:val="16"/>
      </w:rPr>
      <w:t xml:space="preserve">Page </w:t>
    </w:r>
    <w:r>
      <w:rPr>
        <w:rFonts w:ascii="Arial" w:hAnsi="Arial"/>
        <w:color w:val="555E6B"/>
        <w:sz w:val="16"/>
      </w:rPr>
      <w:fldChar w:fldCharType="begin"/>
      <w:instrText xml:space="preserve"> PAGE </w:instrText>
      <w:fldChar w:fldCharType="separate"/>
    </w:r>
    <w:r>
      <w:rPr>
        <w:rFonts w:ascii="Arial" w:hAnsi="Arial"/>
        <w:color w:val="555E6B"/>
        <w:sz w:val="16"/>
      </w:rPr>
      <w:t>1</w:t>
    </w:r>
    <w:r>
      <w:rPr>
        <w:rFonts w:ascii="Arial" w:hAnsi="Arial"/>
        <w:color w:val="555E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line="240" w:lineRule="auto" w:after="0"/>
    </w:pPr>
    <w:r>
      <w:drawing>
        <wp:inline xmlns:a="http://schemas.openxmlformats.org/drawingml/2006/main" xmlns:pic="http://schemas.openxmlformats.org/drawingml/2006/picture">
          <wp:extent cx="1234440" cy="144532"/>
          <wp:docPr id="1" name="Picture 1" descr="Official GovTrib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vtribe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1445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34465B"/>
        <w:sz w:val="18"/>
      </w:rPr>
      <w:t xml:space="preserve">    GovTribe, Inc.  ·  UEI EDJBUPNLCCL5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i w:val="0"/>
      <w:color w:val="20252D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/>
    </w:pPr>
    <w:rPr>
      <w:rFonts w:ascii="Arial" w:hAnsi="Arial"/>
      <w:i w:val="0"/>
      <w:color w:val="000000"/>
      <w:sz w:val="16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2" w:lineRule="auto"/>
      <w:contextualSpacing w:val="0"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line="252" w:lineRule="auto" w:after="120"/>
    </w:pPr>
    <w:rPr>
      <w:color w:val="555E6B"/>
      <w:sz w:val="18"/>
    </w:rPr>
  </w:style>
  <w:style w:type="paragraph" w:customStyle="1" w:styleId="Source">
    <w:name w:val="Source"/>
    <w:basedOn w:val="Normal"/>
    <w:pPr>
      <w:spacing w:line="252" w:lineRule="auto" w:after="120"/>
    </w:pPr>
    <w:rPr>
      <w:color w:val="555E6B"/>
      <w:sz w:val="19"/>
    </w:rPr>
  </w:style>
  <w:style w:type="paragraph" w:customStyle="1" w:styleId="Small">
    <w:name w:val="Small"/>
    <w:basedOn w:val="Normal"/>
    <w:pPr>
      <w:spacing w:line="252" w:lineRule="auto" w:after="120"/>
    </w:pPr>
    <w:rPr>
      <w:color w:val="555E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ovtribe.com/file/government-file/26q0031-coverletter-socialstrategicservices-dot-pdf" TargetMode="External"/><Relationship Id="rId14" Type="http://schemas.openxmlformats.org/officeDocument/2006/relationships/hyperlink" Target="https://govtribe.com/file/government-file/rfq26q0031-sf1449-coverpage-dot-pdf" TargetMode="External"/><Relationship Id="rId15" Type="http://schemas.openxmlformats.org/officeDocument/2006/relationships/hyperlink" Target="https://govtribe.com/file/government-file/rfq26q0031-sociallisteningstrategicservice-dot-pdf" TargetMode="External"/><Relationship Id="rId16" Type="http://schemas.openxmlformats.org/officeDocument/2006/relationships/hyperlink" Target="https://govtribe.com/file/government-file/26q0031-attachment-a-c-scrmquestionnaire-dot-xls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/ No-Bid Assessment for Panama Social Listening Services</dc:title>
  <dc:subject>Bid decision, eligibility and delivery gates, commercial assessment, actions and sources</dc:subject>
  <dc:creator>GovTribe, Inc.</dc:creator>
  <cp:keywords>bid no bid, reusable template, review draft</cp:keywords>
  <dc:description>Real procurement; GovTribe identity. Illustrative company capabilities and pursuit assumptions. Local sample, not a submitted quotation or management approval.</dc:description>
  <cp:lastModifiedBy>GovTribe, Inc.</cp:lastModifiedBy>
  <cp:revision>1</cp:revision>
  <dcterms:created xsi:type="dcterms:W3CDTF">2013-12-23T23:15:00Z</dcterms:created>
  <dcterms:modified xsi:type="dcterms:W3CDTF">2013-12-23T23:15:00Z</dcterms:modified>
  <cp:category/>
</cp:coreProperties>
</file>