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" w:hAnsi="Arial"/>
          <w:color w:val="000000"/>
        </w:rPr>
        <w:t>NIST SRD License Key System</w:t>
      </w:r>
    </w:p>
    <w:p>
      <w:pPr>
        <w:pStyle w:val="Subtitle"/>
      </w:pPr>
      <w:r>
        <w:rPr>
          <w:rFonts w:ascii="Arial" w:hAnsi="Arial"/>
          <w:color w:val="000000"/>
        </w:rPr>
        <w:t>Opportunity Brief</w:t>
      </w:r>
    </w:p>
    <w:p>
      <w:pPr>
        <w:pStyle w:val="Meta"/>
      </w:pPr>
      <w:r>
        <w:rPr>
          <w:rFonts w:ascii="Arial" w:hAnsi="Arial"/>
          <w:color w:val="555E6B"/>
        </w:rPr>
        <w:t>NIST · Material Data Division, Material Measurement Laboratory  |  As of 11 September 2026</w:t>
      </w:r>
    </w:p>
    <w:p>
      <w:pPr>
        <w:pStyle w:val="Heading2"/>
      </w:pPr>
      <w:r>
        <w:rPr>
          <w:rFonts w:ascii="Arial" w:hAnsi="Arial"/>
          <w:color w:val="000000"/>
        </w:rPr>
        <w:t>What NIST is buying</w:t>
      </w:r>
    </w:p>
    <w:p>
      <w:r>
        <w:rPr>
          <w:rFonts w:ascii="Arial" w:hAnsi="Arial"/>
          <w:color w:val="20252D"/>
        </w:rPr>
        <w:t xml:space="preserve">NIST is acquiring its first Standard Reference Data licensing system to control post-delivery access, enforce geographic restrictions and track distributor sales. Initial priority: about 20 paid products with 100 SKUs, within roughly 80 products overall. </w:t>
      </w:r>
      <w:hyperlink r:id="rId13" w:history="1">
        <w:r>
          <w:rPr>
            <w:rFonts w:ascii="Arial" w:hAnsi="Arial"/>
            <w:color w:val="126B80"/>
          </w:rPr>
          <w:t>[S2 p1]</w:t>
        </w:r>
      </w:hyperlink>
      <w:r>
        <w:rPr>
          <w:rFonts w:ascii="Arial" w:hAnsi="Arial"/>
          <w:color w:val="20252D"/>
        </w:rPr>
        <w:t xml:space="preserve"> </w:t>
      </w:r>
      <w:hyperlink r:id="rId14" w:history="1">
        <w:r>
          <w:rPr>
            <w:rFonts w:ascii="Arial" w:hAnsi="Arial"/>
            <w:color w:val="126B80"/>
          </w:rPr>
          <w:t>[S3]</w:t>
        </w:r>
      </w:hyperlink>
      <w:r>
        <w:rPr>
          <w:rFonts w:ascii="Arial" w:hAnsi="Arial"/>
          <w:color w:val="20252D"/>
        </w:rPr>
      </w:r>
    </w:p>
    <w:p>
      <w:pPr>
        <w:pStyle w:val="Heading2"/>
      </w:pPr>
      <w:r>
        <w:rPr>
          <w:rFonts w:ascii="Arial" w:hAnsi="Arial"/>
          <w:color w:val="000000"/>
        </w:rPr>
        <w:t>Opportunity at a glance</w:t>
      </w: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5" w:type="dxa"/>
          <w:bottom w:w="65" w:type="dxa"/>
          <w:left w:w="120" w:type="dxa"/>
          <w:right w:w="120" w:type="dxa"/>
        </w:tblCellMar>
      </w:tblPr>
      <w:tblGrid>
        <w:gridCol w:w="1699"/>
        <w:gridCol w:w="6653"/>
        <w:gridCol w:w="1728"/>
      </w:tblGrid>
      <w:tr>
        <w:trPr>
          <w:cantSplit/>
          <w:tblHeader/>
        </w:trPr>
        <w:tc>
          <w:tcPr>
            <w:tcW w:type="dxa" w:w="1699"/>
            <w:vAlign w:val="center"/>
            <w:shd w:fill="19253D"/>
          </w:tcPr>
          <w:p>
            <w:pPr>
              <w:keepNext/>
              <w:widowControl/>
              <w:spacing w:before="0" w:after="0" w:line="250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Item</w:t>
            </w:r>
          </w:p>
        </w:tc>
        <w:tc>
          <w:tcPr>
            <w:tcW w:type="dxa" w:w="6653"/>
            <w:vAlign w:val="center"/>
            <w:shd w:fill="19253D"/>
          </w:tcPr>
          <w:p>
            <w:pPr>
              <w:keepNext/>
              <w:widowControl/>
              <w:spacing w:before="0" w:after="0" w:line="250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Details</w:t>
            </w:r>
          </w:p>
        </w:tc>
        <w:tc>
          <w:tcPr>
            <w:tcW w:type="dxa" w:w="1728"/>
            <w:vAlign w:val="center"/>
            <w:shd w:fill="19253D"/>
          </w:tcPr>
          <w:p>
            <w:pPr>
              <w:keepNext/>
              <w:widowControl/>
              <w:spacing w:before="0" w:after="0" w:line="250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Citation</w:t>
            </w:r>
          </w:p>
        </w:tc>
      </w:tr>
      <w:tr>
        <w:trPr>
          <w:cantSplit/>
        </w:trPr>
        <w:tc>
          <w:tcPr>
            <w:tcW w:type="dxa" w:w="1699"/>
            <w:vAlign w:val="center"/>
            <w:shd w:fill="FFFFFF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rial" w:hAnsi="Arial"/>
                <w:color w:val="20252D"/>
                <w:sz w:val="20"/>
              </w:rPr>
              <w:t>Opportunity</w:t>
            </w:r>
          </w:p>
        </w:tc>
        <w:tc>
          <w:tcPr>
            <w:tcW w:type="dxa" w:w="6653"/>
            <w:vAlign w:val="center"/>
            <w:shd w:fill="FFFFFF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rial" w:hAnsi="Arial"/>
                <w:color w:val="20252D"/>
                <w:sz w:val="20"/>
              </w:rPr>
              <w:t>SRD License Key System · 1333ND26QNB640575</w:t>
            </w:r>
          </w:p>
        </w:tc>
        <w:tc>
          <w:tcPr>
            <w:tcW w:type="dxa" w:w="1728"/>
            <w:vAlign w:val="center"/>
            <w:shd w:fill="FFFFFF"/>
          </w:tcPr>
          <w:p>
            <w:pPr>
              <w:keepNext w:val="0"/>
              <w:widowControl/>
              <w:spacing w:before="0" w:after="0" w:line="250" w:lineRule="auto"/>
              <w:jc w:val="center"/>
            </w:pPr>
            <w:r>
              <w:rPr>
                <w:rFonts w:ascii="Arial" w:hAnsi="Arial"/>
                <w:color w:val="20252D"/>
                <w:sz w:val="20"/>
              </w:rPr>
            </w:r>
            <w:hyperlink r:id="rId15" w:history="1">
              <w:r>
                <w:rPr>
                  <w:rFonts w:ascii="Arial" w:hAnsi="Arial"/>
                  <w:color w:val="126B80"/>
                  <w:sz w:val="20"/>
                </w:rPr>
                <w:t>[S1 p1]</w:t>
              </w:r>
            </w:hyperlink>
            <w:r>
              <w:rPr>
                <w:rFonts w:ascii="Arial" w:hAnsi="Arial"/>
                <w:color w:val="20252D"/>
                <w:sz w:val="20"/>
              </w:rPr>
            </w:r>
          </w:p>
        </w:tc>
      </w:tr>
      <w:tr>
        <w:trPr>
          <w:cantSplit/>
        </w:trPr>
        <w:tc>
          <w:tcPr>
            <w:tcW w:type="dxa" w:w="1699"/>
            <w:vAlign w:val="center"/>
            <w:shd w:fill="F1F6F8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rial" w:hAnsi="Arial"/>
                <w:color w:val="20252D"/>
                <w:sz w:val="20"/>
              </w:rPr>
              <w:t>Notice type</w:t>
            </w:r>
          </w:p>
        </w:tc>
        <w:tc>
          <w:tcPr>
            <w:tcW w:type="dxa" w:w="6653"/>
            <w:vAlign w:val="center"/>
            <w:shd w:fill="F1F6F8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rial" w:hAnsi="Arial"/>
                <w:color w:val="20252D"/>
                <w:sz w:val="20"/>
              </w:rPr>
              <w:t>Solicitation / request for quotation</w:t>
            </w:r>
          </w:p>
        </w:tc>
        <w:tc>
          <w:tcPr>
            <w:tcW w:type="dxa" w:w="1728"/>
            <w:vAlign w:val="center"/>
            <w:shd w:fill="F1F6F8"/>
          </w:tcPr>
          <w:p>
            <w:pPr>
              <w:keepNext w:val="0"/>
              <w:widowControl/>
              <w:spacing w:before="0" w:after="0" w:line="250" w:lineRule="auto"/>
              <w:jc w:val="center"/>
            </w:pPr>
            <w:r>
              <w:rPr>
                <w:rFonts w:ascii="Arial" w:hAnsi="Arial"/>
                <w:color w:val="20252D"/>
                <w:sz w:val="20"/>
              </w:rPr>
            </w:r>
            <w:hyperlink r:id="rId15" w:history="1">
              <w:r>
                <w:rPr>
                  <w:rFonts w:ascii="Arial" w:hAnsi="Arial"/>
                  <w:color w:val="126B80"/>
                  <w:sz w:val="20"/>
                </w:rPr>
                <w:t>[S1 p1]</w:t>
              </w:r>
            </w:hyperlink>
            <w:r>
              <w:rPr>
                <w:rFonts w:ascii="Arial" w:hAnsi="Arial"/>
                <w:color w:val="20252D"/>
                <w:sz w:val="20"/>
              </w:rPr>
            </w:r>
          </w:p>
        </w:tc>
      </w:tr>
      <w:tr>
        <w:trPr>
          <w:cantSplit/>
        </w:trPr>
        <w:tc>
          <w:tcPr>
            <w:tcW w:type="dxa" w:w="1699"/>
            <w:vAlign w:val="center"/>
            <w:shd w:fill="FFFFFF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rial" w:hAnsi="Arial"/>
                <w:color w:val="20252D"/>
                <w:sz w:val="20"/>
              </w:rPr>
              <w:t>Status</w:t>
            </w:r>
          </w:p>
        </w:tc>
        <w:tc>
          <w:tcPr>
            <w:tcW w:type="dxa" w:w="6653"/>
            <w:vAlign w:val="center"/>
            <w:shd w:fill="FFFFFF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rial" w:hAnsi="Arial"/>
                <w:color w:val="20252D"/>
                <w:sz w:val="20"/>
              </w:rPr>
              <w:t>Updated solicitation; response window open as of this brief</w:t>
            </w:r>
          </w:p>
        </w:tc>
        <w:tc>
          <w:tcPr>
            <w:tcW w:type="dxa" w:w="1728"/>
            <w:vAlign w:val="center"/>
            <w:shd w:fill="FFFFFF"/>
          </w:tcPr>
          <w:p>
            <w:pPr>
              <w:keepNext w:val="0"/>
              <w:widowControl/>
              <w:spacing w:before="0" w:after="0" w:line="250" w:lineRule="auto"/>
              <w:jc w:val="center"/>
            </w:pPr>
            <w:r>
              <w:rPr>
                <w:rFonts w:ascii="Arial" w:hAnsi="Arial"/>
                <w:color w:val="20252D"/>
                <w:sz w:val="20"/>
              </w:rPr>
            </w:r>
            <w:hyperlink r:id="rId16" w:history="1">
              <w:r>
                <w:rPr>
                  <w:rFonts w:ascii="Arial" w:hAnsi="Arial"/>
                  <w:color w:val="126B80"/>
                  <w:sz w:val="20"/>
                </w:rPr>
                <w:t>[S5]</w:t>
              </w:r>
            </w:hyperlink>
            <w:r>
              <w:rPr>
                <w:rFonts w:ascii="Arial" w:hAnsi="Arial"/>
                <w:color w:val="20252D"/>
                <w:sz w:val="20"/>
              </w:rPr>
            </w:r>
          </w:p>
        </w:tc>
      </w:tr>
      <w:tr>
        <w:trPr>
          <w:cantSplit/>
        </w:trPr>
        <w:tc>
          <w:tcPr>
            <w:tcW w:type="dxa" w:w="1699"/>
            <w:vAlign w:val="center"/>
            <w:shd w:fill="F1F6F8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rial" w:hAnsi="Arial"/>
                <w:color w:val="20252D"/>
                <w:sz w:val="20"/>
              </w:rPr>
              <w:t>Response window</w:t>
            </w:r>
          </w:p>
        </w:tc>
        <w:tc>
          <w:tcPr>
            <w:tcW w:type="dxa" w:w="6653"/>
            <w:vAlign w:val="center"/>
            <w:shd w:fill="F1F6F8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rial" w:hAnsi="Arial"/>
                <w:color w:val="20252D"/>
                <w:sz w:val="20"/>
              </w:rPr>
              <w:t>15 September 2026; time-zone wording requires confirmation (see Sources)</w:t>
            </w:r>
          </w:p>
        </w:tc>
        <w:tc>
          <w:tcPr>
            <w:tcW w:type="dxa" w:w="1728"/>
            <w:vAlign w:val="center"/>
            <w:shd w:fill="F1F6F8"/>
          </w:tcPr>
          <w:p>
            <w:pPr>
              <w:keepNext w:val="0"/>
              <w:widowControl/>
              <w:spacing w:before="0" w:after="0" w:line="250" w:lineRule="auto"/>
              <w:jc w:val="center"/>
            </w:pPr>
            <w:r>
              <w:rPr>
                <w:rFonts w:ascii="Arial" w:hAnsi="Arial"/>
                <w:color w:val="20252D"/>
                <w:sz w:val="20"/>
              </w:rPr>
            </w:r>
            <w:hyperlink r:id="rId16" w:history="1">
              <w:r>
                <w:rPr>
                  <w:rFonts w:ascii="Arial" w:hAnsi="Arial"/>
                  <w:color w:val="126B80"/>
                  <w:sz w:val="20"/>
                </w:rPr>
                <w:t>[S5]</w:t>
              </w:r>
            </w:hyperlink>
            <w:r>
              <w:rPr>
                <w:rFonts w:ascii="Arial" w:hAnsi="Arial"/>
                <w:color w:val="20252D"/>
                <w:sz w:val="20"/>
              </w:rPr>
            </w:r>
          </w:p>
        </w:tc>
      </w:tr>
      <w:tr>
        <w:trPr>
          <w:cantSplit/>
        </w:trPr>
        <w:tc>
          <w:tcPr>
            <w:tcW w:type="dxa" w:w="1699"/>
            <w:vAlign w:val="center"/>
            <w:shd w:fill="FFFFFF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rial" w:hAnsi="Arial"/>
                <w:color w:val="20252D"/>
                <w:sz w:val="20"/>
              </w:rPr>
              <w:t>Set-aside</w:t>
            </w:r>
          </w:p>
        </w:tc>
        <w:tc>
          <w:tcPr>
            <w:tcW w:type="dxa" w:w="6653"/>
            <w:vAlign w:val="center"/>
            <w:shd w:fill="FFFFFF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rial" w:hAnsi="Arial"/>
                <w:color w:val="20252D"/>
                <w:sz w:val="20"/>
              </w:rPr>
              <w:t>Total small business</w:t>
            </w:r>
          </w:p>
        </w:tc>
        <w:tc>
          <w:tcPr>
            <w:tcW w:type="dxa" w:w="1728"/>
            <w:vAlign w:val="center"/>
            <w:shd w:fill="FFFFFF"/>
          </w:tcPr>
          <w:p>
            <w:pPr>
              <w:keepNext w:val="0"/>
              <w:widowControl/>
              <w:spacing w:before="0" w:after="0" w:line="250" w:lineRule="auto"/>
              <w:jc w:val="center"/>
            </w:pPr>
            <w:r>
              <w:rPr>
                <w:rFonts w:ascii="Arial" w:hAnsi="Arial"/>
                <w:color w:val="20252D"/>
                <w:sz w:val="20"/>
              </w:rPr>
            </w:r>
            <w:hyperlink r:id="rId15" w:history="1">
              <w:r>
                <w:rPr>
                  <w:rFonts w:ascii="Arial" w:hAnsi="Arial"/>
                  <w:color w:val="126B80"/>
                  <w:sz w:val="20"/>
                </w:rPr>
                <w:t>[S1 p1]</w:t>
              </w:r>
            </w:hyperlink>
            <w:r>
              <w:rPr>
                <w:rFonts w:ascii="Arial" w:hAnsi="Arial"/>
                <w:color w:val="20252D"/>
                <w:sz w:val="20"/>
              </w:rPr>
            </w:r>
          </w:p>
        </w:tc>
      </w:tr>
      <w:tr>
        <w:trPr>
          <w:cantSplit/>
        </w:trPr>
        <w:tc>
          <w:tcPr>
            <w:tcW w:type="dxa" w:w="1699"/>
            <w:vAlign w:val="center"/>
            <w:shd w:fill="F1F6F8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rial" w:hAnsi="Arial"/>
                <w:color w:val="20252D"/>
                <w:sz w:val="20"/>
              </w:rPr>
              <w:t>NAICS</w:t>
            </w:r>
          </w:p>
        </w:tc>
        <w:tc>
          <w:tcPr>
            <w:tcW w:type="dxa" w:w="6653"/>
            <w:vAlign w:val="center"/>
            <w:shd w:fill="F1F6F8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rial" w:hAnsi="Arial"/>
                <w:color w:val="20252D"/>
                <w:sz w:val="20"/>
              </w:rPr>
              <w:t>513210 · Software Publishers</w:t>
            </w:r>
          </w:p>
        </w:tc>
        <w:tc>
          <w:tcPr>
            <w:tcW w:type="dxa" w:w="1728"/>
            <w:vAlign w:val="center"/>
            <w:shd w:fill="F1F6F8"/>
          </w:tcPr>
          <w:p>
            <w:pPr>
              <w:keepNext w:val="0"/>
              <w:widowControl/>
              <w:spacing w:before="0" w:after="0" w:line="250" w:lineRule="auto"/>
              <w:jc w:val="center"/>
            </w:pPr>
            <w:r>
              <w:rPr>
                <w:rFonts w:ascii="Arial" w:hAnsi="Arial"/>
                <w:color w:val="20252D"/>
                <w:sz w:val="20"/>
              </w:rPr>
            </w:r>
            <w:hyperlink r:id="rId15" w:history="1">
              <w:r>
                <w:rPr>
                  <w:rFonts w:ascii="Arial" w:hAnsi="Arial"/>
                  <w:color w:val="126B80"/>
                  <w:sz w:val="20"/>
                </w:rPr>
                <w:t>[S1 p1]</w:t>
              </w:r>
            </w:hyperlink>
            <w:r>
              <w:rPr>
                <w:rFonts w:ascii="Arial" w:hAnsi="Arial"/>
                <w:color w:val="20252D"/>
                <w:sz w:val="20"/>
              </w:rPr>
            </w:r>
          </w:p>
        </w:tc>
      </w:tr>
      <w:tr>
        <w:trPr>
          <w:cantSplit/>
        </w:trPr>
        <w:tc>
          <w:tcPr>
            <w:tcW w:type="dxa" w:w="1699"/>
            <w:vAlign w:val="center"/>
            <w:shd w:fill="FFFFFF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rial" w:hAnsi="Arial"/>
                <w:color w:val="20252D"/>
                <w:sz w:val="20"/>
              </w:rPr>
              <w:t>Size standard</w:t>
            </w:r>
          </w:p>
        </w:tc>
        <w:tc>
          <w:tcPr>
            <w:tcW w:type="dxa" w:w="6653"/>
            <w:vAlign w:val="center"/>
            <w:shd w:fill="FFFFFF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rial" w:hAnsi="Arial"/>
                <w:color w:val="20252D"/>
                <w:sz w:val="20"/>
              </w:rPr>
              <w:t>$47 million</w:t>
            </w:r>
          </w:p>
        </w:tc>
        <w:tc>
          <w:tcPr>
            <w:tcW w:type="dxa" w:w="1728"/>
            <w:vAlign w:val="center"/>
            <w:shd w:fill="FFFFFF"/>
          </w:tcPr>
          <w:p>
            <w:pPr>
              <w:keepNext w:val="0"/>
              <w:widowControl/>
              <w:spacing w:before="0" w:after="0" w:line="250" w:lineRule="auto"/>
              <w:jc w:val="center"/>
            </w:pPr>
            <w:r>
              <w:rPr>
                <w:rFonts w:ascii="Arial" w:hAnsi="Arial"/>
                <w:color w:val="20252D"/>
                <w:sz w:val="20"/>
              </w:rPr>
            </w:r>
            <w:hyperlink r:id="rId15" w:history="1">
              <w:r>
                <w:rPr>
                  <w:rFonts w:ascii="Arial" w:hAnsi="Arial"/>
                  <w:color w:val="126B80"/>
                  <w:sz w:val="20"/>
                </w:rPr>
                <w:t>[S1 p1]</w:t>
              </w:r>
            </w:hyperlink>
            <w:r>
              <w:rPr>
                <w:rFonts w:ascii="Arial" w:hAnsi="Arial"/>
                <w:color w:val="20252D"/>
                <w:sz w:val="20"/>
              </w:rPr>
            </w:r>
          </w:p>
        </w:tc>
      </w:tr>
      <w:tr>
        <w:trPr>
          <w:cantSplit/>
        </w:trPr>
        <w:tc>
          <w:tcPr>
            <w:tcW w:type="dxa" w:w="1699"/>
            <w:vAlign w:val="center"/>
            <w:shd w:fill="F1F6F8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rial" w:hAnsi="Arial"/>
                <w:color w:val="20252D"/>
                <w:sz w:val="20"/>
              </w:rPr>
              <w:t>Contract type</w:t>
            </w:r>
          </w:p>
        </w:tc>
        <w:tc>
          <w:tcPr>
            <w:tcW w:type="dxa" w:w="6653"/>
            <w:vAlign w:val="center"/>
            <w:shd w:fill="F1F6F8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rial" w:hAnsi="Arial"/>
                <w:color w:val="20252D"/>
                <w:sz w:val="20"/>
              </w:rPr>
              <w:t>Firm fixed price</w:t>
            </w:r>
          </w:p>
        </w:tc>
        <w:tc>
          <w:tcPr>
            <w:tcW w:type="dxa" w:w="1728"/>
            <w:vAlign w:val="center"/>
            <w:shd w:fill="F1F6F8"/>
          </w:tcPr>
          <w:p>
            <w:pPr>
              <w:keepNext w:val="0"/>
              <w:widowControl/>
              <w:spacing w:before="0" w:after="0" w:line="250" w:lineRule="auto"/>
              <w:jc w:val="center"/>
            </w:pPr>
            <w:r>
              <w:rPr>
                <w:rFonts w:ascii="Arial" w:hAnsi="Arial"/>
                <w:color w:val="20252D"/>
                <w:sz w:val="20"/>
              </w:rPr>
            </w:r>
            <w:hyperlink r:id="rId15" w:history="1">
              <w:r>
                <w:rPr>
                  <w:rFonts w:ascii="Arial" w:hAnsi="Arial"/>
                  <w:color w:val="126B80"/>
                  <w:sz w:val="20"/>
                </w:rPr>
                <w:t>[S1 p1]</w:t>
              </w:r>
            </w:hyperlink>
            <w:r>
              <w:rPr>
                <w:rFonts w:ascii="Arial" w:hAnsi="Arial"/>
                <w:color w:val="20252D"/>
                <w:sz w:val="20"/>
              </w:rPr>
            </w:r>
          </w:p>
        </w:tc>
      </w:tr>
      <w:tr>
        <w:trPr>
          <w:cantSplit/>
        </w:trPr>
        <w:tc>
          <w:tcPr>
            <w:tcW w:type="dxa" w:w="1699"/>
            <w:vAlign w:val="center"/>
            <w:shd w:fill="FFFFFF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rial" w:hAnsi="Arial"/>
                <w:color w:val="20252D"/>
                <w:sz w:val="20"/>
              </w:rPr>
              <w:t>Period</w:t>
            </w:r>
          </w:p>
        </w:tc>
        <w:tc>
          <w:tcPr>
            <w:tcW w:type="dxa" w:w="6653"/>
            <w:vAlign w:val="center"/>
            <w:shd w:fill="FFFFFF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rial" w:hAnsi="Arial"/>
                <w:color w:val="20252D"/>
                <w:sz w:val="20"/>
              </w:rPr>
              <w:t>12-month base and four optional 12-month periods</w:t>
            </w:r>
          </w:p>
        </w:tc>
        <w:tc>
          <w:tcPr>
            <w:tcW w:type="dxa" w:w="1728"/>
            <w:vAlign w:val="center"/>
            <w:shd w:fill="FFFFFF"/>
          </w:tcPr>
          <w:p>
            <w:pPr>
              <w:keepNext w:val="0"/>
              <w:widowControl/>
              <w:spacing w:before="0" w:after="0" w:line="250" w:lineRule="auto"/>
              <w:jc w:val="center"/>
            </w:pPr>
            <w:r>
              <w:rPr>
                <w:rFonts w:ascii="Arial" w:hAnsi="Arial"/>
                <w:color w:val="20252D"/>
                <w:sz w:val="20"/>
              </w:rPr>
            </w:r>
            <w:hyperlink r:id="rId13" w:history="1">
              <w:r>
                <w:rPr>
                  <w:rFonts w:ascii="Arial" w:hAnsi="Arial"/>
                  <w:color w:val="126B80"/>
                  <w:sz w:val="20"/>
                </w:rPr>
                <w:t>[S2 p3]</w:t>
              </w:r>
            </w:hyperlink>
            <w:r>
              <w:rPr>
                <w:rFonts w:ascii="Arial" w:hAnsi="Arial"/>
                <w:color w:val="20252D"/>
                <w:sz w:val="20"/>
              </w:rPr>
            </w:r>
          </w:p>
        </w:tc>
      </w:tr>
      <w:tr>
        <w:trPr>
          <w:cantSplit/>
        </w:trPr>
        <w:tc>
          <w:tcPr>
            <w:tcW w:type="dxa" w:w="1699"/>
            <w:vAlign w:val="center"/>
            <w:shd w:fill="F1F6F8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rial" w:hAnsi="Arial"/>
                <w:color w:val="20252D"/>
                <w:sz w:val="20"/>
              </w:rPr>
              <w:t>Budget</w:t>
            </w:r>
          </w:p>
        </w:tc>
        <w:tc>
          <w:tcPr>
            <w:tcW w:type="dxa" w:w="6653"/>
            <w:vAlign w:val="center"/>
            <w:shd w:fill="F1F6F8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rial" w:hAnsi="Arial"/>
                <w:color w:val="20252D"/>
                <w:sz w:val="20"/>
              </w:rPr>
              <w:t>Not stated in reviewed sources</w:t>
            </w:r>
          </w:p>
        </w:tc>
        <w:tc>
          <w:tcPr>
            <w:tcW w:type="dxa" w:w="1728"/>
            <w:vAlign w:val="center"/>
            <w:shd w:fill="F1F6F8"/>
          </w:tcPr>
          <w:p>
            <w:pPr>
              <w:keepNext w:val="0"/>
              <w:widowControl/>
              <w:spacing w:before="0" w:after="0" w:line="250" w:lineRule="auto"/>
              <w:jc w:val="center"/>
            </w:pPr>
            <w:r>
              <w:rPr>
                <w:rFonts w:ascii="Arial" w:hAnsi="Arial"/>
                <w:color w:val="20252D"/>
                <w:sz w:val="20"/>
              </w:rPr>
            </w:r>
          </w:p>
        </w:tc>
      </w:tr>
      <w:tr>
        <w:trPr>
          <w:cantSplit/>
        </w:trPr>
        <w:tc>
          <w:tcPr>
            <w:tcW w:type="dxa" w:w="1699"/>
            <w:vAlign w:val="center"/>
            <w:shd w:fill="FFFFFF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rial" w:hAnsi="Arial"/>
                <w:color w:val="20252D"/>
                <w:sz w:val="20"/>
              </w:rPr>
              <w:t>Evaluation</w:t>
            </w:r>
          </w:p>
        </w:tc>
        <w:tc>
          <w:tcPr>
            <w:tcW w:type="dxa" w:w="6653"/>
            <w:vAlign w:val="center"/>
            <w:shd w:fill="FFFFFF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rial" w:hAnsi="Arial"/>
                <w:color w:val="20252D"/>
                <w:sz w:val="20"/>
              </w:rPr>
              <w:t>Best value: technical acceptability, past performance and price; not necessarily lowest price</w:t>
            </w:r>
          </w:p>
        </w:tc>
        <w:tc>
          <w:tcPr>
            <w:tcW w:type="dxa" w:w="1728"/>
            <w:vAlign w:val="center"/>
            <w:shd w:fill="FFFFFF"/>
          </w:tcPr>
          <w:p>
            <w:pPr>
              <w:keepNext w:val="0"/>
              <w:widowControl/>
              <w:spacing w:before="0" w:after="0" w:line="250" w:lineRule="auto"/>
              <w:jc w:val="center"/>
            </w:pPr>
            <w:r>
              <w:rPr>
                <w:rFonts w:ascii="Arial" w:hAnsi="Arial"/>
                <w:color w:val="20252D"/>
                <w:sz w:val="20"/>
              </w:rPr>
            </w:r>
            <w:hyperlink r:id="rId15" w:history="1">
              <w:r>
                <w:rPr>
                  <w:rFonts w:ascii="Arial" w:hAnsi="Arial"/>
                  <w:color w:val="126B80"/>
                  <w:sz w:val="20"/>
                </w:rPr>
                <w:t>[S1 p3]</w:t>
              </w:r>
            </w:hyperlink>
            <w:r>
              <w:rPr>
                <w:rFonts w:ascii="Arial" w:hAnsi="Arial"/>
                <w:color w:val="20252D"/>
                <w:sz w:val="20"/>
              </w:rPr>
            </w:r>
          </w:p>
        </w:tc>
      </w:tr>
      <w:tr>
        <w:trPr>
          <w:cantSplit/>
        </w:trPr>
        <w:tc>
          <w:tcPr>
            <w:tcW w:type="dxa" w:w="1699"/>
            <w:vAlign w:val="center"/>
            <w:shd w:fill="F1F6F8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rial" w:hAnsi="Arial"/>
                <w:color w:val="20252D"/>
                <w:sz w:val="20"/>
              </w:rPr>
              <w:t>Notice changes</w:t>
            </w:r>
          </w:p>
        </w:tc>
        <w:tc>
          <w:tcPr>
            <w:tcW w:type="dxa" w:w="6653"/>
            <w:vAlign w:val="center"/>
            <w:shd w:fill="F1F6F8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rial" w:hAnsi="Arial"/>
                <w:color w:val="20252D"/>
                <w:sz w:val="20"/>
              </w:rPr>
              <w:t>8 Sep: deadline extended to 15 Sep. 10 Sep: Q&amp;A added; deadline unchanged.</w:t>
            </w:r>
          </w:p>
        </w:tc>
        <w:tc>
          <w:tcPr>
            <w:tcW w:type="dxa" w:w="1728"/>
            <w:vAlign w:val="center"/>
            <w:shd w:fill="F1F6F8"/>
          </w:tcPr>
          <w:p>
            <w:pPr>
              <w:keepNext w:val="0"/>
              <w:widowControl/>
              <w:spacing w:before="0" w:after="0" w:line="250" w:lineRule="auto"/>
              <w:jc w:val="center"/>
            </w:pPr>
            <w:r>
              <w:rPr>
                <w:rFonts w:ascii="Arial" w:hAnsi="Arial"/>
                <w:color w:val="20252D"/>
                <w:sz w:val="20"/>
              </w:rPr>
            </w:r>
            <w:hyperlink r:id="rId16" w:history="1">
              <w:r>
                <w:rPr>
                  <w:rFonts w:ascii="Arial" w:hAnsi="Arial"/>
                  <w:color w:val="126B80"/>
                  <w:sz w:val="20"/>
                </w:rPr>
                <w:t>[S5]</w:t>
              </w:r>
            </w:hyperlink>
            <w:r>
              <w:rPr>
                <w:rFonts w:ascii="Arial" w:hAnsi="Arial"/>
                <w:color w:val="20252D"/>
                <w:sz w:val="20"/>
              </w:rPr>
            </w:r>
          </w:p>
        </w:tc>
      </w:tr>
      <w:tr>
        <w:trPr>
          <w:cantSplit/>
        </w:trPr>
        <w:tc>
          <w:tcPr>
            <w:tcW w:type="dxa" w:w="1699"/>
            <w:vAlign w:val="center"/>
            <w:shd w:fill="FFFFFF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rial" w:hAnsi="Arial"/>
                <w:color w:val="20252D"/>
                <w:sz w:val="20"/>
              </w:rPr>
              <w:t>Linked contracts</w:t>
            </w:r>
          </w:p>
        </w:tc>
        <w:tc>
          <w:tcPr>
            <w:tcW w:type="dxa" w:w="6653"/>
            <w:vAlign w:val="center"/>
            <w:shd w:fill="FFFFFF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rial" w:hAnsi="Arial"/>
                <w:color w:val="20252D"/>
                <w:sz w:val="20"/>
              </w:rPr>
              <w:t>Exact opportunity and notice-chain searches returned 0 awards and 0 IDVs; related agency work may still exist.</w:t>
            </w:r>
          </w:p>
        </w:tc>
        <w:tc>
          <w:tcPr>
            <w:tcW w:type="dxa" w:w="1728"/>
            <w:vAlign w:val="center"/>
            <w:shd w:fill="FFFFFF"/>
          </w:tcPr>
          <w:p>
            <w:pPr>
              <w:keepNext w:val="0"/>
              <w:widowControl/>
              <w:spacing w:before="0" w:after="0" w:line="250" w:lineRule="auto"/>
              <w:jc w:val="center"/>
            </w:pPr>
            <w:r>
              <w:rPr>
                <w:rFonts w:ascii="Arial" w:hAnsi="Arial"/>
                <w:color w:val="20252D"/>
                <w:sz w:val="20"/>
              </w:rPr>
            </w:r>
            <w:hyperlink r:id="rId17" w:history="1">
              <w:r>
                <w:rPr>
                  <w:rFonts w:ascii="Arial" w:hAnsi="Arial"/>
                  <w:color w:val="126B80"/>
                  <w:sz w:val="20"/>
                </w:rPr>
                <w:t>[S6]</w:t>
              </w:r>
            </w:hyperlink>
            <w:r>
              <w:rPr>
                <w:rFonts w:ascii="Arial" w:hAnsi="Arial"/>
                <w:color w:val="20252D"/>
                <w:sz w:val="20"/>
              </w:rPr>
              <w:t xml:space="preserve"> </w:t>
            </w:r>
            <w:hyperlink r:id="rId18" w:history="1">
              <w:r>
                <w:rPr>
                  <w:rFonts w:ascii="Arial" w:hAnsi="Arial"/>
                  <w:color w:val="126B80"/>
                  <w:sz w:val="20"/>
                </w:rPr>
                <w:t>[S7]</w:t>
              </w:r>
            </w:hyperlink>
            <w:r>
              <w:rPr>
                <w:rFonts w:ascii="Arial" w:hAnsi="Arial"/>
                <w:color w:val="20252D"/>
                <w:sz w:val="20"/>
              </w:rPr>
            </w:r>
          </w:p>
        </w:tc>
      </w:tr>
    </w:tbl>
    <w:p>
      <w:pPr>
        <w:spacing w:after="0" w:before="0" w:line="80" w:lineRule="exact"/>
      </w:pPr>
      <w:r>
        <w:rPr>
          <w:rFonts w:ascii="Arial" w:hAnsi="Arial"/>
          <w:color w:val="20252D"/>
          <w:sz w:val="6"/>
        </w:rPr>
      </w:r>
    </w:p>
    <w:p>
      <w:pPr>
        <w:spacing w:after="0" w:line="20" w:lineRule="exact"/>
      </w:pPr>
      <w:r>
        <w:br w:type="page"/>
      </w:r>
    </w:p>
    <w:p>
      <w:pPr>
        <w:pStyle w:val="Heading1"/>
      </w:pPr>
      <w:r>
        <w:rPr>
          <w:rFonts w:ascii="Arial" w:hAnsi="Arial"/>
          <w:color w:val="000000"/>
        </w:rPr>
        <w:t>Requirements</w:t>
      </w:r>
    </w:p>
    <w:p>
      <w:r>
        <w:rPr>
          <w:rFonts w:ascii="Arial" w:hAnsi="Arial"/>
          <w:color w:val="20252D"/>
        </w:rPr>
        <w:t>Covers all 17 numbered SOW specifications, eligibility, electronic delivery, installation, training, acceptance, warranty and option continuity. Detailed quotation instructions, conditional site-access rules and incorporated clauses remain in the source documents.</w:t>
      </w: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100" w:type="dxa"/>
          <w:bottom w:w="100" w:type="dxa"/>
          <w:left w:w="120" w:type="dxa"/>
          <w:right w:w="120" w:type="dxa"/>
        </w:tblCellMar>
      </w:tblPr>
      <w:tblGrid>
        <w:gridCol w:w="8064"/>
        <w:gridCol w:w="2016"/>
      </w:tblGrid>
      <w:tr>
        <w:trPr>
          <w:cantSplit/>
          <w:tblHeader/>
        </w:trPr>
        <w:tc>
          <w:tcPr>
            <w:tcW w:type="dxa" w:w="8064"/>
            <w:vAlign w:val="center"/>
            <w:shd w:fill="19253D"/>
          </w:tcPr>
          <w:p>
            <w:pPr>
              <w:keepNext/>
              <w:widowControl/>
              <w:spacing w:before="0" w:after="0" w:line="250" w:lineRule="auto"/>
            </w:pPr>
            <w:r>
              <w:rPr>
                <w:rFonts w:ascii="Arial" w:hAnsi="Arial"/>
                <w:b/>
                <w:color w:val="FFFFFF"/>
                <w:sz w:val="21"/>
              </w:rPr>
              <w:t>Requirement</w:t>
            </w:r>
          </w:p>
        </w:tc>
        <w:tc>
          <w:tcPr>
            <w:tcW w:type="dxa" w:w="2016"/>
            <w:vAlign w:val="center"/>
            <w:shd w:fill="19253D"/>
          </w:tcPr>
          <w:p>
            <w:pPr>
              <w:keepNext/>
              <w:widowControl/>
              <w:spacing w:before="0" w:after="0" w:line="250" w:lineRule="auto"/>
              <w:jc w:val="center"/>
            </w:pPr>
            <w:r>
              <w:rPr>
                <w:rFonts w:ascii="Arial" w:hAnsi="Arial"/>
                <w:b/>
                <w:color w:val="FFFFFF"/>
                <w:sz w:val="21"/>
              </w:rPr>
              <w:t>Citation</w:t>
            </w:r>
          </w:p>
        </w:tc>
      </w:tr>
      <w:tr>
        <w:trPr>
          <w:cantSplit/>
        </w:trPr>
        <w:tc>
          <w:tcPr>
            <w:tcW w:type="dxa" w:w="8064"/>
            <w:vAlign w:val="center"/>
            <w:shd w:fill="FFFFFF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rial" w:hAnsi="Arial"/>
                <w:color w:val="20252D"/>
                <w:sz w:val="21"/>
              </w:rPr>
              <w:t>Meet the total small-business set-aside under NAICS 513210 and its $47 million size standard.</w:t>
            </w:r>
          </w:p>
        </w:tc>
        <w:tc>
          <w:tcPr>
            <w:tcW w:type="dxa" w:w="2016"/>
            <w:vAlign w:val="center"/>
            <w:shd w:fill="FFFFFF"/>
          </w:tcPr>
          <w:p>
            <w:pPr>
              <w:keepNext w:val="0"/>
              <w:widowControl/>
              <w:spacing w:before="0" w:after="0" w:line="250" w:lineRule="auto"/>
              <w:jc w:val="center"/>
            </w:pPr>
            <w:r>
              <w:rPr>
                <w:rFonts w:ascii="Arial" w:hAnsi="Arial"/>
                <w:color w:val="20252D"/>
                <w:sz w:val="21"/>
              </w:rPr>
            </w:r>
            <w:hyperlink r:id="rId15" w:history="1">
              <w:r>
                <w:rPr>
                  <w:rFonts w:ascii="Arial" w:hAnsi="Arial"/>
                  <w:color w:val="126B80"/>
                  <w:sz w:val="21"/>
                </w:rPr>
                <w:t>[S1 p1]</w:t>
              </w:r>
            </w:hyperlink>
            <w:r>
              <w:rPr>
                <w:rFonts w:ascii="Arial" w:hAnsi="Arial"/>
                <w:color w:val="20252D"/>
                <w:sz w:val="21"/>
              </w:rPr>
            </w:r>
          </w:p>
        </w:tc>
      </w:tr>
      <w:tr>
        <w:trPr>
          <w:cantSplit/>
        </w:trPr>
        <w:tc>
          <w:tcPr>
            <w:tcW w:type="dxa" w:w="8064"/>
            <w:vAlign w:val="center"/>
            <w:shd w:fill="F1F6F8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rial" w:hAnsi="Arial"/>
                <w:color w:val="20252D"/>
                <w:sz w:val="21"/>
              </w:rPr>
              <w:t>Maintain active SAM registration at quotation, award, during performance and through final payment.</w:t>
            </w:r>
          </w:p>
        </w:tc>
        <w:tc>
          <w:tcPr>
            <w:tcW w:type="dxa" w:w="2016"/>
            <w:vAlign w:val="center"/>
            <w:shd w:fill="F1F6F8"/>
          </w:tcPr>
          <w:p>
            <w:pPr>
              <w:keepNext w:val="0"/>
              <w:widowControl/>
              <w:spacing w:before="0" w:after="0" w:line="250" w:lineRule="auto"/>
              <w:jc w:val="center"/>
            </w:pPr>
            <w:r>
              <w:rPr>
                <w:rFonts w:ascii="Arial" w:hAnsi="Arial"/>
                <w:color w:val="20252D"/>
                <w:sz w:val="21"/>
              </w:rPr>
            </w:r>
            <w:hyperlink r:id="rId15" w:history="1">
              <w:r>
                <w:rPr>
                  <w:rFonts w:ascii="Arial" w:hAnsi="Arial"/>
                  <w:color w:val="126B80"/>
                  <w:sz w:val="21"/>
                </w:rPr>
                <w:t>[S1 p1]</w:t>
              </w:r>
            </w:hyperlink>
            <w:r>
              <w:rPr>
                <w:rFonts w:ascii="Arial" w:hAnsi="Arial"/>
                <w:color w:val="20252D"/>
                <w:sz w:val="21"/>
              </w:rPr>
            </w:r>
          </w:p>
        </w:tc>
      </w:tr>
      <w:tr>
        <w:trPr>
          <w:cantSplit/>
        </w:trPr>
        <w:tc>
          <w:tcPr>
            <w:tcW w:type="dxa" w:w="8064"/>
            <w:vAlign w:val="center"/>
            <w:shd w:fill="FFFFFF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rial" w:hAnsi="Arial"/>
                <w:color w:val="20252D"/>
                <w:sz w:val="21"/>
              </w:rPr>
              <w:t>Fully integrate with Salesforce through its API, using a NIST-provided sandbox for initial testing.</w:t>
            </w:r>
          </w:p>
        </w:tc>
        <w:tc>
          <w:tcPr>
            <w:tcW w:type="dxa" w:w="2016"/>
            <w:vAlign w:val="center"/>
            <w:shd w:fill="FFFFFF"/>
          </w:tcPr>
          <w:p>
            <w:pPr>
              <w:keepNext w:val="0"/>
              <w:widowControl/>
              <w:spacing w:before="0" w:after="0" w:line="250" w:lineRule="auto"/>
              <w:jc w:val="center"/>
            </w:pPr>
            <w:r>
              <w:rPr>
                <w:rFonts w:ascii="Arial" w:hAnsi="Arial"/>
                <w:color w:val="20252D"/>
                <w:sz w:val="21"/>
              </w:rPr>
            </w:r>
            <w:hyperlink r:id="rId13" w:history="1">
              <w:r>
                <w:rPr>
                  <w:rFonts w:ascii="Arial" w:hAnsi="Arial"/>
                  <w:color w:val="126B80"/>
                  <w:sz w:val="21"/>
                </w:rPr>
                <w:t>[S2 p1 §1]</w:t>
              </w:r>
            </w:hyperlink>
            <w:r>
              <w:rPr>
                <w:rFonts w:ascii="Arial" w:hAnsi="Arial"/>
                <w:color w:val="20252D"/>
                <w:sz w:val="21"/>
              </w:rPr>
            </w:r>
          </w:p>
        </w:tc>
      </w:tr>
      <w:tr>
        <w:trPr>
          <w:cantSplit/>
        </w:trPr>
        <w:tc>
          <w:tcPr>
            <w:tcW w:type="dxa" w:w="8064"/>
            <w:vAlign w:val="center"/>
            <w:shd w:fill="F1F6F8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rial" w:hAnsi="Arial"/>
                <w:color w:val="20252D"/>
                <w:sz w:val="21"/>
              </w:rPr>
              <w:t>Generate unique license keys for Windows and Apple executables, ZIP files, websites and databases.</w:t>
            </w:r>
          </w:p>
        </w:tc>
        <w:tc>
          <w:tcPr>
            <w:tcW w:type="dxa" w:w="2016"/>
            <w:vAlign w:val="center"/>
            <w:shd w:fill="F1F6F8"/>
          </w:tcPr>
          <w:p>
            <w:pPr>
              <w:keepNext w:val="0"/>
              <w:widowControl/>
              <w:spacing w:before="0" w:after="0" w:line="250" w:lineRule="auto"/>
              <w:jc w:val="center"/>
            </w:pPr>
            <w:r>
              <w:rPr>
                <w:rFonts w:ascii="Arial" w:hAnsi="Arial"/>
                <w:color w:val="20252D"/>
                <w:sz w:val="21"/>
              </w:rPr>
            </w:r>
            <w:hyperlink r:id="rId13" w:history="1">
              <w:r>
                <w:rPr>
                  <w:rFonts w:ascii="Arial" w:hAnsi="Arial"/>
                  <w:color w:val="126B80"/>
                  <w:sz w:val="21"/>
                </w:rPr>
                <w:t>[S2 p1 §2]</w:t>
              </w:r>
            </w:hyperlink>
            <w:r>
              <w:rPr>
                <w:rFonts w:ascii="Arial" w:hAnsi="Arial"/>
                <w:color w:val="20252D"/>
                <w:sz w:val="21"/>
              </w:rPr>
            </w:r>
          </w:p>
        </w:tc>
      </w:tr>
      <w:tr>
        <w:trPr>
          <w:cantSplit/>
        </w:trPr>
        <w:tc>
          <w:tcPr>
            <w:tcW w:type="dxa" w:w="8064"/>
            <w:vAlign w:val="center"/>
            <w:shd w:fill="FFFFFF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rial" w:hAnsi="Arial"/>
                <w:color w:val="20252D"/>
                <w:sz w:val="21"/>
              </w:rPr>
              <w:t>Use encryption standards in accordance with NIST SP 800-52.</w:t>
            </w:r>
          </w:p>
        </w:tc>
        <w:tc>
          <w:tcPr>
            <w:tcW w:type="dxa" w:w="2016"/>
            <w:vAlign w:val="center"/>
            <w:shd w:fill="FFFFFF"/>
          </w:tcPr>
          <w:p>
            <w:pPr>
              <w:keepNext w:val="0"/>
              <w:widowControl/>
              <w:spacing w:before="0" w:after="0" w:line="250" w:lineRule="auto"/>
              <w:jc w:val="center"/>
            </w:pPr>
            <w:r>
              <w:rPr>
                <w:rFonts w:ascii="Arial" w:hAnsi="Arial"/>
                <w:color w:val="20252D"/>
                <w:sz w:val="21"/>
              </w:rPr>
            </w:r>
            <w:hyperlink r:id="rId13" w:history="1">
              <w:r>
                <w:rPr>
                  <w:rFonts w:ascii="Arial" w:hAnsi="Arial"/>
                  <w:color w:val="126B80"/>
                  <w:sz w:val="21"/>
                </w:rPr>
                <w:t>[S2 p1 §3]</w:t>
              </w:r>
            </w:hyperlink>
            <w:r>
              <w:rPr>
                <w:rFonts w:ascii="Arial" w:hAnsi="Arial"/>
                <w:color w:val="20252D"/>
                <w:sz w:val="21"/>
              </w:rPr>
            </w:r>
          </w:p>
        </w:tc>
      </w:tr>
      <w:tr>
        <w:trPr>
          <w:cantSplit/>
        </w:trPr>
        <w:tc>
          <w:tcPr>
            <w:tcW w:type="dxa" w:w="8064"/>
            <w:vAlign w:val="center"/>
            <w:shd w:fill="F1F6F8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rial" w:hAnsi="Arial"/>
                <w:color w:val="20252D"/>
                <w:sz w:val="21"/>
              </w:rPr>
              <w:t>Support modular access: keys may unlock an entire product or specified database portions.</w:t>
            </w:r>
          </w:p>
        </w:tc>
        <w:tc>
          <w:tcPr>
            <w:tcW w:type="dxa" w:w="2016"/>
            <w:vAlign w:val="center"/>
            <w:shd w:fill="F1F6F8"/>
          </w:tcPr>
          <w:p>
            <w:pPr>
              <w:keepNext w:val="0"/>
              <w:widowControl/>
              <w:spacing w:before="0" w:after="0" w:line="250" w:lineRule="auto"/>
              <w:jc w:val="center"/>
            </w:pPr>
            <w:r>
              <w:rPr>
                <w:rFonts w:ascii="Arial" w:hAnsi="Arial"/>
                <w:color w:val="20252D"/>
                <w:sz w:val="21"/>
              </w:rPr>
            </w:r>
            <w:hyperlink r:id="rId13" w:history="1">
              <w:r>
                <w:rPr>
                  <w:rFonts w:ascii="Arial" w:hAnsi="Arial"/>
                  <w:color w:val="126B80"/>
                  <w:sz w:val="21"/>
                </w:rPr>
                <w:t>[S2 p1 §4]</w:t>
              </w:r>
            </w:hyperlink>
            <w:r>
              <w:rPr>
                <w:rFonts w:ascii="Arial" w:hAnsi="Arial"/>
                <w:color w:val="20252D"/>
                <w:sz w:val="21"/>
              </w:rPr>
            </w:r>
          </w:p>
        </w:tc>
      </w:tr>
      <w:tr>
        <w:trPr>
          <w:cantSplit/>
        </w:trPr>
        <w:tc>
          <w:tcPr>
            <w:tcW w:type="dxa" w:w="8064"/>
            <w:vAlign w:val="center"/>
            <w:shd w:fill="FFFFFF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rial" w:hAnsi="Arial"/>
                <w:color w:val="20252D"/>
                <w:sz w:val="21"/>
              </w:rPr>
              <w:t>Support add-on purchases. The contractor may use existing or new keys.</w:t>
            </w:r>
          </w:p>
        </w:tc>
        <w:tc>
          <w:tcPr>
            <w:tcW w:type="dxa" w:w="2016"/>
            <w:vAlign w:val="center"/>
            <w:shd w:fill="FFFFFF"/>
          </w:tcPr>
          <w:p>
            <w:pPr>
              <w:keepNext w:val="0"/>
              <w:widowControl/>
              <w:spacing w:before="0" w:after="0" w:line="250" w:lineRule="auto"/>
              <w:jc w:val="center"/>
            </w:pPr>
            <w:r>
              <w:rPr>
                <w:rFonts w:ascii="Arial" w:hAnsi="Arial"/>
                <w:color w:val="20252D"/>
                <w:sz w:val="21"/>
              </w:rPr>
            </w:r>
            <w:hyperlink r:id="rId13" w:history="1">
              <w:r>
                <w:rPr>
                  <w:rFonts w:ascii="Arial" w:hAnsi="Arial"/>
                  <w:color w:val="126B80"/>
                  <w:sz w:val="21"/>
                </w:rPr>
                <w:t>[S2 p1 §5]</w:t>
              </w:r>
            </w:hyperlink>
            <w:r>
              <w:rPr>
                <w:rFonts w:ascii="Arial" w:hAnsi="Arial"/>
                <w:color w:val="20252D"/>
                <w:sz w:val="21"/>
              </w:rPr>
            </w:r>
          </w:p>
        </w:tc>
      </w:tr>
      <w:tr>
        <w:trPr>
          <w:cantSplit/>
        </w:trPr>
        <w:tc>
          <w:tcPr>
            <w:tcW w:type="dxa" w:w="8064"/>
            <w:vAlign w:val="center"/>
            <w:shd w:fill="F1F6F8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rial" w:hAnsi="Arial"/>
                <w:color w:val="20252D"/>
                <w:sz w:val="21"/>
              </w:rPr>
              <w:t>Provide an API for NIST to issue keys to third-party distributors and track their sales.</w:t>
            </w:r>
          </w:p>
        </w:tc>
        <w:tc>
          <w:tcPr>
            <w:tcW w:type="dxa" w:w="2016"/>
            <w:vAlign w:val="center"/>
            <w:shd w:fill="F1F6F8"/>
          </w:tcPr>
          <w:p>
            <w:pPr>
              <w:keepNext w:val="0"/>
              <w:widowControl/>
              <w:spacing w:before="0" w:after="0" w:line="250" w:lineRule="auto"/>
              <w:jc w:val="center"/>
            </w:pPr>
            <w:r>
              <w:rPr>
                <w:rFonts w:ascii="Arial" w:hAnsi="Arial"/>
                <w:color w:val="20252D"/>
                <w:sz w:val="21"/>
              </w:rPr>
            </w:r>
            <w:hyperlink r:id="rId13" w:history="1">
              <w:r>
                <w:rPr>
                  <w:rFonts w:ascii="Arial" w:hAnsi="Arial"/>
                  <w:color w:val="126B80"/>
                  <w:sz w:val="21"/>
                </w:rPr>
                <w:t>[S2 p1 §6]</w:t>
              </w:r>
            </w:hyperlink>
            <w:r>
              <w:rPr>
                <w:rFonts w:ascii="Arial" w:hAnsi="Arial"/>
                <w:color w:val="20252D"/>
                <w:sz w:val="21"/>
              </w:rPr>
            </w:r>
          </w:p>
        </w:tc>
      </w:tr>
      <w:tr>
        <w:trPr>
          <w:cantSplit/>
        </w:trPr>
        <w:tc>
          <w:tcPr>
            <w:tcW w:type="dxa" w:w="8064"/>
            <w:vAlign w:val="center"/>
            <w:shd w:fill="FFFFFF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rial" w:hAnsi="Arial"/>
                <w:color w:val="20252D"/>
                <w:sz w:val="21"/>
              </w:rPr>
              <w:t>Allow distributors to embed NIST software in their products and activate it without manual intervention.</w:t>
            </w:r>
          </w:p>
        </w:tc>
        <w:tc>
          <w:tcPr>
            <w:tcW w:type="dxa" w:w="2016"/>
            <w:vAlign w:val="center"/>
            <w:shd w:fill="FFFFFF"/>
          </w:tcPr>
          <w:p>
            <w:pPr>
              <w:keepNext w:val="0"/>
              <w:widowControl/>
              <w:spacing w:before="0" w:after="0" w:line="250" w:lineRule="auto"/>
              <w:jc w:val="center"/>
            </w:pPr>
            <w:r>
              <w:rPr>
                <w:rFonts w:ascii="Arial" w:hAnsi="Arial"/>
                <w:color w:val="20252D"/>
                <w:sz w:val="21"/>
              </w:rPr>
            </w:r>
            <w:hyperlink r:id="rId13" w:history="1">
              <w:r>
                <w:rPr>
                  <w:rFonts w:ascii="Arial" w:hAnsi="Arial"/>
                  <w:color w:val="126B80"/>
                  <w:sz w:val="21"/>
                </w:rPr>
                <w:t>[S2 p1 §7]</w:t>
              </w:r>
            </w:hyperlink>
            <w:r>
              <w:rPr>
                <w:rFonts w:ascii="Arial" w:hAnsi="Arial"/>
                <w:color w:val="20252D"/>
                <w:sz w:val="21"/>
              </w:rPr>
            </w:r>
          </w:p>
        </w:tc>
      </w:tr>
      <w:tr>
        <w:trPr>
          <w:cantSplit/>
        </w:trPr>
        <w:tc>
          <w:tcPr>
            <w:tcW w:type="dxa" w:w="8064"/>
            <w:vAlign w:val="center"/>
            <w:shd w:fill="F1F6F8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rial" w:hAnsi="Arial"/>
                <w:color w:val="20252D"/>
                <w:sz w:val="21"/>
              </w:rPr>
              <w:t>Provide a secure API for third-party systems to request data and trigger internal processes.</w:t>
            </w:r>
          </w:p>
        </w:tc>
        <w:tc>
          <w:tcPr>
            <w:tcW w:type="dxa" w:w="2016"/>
            <w:vAlign w:val="center"/>
            <w:shd w:fill="F1F6F8"/>
          </w:tcPr>
          <w:p>
            <w:pPr>
              <w:keepNext w:val="0"/>
              <w:widowControl/>
              <w:spacing w:before="0" w:after="0" w:line="250" w:lineRule="auto"/>
              <w:jc w:val="center"/>
            </w:pPr>
            <w:r>
              <w:rPr>
                <w:rFonts w:ascii="Arial" w:hAnsi="Arial"/>
                <w:color w:val="20252D"/>
                <w:sz w:val="21"/>
              </w:rPr>
            </w:r>
            <w:hyperlink r:id="rId13" w:history="1">
              <w:r>
                <w:rPr>
                  <w:rFonts w:ascii="Arial" w:hAnsi="Arial"/>
                  <w:color w:val="126B80"/>
                  <w:sz w:val="21"/>
                </w:rPr>
                <w:t>[S2 p2 §8]</w:t>
              </w:r>
            </w:hyperlink>
            <w:r>
              <w:rPr>
                <w:rFonts w:ascii="Arial" w:hAnsi="Arial"/>
                <w:color w:val="20252D"/>
                <w:sz w:val="21"/>
              </w:rPr>
            </w:r>
          </w:p>
        </w:tc>
      </w:tr>
      <w:tr>
        <w:trPr>
          <w:cantSplit/>
        </w:trPr>
        <w:tc>
          <w:tcPr>
            <w:tcW w:type="dxa" w:w="8064"/>
            <w:vAlign w:val="center"/>
            <w:shd w:fill="FFFFFF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rial" w:hAnsi="Arial"/>
                <w:color w:val="20252D"/>
                <w:sz w:val="21"/>
              </w:rPr>
              <w:t>Block license activation and use in prohibited regions across all tiers, including free Tier 3 products.</w:t>
            </w:r>
          </w:p>
        </w:tc>
        <w:tc>
          <w:tcPr>
            <w:tcW w:type="dxa" w:w="2016"/>
            <w:vAlign w:val="center"/>
            <w:shd w:fill="FFFFFF"/>
          </w:tcPr>
          <w:p>
            <w:pPr>
              <w:keepNext w:val="0"/>
              <w:widowControl/>
              <w:spacing w:before="0" w:after="0" w:line="250" w:lineRule="auto"/>
              <w:jc w:val="center"/>
            </w:pPr>
            <w:r>
              <w:rPr>
                <w:rFonts w:ascii="Arial" w:hAnsi="Arial"/>
                <w:color w:val="20252D"/>
                <w:sz w:val="21"/>
              </w:rPr>
            </w:r>
            <w:hyperlink r:id="rId13" w:history="1">
              <w:r>
                <w:rPr>
                  <w:rFonts w:ascii="Arial" w:hAnsi="Arial"/>
                  <w:color w:val="126B80"/>
                  <w:sz w:val="21"/>
                </w:rPr>
                <w:t>[S2 p2 §9]</w:t>
              </w:r>
            </w:hyperlink>
            <w:r>
              <w:rPr>
                <w:rFonts w:ascii="Arial" w:hAnsi="Arial"/>
                <w:color w:val="20252D"/>
                <w:sz w:val="21"/>
              </w:rPr>
            </w:r>
          </w:p>
        </w:tc>
      </w:tr>
      <w:tr>
        <w:trPr>
          <w:cantSplit/>
        </w:trPr>
        <w:tc>
          <w:tcPr>
            <w:tcW w:type="dxa" w:w="8064"/>
            <w:vAlign w:val="center"/>
            <w:shd w:fill="F1F6F8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rial" w:hAnsi="Arial"/>
                <w:color w:val="20252D"/>
                <w:sz w:val="21"/>
              </w:rPr>
              <w:t>Support Tier 3 workflows through Salesforce or separate request workflows.</w:t>
            </w:r>
          </w:p>
        </w:tc>
        <w:tc>
          <w:tcPr>
            <w:tcW w:type="dxa" w:w="2016"/>
            <w:vAlign w:val="center"/>
            <w:shd w:fill="F1F6F8"/>
          </w:tcPr>
          <w:p>
            <w:pPr>
              <w:keepNext w:val="0"/>
              <w:widowControl/>
              <w:spacing w:before="0" w:after="0" w:line="250" w:lineRule="auto"/>
              <w:jc w:val="center"/>
            </w:pPr>
            <w:r>
              <w:rPr>
                <w:rFonts w:ascii="Arial" w:hAnsi="Arial"/>
                <w:color w:val="20252D"/>
                <w:sz w:val="21"/>
              </w:rPr>
            </w:r>
            <w:hyperlink r:id="rId13" w:history="1">
              <w:r>
                <w:rPr>
                  <w:rFonts w:ascii="Arial" w:hAnsi="Arial"/>
                  <w:color w:val="126B80"/>
                  <w:sz w:val="21"/>
                </w:rPr>
                <w:t>[S2 p2 §10]</w:t>
              </w:r>
            </w:hyperlink>
            <w:r>
              <w:rPr>
                <w:rFonts w:ascii="Arial" w:hAnsi="Arial"/>
                <w:color w:val="20252D"/>
                <w:sz w:val="21"/>
              </w:rPr>
            </w:r>
          </w:p>
        </w:tc>
      </w:tr>
      <w:tr>
        <w:trPr>
          <w:cantSplit/>
        </w:trPr>
        <w:tc>
          <w:tcPr>
            <w:tcW w:type="dxa" w:w="8064"/>
            <w:vAlign w:val="center"/>
            <w:shd w:fill="FFFFFF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rial" w:hAnsi="Arial"/>
                <w:color w:val="20252D"/>
                <w:sz w:val="21"/>
              </w:rPr>
              <w:t>Require a network activation check-in at least every six months, without requiring network access for every use.</w:t>
            </w:r>
          </w:p>
        </w:tc>
        <w:tc>
          <w:tcPr>
            <w:tcW w:type="dxa" w:w="2016"/>
            <w:vAlign w:val="center"/>
            <w:shd w:fill="FFFFFF"/>
          </w:tcPr>
          <w:p>
            <w:pPr>
              <w:keepNext w:val="0"/>
              <w:widowControl/>
              <w:spacing w:before="0" w:after="0" w:line="250" w:lineRule="auto"/>
              <w:jc w:val="center"/>
            </w:pPr>
            <w:r>
              <w:rPr>
                <w:rFonts w:ascii="Arial" w:hAnsi="Arial"/>
                <w:color w:val="20252D"/>
                <w:sz w:val="21"/>
              </w:rPr>
            </w:r>
            <w:hyperlink r:id="rId13" w:history="1">
              <w:r>
                <w:rPr>
                  <w:rFonts w:ascii="Arial" w:hAnsi="Arial"/>
                  <w:color w:val="126B80"/>
                  <w:sz w:val="21"/>
                </w:rPr>
                <w:t>[S2 p2 §11]</w:t>
              </w:r>
            </w:hyperlink>
            <w:r>
              <w:rPr>
                <w:rFonts w:ascii="Arial" w:hAnsi="Arial"/>
                <w:color w:val="20252D"/>
                <w:sz w:val="21"/>
              </w:rPr>
            </w:r>
          </w:p>
        </w:tc>
      </w:tr>
      <w:tr>
        <w:trPr>
          <w:cantSplit/>
        </w:trPr>
        <w:tc>
          <w:tcPr>
            <w:tcW w:type="dxa" w:w="8064"/>
            <w:vAlign w:val="center"/>
            <w:shd w:fill="F1F6F8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rial" w:hAnsi="Arial"/>
                <w:color w:val="20252D"/>
                <w:sz w:val="21"/>
              </w:rPr>
              <w:t>Integrate all NIST-side backend administration with NIST-managed Active Directory/SSO using PIV authentication.</w:t>
            </w:r>
          </w:p>
        </w:tc>
        <w:tc>
          <w:tcPr>
            <w:tcW w:type="dxa" w:w="2016"/>
            <w:vAlign w:val="center"/>
            <w:shd w:fill="F1F6F8"/>
          </w:tcPr>
          <w:p>
            <w:pPr>
              <w:keepNext w:val="0"/>
              <w:widowControl/>
              <w:spacing w:before="0" w:after="0" w:line="250" w:lineRule="auto"/>
              <w:jc w:val="center"/>
            </w:pPr>
            <w:r>
              <w:rPr>
                <w:rFonts w:ascii="Arial" w:hAnsi="Arial"/>
                <w:color w:val="20252D"/>
                <w:sz w:val="21"/>
              </w:rPr>
            </w:r>
            <w:hyperlink r:id="rId13" w:history="1">
              <w:r>
                <w:rPr>
                  <w:rFonts w:ascii="Arial" w:hAnsi="Arial"/>
                  <w:color w:val="126B80"/>
                  <w:sz w:val="21"/>
                </w:rPr>
                <w:t>[S2 p2 §12]</w:t>
              </w:r>
            </w:hyperlink>
            <w:r>
              <w:rPr>
                <w:rFonts w:ascii="Arial" w:hAnsi="Arial"/>
                <w:color w:val="20252D"/>
                <w:sz w:val="21"/>
              </w:rPr>
            </w:r>
          </w:p>
        </w:tc>
      </w:tr>
      <w:tr>
        <w:trPr>
          <w:cantSplit/>
        </w:trPr>
        <w:tc>
          <w:tcPr>
            <w:tcW w:type="dxa" w:w="8064"/>
            <w:vAlign w:val="center"/>
            <w:shd w:fill="FFFFFF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rial" w:hAnsi="Arial"/>
                <w:color w:val="20252D"/>
                <w:sz w:val="21"/>
              </w:rPr>
              <w:t>Provide software updates and bug fixes throughout performance, with security patches within 30 days of critical discovery.</w:t>
            </w:r>
          </w:p>
        </w:tc>
        <w:tc>
          <w:tcPr>
            <w:tcW w:type="dxa" w:w="2016"/>
            <w:vAlign w:val="center"/>
            <w:shd w:fill="FFFFFF"/>
          </w:tcPr>
          <w:p>
            <w:pPr>
              <w:keepNext w:val="0"/>
              <w:widowControl/>
              <w:spacing w:before="0" w:after="0" w:line="250" w:lineRule="auto"/>
              <w:jc w:val="center"/>
            </w:pPr>
            <w:r>
              <w:rPr>
                <w:rFonts w:ascii="Arial" w:hAnsi="Arial"/>
                <w:color w:val="20252D"/>
                <w:sz w:val="21"/>
              </w:rPr>
            </w:r>
            <w:hyperlink r:id="rId13" w:history="1">
              <w:r>
                <w:rPr>
                  <w:rFonts w:ascii="Arial" w:hAnsi="Arial"/>
                  <w:color w:val="126B80"/>
                  <w:sz w:val="21"/>
                </w:rPr>
                <w:t>[S2 p2 §13]</w:t>
              </w:r>
            </w:hyperlink>
            <w:r>
              <w:rPr>
                <w:rFonts w:ascii="Arial" w:hAnsi="Arial"/>
                <w:color w:val="20252D"/>
                <w:sz w:val="21"/>
              </w:rPr>
            </w:r>
          </w:p>
        </w:tc>
      </w:tr>
      <w:tr>
        <w:trPr>
          <w:cantSplit/>
        </w:trPr>
        <w:tc>
          <w:tcPr>
            <w:tcW w:type="dxa" w:w="8064"/>
            <w:vAlign w:val="center"/>
            <w:shd w:fill="F1F6F8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rial" w:hAnsi="Arial"/>
                <w:color w:val="20252D"/>
                <w:sz w:val="21"/>
              </w:rPr>
              <w:t>Allow limits on the number of database queries.</w:t>
            </w:r>
          </w:p>
        </w:tc>
        <w:tc>
          <w:tcPr>
            <w:tcW w:type="dxa" w:w="2016"/>
            <w:vAlign w:val="center"/>
            <w:shd w:fill="F1F6F8"/>
          </w:tcPr>
          <w:p>
            <w:pPr>
              <w:keepNext w:val="0"/>
              <w:widowControl/>
              <w:spacing w:before="0" w:after="0" w:line="250" w:lineRule="auto"/>
              <w:jc w:val="center"/>
            </w:pPr>
            <w:r>
              <w:rPr>
                <w:rFonts w:ascii="Arial" w:hAnsi="Arial"/>
                <w:color w:val="20252D"/>
                <w:sz w:val="21"/>
              </w:rPr>
            </w:r>
            <w:hyperlink r:id="rId13" w:history="1">
              <w:r>
                <w:rPr>
                  <w:rFonts w:ascii="Arial" w:hAnsi="Arial"/>
                  <w:color w:val="126B80"/>
                  <w:sz w:val="21"/>
                </w:rPr>
                <w:t>[S2 p2 §14]</w:t>
              </w:r>
            </w:hyperlink>
            <w:r>
              <w:rPr>
                <w:rFonts w:ascii="Arial" w:hAnsi="Arial"/>
                <w:color w:val="20252D"/>
                <w:sz w:val="21"/>
              </w:rPr>
            </w:r>
          </w:p>
        </w:tc>
      </w:tr>
      <w:tr>
        <w:trPr>
          <w:cantSplit/>
        </w:trPr>
        <w:tc>
          <w:tcPr>
            <w:tcW w:type="dxa" w:w="8064"/>
            <w:vAlign w:val="center"/>
            <w:shd w:fill="FFFFFF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rial" w:hAnsi="Arial"/>
                <w:color w:val="20252D"/>
                <w:sz w:val="21"/>
              </w:rPr>
              <w:t>Do not store identifying customer information.</w:t>
            </w:r>
          </w:p>
        </w:tc>
        <w:tc>
          <w:tcPr>
            <w:tcW w:type="dxa" w:w="2016"/>
            <w:vAlign w:val="center"/>
            <w:shd w:fill="FFFFFF"/>
          </w:tcPr>
          <w:p>
            <w:pPr>
              <w:keepNext w:val="0"/>
              <w:widowControl/>
              <w:spacing w:before="0" w:after="0" w:line="250" w:lineRule="auto"/>
              <w:jc w:val="center"/>
            </w:pPr>
            <w:r>
              <w:rPr>
                <w:rFonts w:ascii="Arial" w:hAnsi="Arial"/>
                <w:color w:val="20252D"/>
                <w:sz w:val="21"/>
              </w:rPr>
            </w:r>
            <w:hyperlink r:id="rId13" w:history="1">
              <w:r>
                <w:rPr>
                  <w:rFonts w:ascii="Arial" w:hAnsi="Arial"/>
                  <w:color w:val="126B80"/>
                  <w:sz w:val="21"/>
                </w:rPr>
                <w:t>[S2 p2 §15]</w:t>
              </w:r>
            </w:hyperlink>
            <w:r>
              <w:rPr>
                <w:rFonts w:ascii="Arial" w:hAnsi="Arial"/>
                <w:color w:val="20252D"/>
                <w:sz w:val="21"/>
              </w:rPr>
            </w:r>
          </w:p>
        </w:tc>
      </w:tr>
      <w:tr>
        <w:trPr>
          <w:cantSplit/>
        </w:trPr>
        <w:tc>
          <w:tcPr>
            <w:tcW w:type="dxa" w:w="8064"/>
            <w:vAlign w:val="center"/>
            <w:shd w:fill="F1F6F8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rial" w:hAnsi="Arial"/>
                <w:color w:val="20252D"/>
                <w:sz w:val="21"/>
              </w:rPr>
              <w:t>Provide a FedRAMP Moderate ATO letter or a signed Federal Agency Moderate ATO. The agency route requires a complete assessment package and permission for NIST review; applicable subcontractors accessing government information also require Moderate authorization.</w:t>
            </w:r>
          </w:p>
        </w:tc>
        <w:tc>
          <w:tcPr>
            <w:tcW w:type="dxa" w:w="2016"/>
            <w:vAlign w:val="center"/>
            <w:shd w:fill="F1F6F8"/>
          </w:tcPr>
          <w:p>
            <w:pPr>
              <w:keepNext w:val="0"/>
              <w:widowControl/>
              <w:spacing w:before="0" w:after="0" w:line="250" w:lineRule="auto"/>
              <w:jc w:val="center"/>
            </w:pPr>
            <w:r>
              <w:rPr>
                <w:rFonts w:ascii="Arial" w:hAnsi="Arial"/>
                <w:color w:val="20252D"/>
                <w:sz w:val="21"/>
              </w:rPr>
            </w:r>
            <w:hyperlink r:id="rId13" w:history="1">
              <w:r>
                <w:rPr>
                  <w:rFonts w:ascii="Arial" w:hAnsi="Arial"/>
                  <w:color w:val="126B80"/>
                  <w:sz w:val="21"/>
                </w:rPr>
                <w:t>[S2 p2 §16]</w:t>
              </w:r>
            </w:hyperlink>
            <w:r>
              <w:rPr>
                <w:rFonts w:ascii="Arial" w:hAnsi="Arial"/>
                <w:color w:val="20252D"/>
                <w:sz w:val="21"/>
              </w:rPr>
            </w:r>
          </w:p>
        </w:tc>
      </w:tr>
      <w:tr>
        <w:trPr>
          <w:cantSplit/>
        </w:trPr>
        <w:tc>
          <w:tcPr>
            <w:tcW w:type="dxa" w:w="8064"/>
            <w:vAlign w:val="center"/>
            <w:shd w:fill="FFFFFF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rial" w:hAnsi="Arial"/>
                <w:color w:val="20252D"/>
                <w:sz w:val="21"/>
              </w:rPr>
              <w:t>Provide dedicated IT support for system assistance throughout the contract.</w:t>
            </w:r>
          </w:p>
        </w:tc>
        <w:tc>
          <w:tcPr>
            <w:tcW w:type="dxa" w:w="2016"/>
            <w:vAlign w:val="center"/>
            <w:shd w:fill="FFFFFF"/>
          </w:tcPr>
          <w:p>
            <w:pPr>
              <w:keepNext w:val="0"/>
              <w:widowControl/>
              <w:spacing w:before="0" w:after="0" w:line="250" w:lineRule="auto"/>
              <w:jc w:val="center"/>
            </w:pPr>
            <w:r>
              <w:rPr>
                <w:rFonts w:ascii="Arial" w:hAnsi="Arial"/>
                <w:color w:val="20252D"/>
                <w:sz w:val="21"/>
              </w:rPr>
            </w:r>
            <w:hyperlink r:id="rId13" w:history="1">
              <w:r>
                <w:rPr>
                  <w:rFonts w:ascii="Arial" w:hAnsi="Arial"/>
                  <w:color w:val="126B80"/>
                  <w:sz w:val="21"/>
                </w:rPr>
                <w:t>[S2 p2 §17]</w:t>
              </w:r>
            </w:hyperlink>
            <w:r>
              <w:rPr>
                <w:rFonts w:ascii="Arial" w:hAnsi="Arial"/>
                <w:color w:val="20252D"/>
                <w:sz w:val="21"/>
              </w:rPr>
            </w:r>
          </w:p>
        </w:tc>
      </w:tr>
      <w:tr>
        <w:trPr>
          <w:cantSplit/>
        </w:trPr>
        <w:tc>
          <w:tcPr>
            <w:tcW w:type="dxa" w:w="8064"/>
            <w:vAlign w:val="center"/>
            <w:shd w:fill="F1F6F8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rial" w:hAnsi="Arial"/>
                <w:color w:val="20252D"/>
                <w:sz w:val="21"/>
              </w:rPr>
              <w:t>Provide credentials, API documentation and administrative manuals electronically to the COR.</w:t>
            </w:r>
          </w:p>
        </w:tc>
        <w:tc>
          <w:tcPr>
            <w:tcW w:type="dxa" w:w="2016"/>
            <w:vAlign w:val="center"/>
            <w:shd w:fill="F1F6F8"/>
          </w:tcPr>
          <w:p>
            <w:pPr>
              <w:keepNext w:val="0"/>
              <w:widowControl/>
              <w:spacing w:before="0" w:after="0" w:line="250" w:lineRule="auto"/>
              <w:jc w:val="center"/>
            </w:pPr>
            <w:r>
              <w:rPr>
                <w:rFonts w:ascii="Arial" w:hAnsi="Arial"/>
                <w:color w:val="20252D"/>
                <w:sz w:val="21"/>
              </w:rPr>
            </w:r>
            <w:hyperlink r:id="rId13" w:history="1">
              <w:r>
                <w:rPr>
                  <w:rFonts w:ascii="Arial" w:hAnsi="Arial"/>
                  <w:color w:val="126B80"/>
                  <w:sz w:val="21"/>
                </w:rPr>
                <w:t>[S2 p3 §V]</w:t>
              </w:r>
            </w:hyperlink>
            <w:r>
              <w:rPr>
                <w:rFonts w:ascii="Arial" w:hAnsi="Arial"/>
                <w:color w:val="20252D"/>
                <w:sz w:val="21"/>
              </w:rPr>
            </w:r>
          </w:p>
        </w:tc>
      </w:tr>
      <w:tr>
        <w:trPr>
          <w:cantSplit/>
        </w:trPr>
        <w:tc>
          <w:tcPr>
            <w:tcW w:type="dxa" w:w="8064"/>
            <w:vAlign w:val="center"/>
            <w:shd w:fill="FFFFFF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rial" w:hAnsi="Arial"/>
                <w:color w:val="20252D"/>
                <w:sz w:val="21"/>
              </w:rPr>
              <w:t>Remotely install and configure the system, Salesforce API and AD/SSO integration. Completion requires a functioning production system and NIST security verification, coordinated with the COR.</w:t>
            </w:r>
          </w:p>
        </w:tc>
        <w:tc>
          <w:tcPr>
            <w:tcW w:type="dxa" w:w="2016"/>
            <w:vAlign w:val="center"/>
            <w:shd w:fill="FFFFFF"/>
          </w:tcPr>
          <w:p>
            <w:pPr>
              <w:keepNext w:val="0"/>
              <w:widowControl/>
              <w:spacing w:before="0" w:after="0" w:line="250" w:lineRule="auto"/>
              <w:jc w:val="center"/>
            </w:pPr>
            <w:r>
              <w:rPr>
                <w:rFonts w:ascii="Arial" w:hAnsi="Arial"/>
                <w:color w:val="20252D"/>
                <w:sz w:val="21"/>
              </w:rPr>
            </w:r>
            <w:hyperlink r:id="rId13" w:history="1">
              <w:r>
                <w:rPr>
                  <w:rFonts w:ascii="Arial" w:hAnsi="Arial"/>
                  <w:color w:val="126B80"/>
                  <w:sz w:val="21"/>
                </w:rPr>
                <w:t>[S2 p3 §VI]</w:t>
              </w:r>
            </w:hyperlink>
            <w:r>
              <w:rPr>
                <w:rFonts w:ascii="Arial" w:hAnsi="Arial"/>
                <w:color w:val="20252D"/>
                <w:sz w:val="21"/>
              </w:rPr>
            </w:r>
          </w:p>
        </w:tc>
      </w:tr>
      <w:tr>
        <w:trPr>
          <w:cantSplit/>
        </w:trPr>
        <w:tc>
          <w:tcPr>
            <w:tcW w:type="dxa" w:w="8064"/>
            <w:vAlign w:val="center"/>
            <w:shd w:fill="F1F6F8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rial" w:hAnsi="Arial"/>
                <w:color w:val="20252D"/>
                <w:sz w:val="21"/>
              </w:rPr>
              <w:t>Train up to 20 people before production deployment on administration, license generation, Salesforce integration management and troubleshooting; delivery may be on-site, remote or hybrid.</w:t>
            </w:r>
          </w:p>
        </w:tc>
        <w:tc>
          <w:tcPr>
            <w:tcW w:type="dxa" w:w="2016"/>
            <w:vAlign w:val="center"/>
            <w:shd w:fill="F1F6F8"/>
          </w:tcPr>
          <w:p>
            <w:pPr>
              <w:keepNext w:val="0"/>
              <w:widowControl/>
              <w:spacing w:before="0" w:after="0" w:line="250" w:lineRule="auto"/>
              <w:jc w:val="center"/>
            </w:pPr>
            <w:r>
              <w:rPr>
                <w:rFonts w:ascii="Arial" w:hAnsi="Arial"/>
                <w:color w:val="20252D"/>
                <w:sz w:val="21"/>
              </w:rPr>
            </w:r>
            <w:hyperlink r:id="rId13" w:history="1">
              <w:r>
                <w:rPr>
                  <w:rFonts w:ascii="Arial" w:hAnsi="Arial"/>
                  <w:color w:val="126B80"/>
                  <w:sz w:val="21"/>
                </w:rPr>
                <w:t>[S2 p3 §VII]</w:t>
              </w:r>
            </w:hyperlink>
            <w:r>
              <w:rPr>
                <w:rFonts w:ascii="Arial" w:hAnsi="Arial"/>
                <w:color w:val="20252D"/>
                <w:sz w:val="21"/>
              </w:rPr>
            </w:r>
          </w:p>
        </w:tc>
      </w:tr>
      <w:tr>
        <w:trPr>
          <w:cantSplit/>
        </w:trPr>
        <w:tc>
          <w:tcPr>
            <w:tcW w:type="dxa" w:w="8064"/>
            <w:vAlign w:val="center"/>
            <w:shd w:fill="FFFFFF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rial" w:hAnsi="Arial"/>
                <w:color w:val="20252D"/>
                <w:sz w:val="21"/>
              </w:rPr>
              <w:t>Complete integration and training before acceptance. NIST conducts one week of heartbeat and geofencing testing; the COR confirms acceptance.</w:t>
            </w:r>
          </w:p>
        </w:tc>
        <w:tc>
          <w:tcPr>
            <w:tcW w:type="dxa" w:w="2016"/>
            <w:vAlign w:val="center"/>
            <w:shd w:fill="FFFFFF"/>
          </w:tcPr>
          <w:p>
            <w:pPr>
              <w:keepNext w:val="0"/>
              <w:widowControl/>
              <w:spacing w:before="0" w:after="0" w:line="250" w:lineRule="auto"/>
              <w:jc w:val="center"/>
            </w:pPr>
            <w:r>
              <w:rPr>
                <w:rFonts w:ascii="Arial" w:hAnsi="Arial"/>
                <w:color w:val="20252D"/>
                <w:sz w:val="21"/>
              </w:rPr>
            </w:r>
            <w:hyperlink r:id="rId13" w:history="1">
              <w:r>
                <w:rPr>
                  <w:rFonts w:ascii="Arial" w:hAnsi="Arial"/>
                  <w:color w:val="126B80"/>
                  <w:sz w:val="21"/>
                </w:rPr>
                <w:t>[S2 p3 §VIII]</w:t>
              </w:r>
            </w:hyperlink>
            <w:r>
              <w:rPr>
                <w:rFonts w:ascii="Arial" w:hAnsi="Arial"/>
                <w:color w:val="20252D"/>
                <w:sz w:val="21"/>
              </w:rPr>
            </w:r>
          </w:p>
        </w:tc>
      </w:tr>
      <w:tr>
        <w:trPr>
          <w:cantSplit/>
        </w:trPr>
        <w:tc>
          <w:tcPr>
            <w:tcW w:type="dxa" w:w="8064"/>
            <w:vAlign w:val="center"/>
            <w:shd w:fill="F1F6F8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rial" w:hAnsi="Arial"/>
                <w:color w:val="20252D"/>
                <w:sz w:val="21"/>
              </w:rPr>
              <w:t>Provide the standard commercial warranty for all products and services, starting at government acceptance.</w:t>
            </w:r>
          </w:p>
        </w:tc>
        <w:tc>
          <w:tcPr>
            <w:tcW w:type="dxa" w:w="2016"/>
            <w:vAlign w:val="center"/>
            <w:shd w:fill="F1F6F8"/>
          </w:tcPr>
          <w:p>
            <w:pPr>
              <w:keepNext w:val="0"/>
              <w:widowControl/>
              <w:spacing w:before="0" w:after="0" w:line="250" w:lineRule="auto"/>
              <w:jc w:val="center"/>
            </w:pPr>
            <w:r>
              <w:rPr>
                <w:rFonts w:ascii="Arial" w:hAnsi="Arial"/>
                <w:color w:val="20252D"/>
                <w:sz w:val="21"/>
              </w:rPr>
            </w:r>
            <w:hyperlink r:id="rId13" w:history="1">
              <w:r>
                <w:rPr>
                  <w:rFonts w:ascii="Arial" w:hAnsi="Arial"/>
                  <w:color w:val="126B80"/>
                  <w:sz w:val="21"/>
                </w:rPr>
                <w:t>[S2 p3 §IX]</w:t>
              </w:r>
            </w:hyperlink>
            <w:r>
              <w:rPr>
                <w:rFonts w:ascii="Arial" w:hAnsi="Arial"/>
                <w:color w:val="20252D"/>
                <w:sz w:val="21"/>
              </w:rPr>
            </w:r>
          </w:p>
        </w:tc>
      </w:tr>
      <w:tr>
        <w:trPr>
          <w:cantSplit/>
        </w:trPr>
        <w:tc>
          <w:tcPr>
            <w:tcW w:type="dxa" w:w="8064"/>
            <w:vAlign w:val="center"/>
            <w:shd w:fill="FFFFFF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rial" w:hAnsi="Arial"/>
                <w:color w:val="20252D"/>
                <w:sz w:val="21"/>
              </w:rPr>
              <w:t>Continue all base-year requirements during any exercised option year.</w:t>
            </w:r>
          </w:p>
        </w:tc>
        <w:tc>
          <w:tcPr>
            <w:tcW w:type="dxa" w:w="2016"/>
            <w:vAlign w:val="center"/>
            <w:shd w:fill="FFFFFF"/>
          </w:tcPr>
          <w:p>
            <w:pPr>
              <w:keepNext w:val="0"/>
              <w:widowControl/>
              <w:spacing w:before="0" w:after="0" w:line="250" w:lineRule="auto"/>
              <w:jc w:val="center"/>
            </w:pPr>
            <w:r>
              <w:rPr>
                <w:rFonts w:ascii="Arial" w:hAnsi="Arial"/>
                <w:color w:val="20252D"/>
                <w:sz w:val="21"/>
              </w:rPr>
            </w:r>
            <w:hyperlink r:id="rId13" w:history="1">
              <w:r>
                <w:rPr>
                  <w:rFonts w:ascii="Arial" w:hAnsi="Arial"/>
                  <w:color w:val="126B80"/>
                  <w:sz w:val="21"/>
                </w:rPr>
                <w:t>[S2 p2]</w:t>
              </w:r>
            </w:hyperlink>
            <w:r>
              <w:rPr>
                <w:rFonts w:ascii="Arial" w:hAnsi="Arial"/>
                <w:color w:val="20252D"/>
                <w:sz w:val="21"/>
              </w:rPr>
            </w:r>
          </w:p>
        </w:tc>
      </w:tr>
    </w:tbl>
    <w:p>
      <w:pPr>
        <w:spacing w:after="0" w:before="0" w:line="80" w:lineRule="exact"/>
      </w:pPr>
      <w:r>
        <w:rPr>
          <w:rFonts w:ascii="Arial" w:hAnsi="Arial"/>
          <w:color w:val="20252D"/>
          <w:sz w:val="6"/>
        </w:rPr>
      </w:r>
    </w:p>
    <w:p>
      <w:pPr>
        <w:spacing w:after="0" w:line="20" w:lineRule="exact"/>
      </w:pPr>
      <w:r>
        <w:br w:type="page"/>
      </w:r>
    </w:p>
    <w:p>
      <w:pPr>
        <w:pStyle w:val="Heading1"/>
      </w:pPr>
      <w:r>
        <w:rPr>
          <w:rFonts w:ascii="Arial" w:hAnsi="Arial"/>
          <w:color w:val="000000"/>
        </w:rPr>
        <w:t>Pursuit risks</w:t>
      </w: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100" w:type="dxa"/>
          <w:bottom w:w="100" w:type="dxa"/>
          <w:left w:w="120" w:type="dxa"/>
          <w:right w:w="120" w:type="dxa"/>
        </w:tblCellMar>
      </w:tblPr>
      <w:tblGrid>
        <w:gridCol w:w="2016"/>
        <w:gridCol w:w="6264"/>
        <w:gridCol w:w="1800"/>
      </w:tblGrid>
      <w:tr>
        <w:trPr>
          <w:cantSplit/>
          <w:tblHeader/>
        </w:trPr>
        <w:tc>
          <w:tcPr>
            <w:tcW w:type="dxa" w:w="2016"/>
            <w:vAlign w:val="center"/>
            <w:shd w:fill="19253D"/>
          </w:tcPr>
          <w:p>
            <w:pPr>
              <w:keepNext/>
              <w:widowControl/>
              <w:spacing w:before="0" w:after="0" w:line="250" w:lineRule="auto"/>
            </w:pPr>
            <w:r>
              <w:rPr>
                <w:rFonts w:ascii="Arial" w:hAnsi="Arial"/>
                <w:b/>
                <w:color w:val="FFFFFF"/>
                <w:sz w:val="21"/>
              </w:rPr>
              <w:t>Risk</w:t>
            </w:r>
          </w:p>
        </w:tc>
        <w:tc>
          <w:tcPr>
            <w:tcW w:type="dxa" w:w="6264"/>
            <w:vAlign w:val="center"/>
            <w:shd w:fill="19253D"/>
          </w:tcPr>
          <w:p>
            <w:pPr>
              <w:keepNext/>
              <w:widowControl/>
              <w:spacing w:before="0" w:after="0" w:line="250" w:lineRule="auto"/>
            </w:pPr>
            <w:r>
              <w:rPr>
                <w:rFonts w:ascii="Arial" w:hAnsi="Arial"/>
                <w:b/>
                <w:color w:val="FFFFFF"/>
                <w:sz w:val="21"/>
              </w:rPr>
              <w:t>Details</w:t>
            </w:r>
          </w:p>
        </w:tc>
        <w:tc>
          <w:tcPr>
            <w:tcW w:type="dxa" w:w="1800"/>
            <w:vAlign w:val="center"/>
            <w:shd w:fill="19253D"/>
          </w:tcPr>
          <w:p>
            <w:pPr>
              <w:keepNext/>
              <w:widowControl/>
              <w:spacing w:before="0" w:after="0" w:line="250" w:lineRule="auto"/>
              <w:jc w:val="center"/>
            </w:pPr>
            <w:r>
              <w:rPr>
                <w:rFonts w:ascii="Arial" w:hAnsi="Arial"/>
                <w:b/>
                <w:color w:val="FFFFFF"/>
                <w:sz w:val="21"/>
              </w:rPr>
              <w:t>Citation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FFFFF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rial" w:hAnsi="Arial"/>
                <w:color w:val="20252D"/>
                <w:sz w:val="21"/>
              </w:rPr>
              <w:t>Security authorization</w:t>
            </w:r>
          </w:p>
        </w:tc>
        <w:tc>
          <w:tcPr>
            <w:tcW w:type="dxa" w:w="6264"/>
            <w:vAlign w:val="center"/>
            <w:shd w:fill="FFFFFF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rial" w:hAnsi="Arial"/>
                <w:color w:val="20252D"/>
                <w:sz w:val="21"/>
              </w:rPr>
              <w:t>Authorization must cover the proposed service and applicable subcontractors that access government information. A partner’s ATO may not cover the complete solution or team.</w:t>
            </w:r>
          </w:p>
        </w:tc>
        <w:tc>
          <w:tcPr>
            <w:tcW w:type="dxa" w:w="1800"/>
            <w:vAlign w:val="center"/>
            <w:shd w:fill="FFFFFF"/>
          </w:tcPr>
          <w:p>
            <w:pPr>
              <w:keepNext w:val="0"/>
              <w:widowControl/>
              <w:spacing w:before="0" w:after="0" w:line="250" w:lineRule="auto"/>
              <w:jc w:val="center"/>
            </w:pPr>
            <w:r>
              <w:rPr>
                <w:rFonts w:ascii="Arial" w:hAnsi="Arial"/>
                <w:color w:val="20252D"/>
                <w:sz w:val="21"/>
              </w:rPr>
            </w:r>
            <w:hyperlink r:id="rId13" w:history="1">
              <w:r>
                <w:rPr>
                  <w:rFonts w:ascii="Arial" w:hAnsi="Arial"/>
                  <w:color w:val="126B80"/>
                  <w:sz w:val="21"/>
                </w:rPr>
                <w:t>[S2 p2 §16]</w:t>
              </w:r>
            </w:hyperlink>
            <w:r>
              <w:rPr>
                <w:rFonts w:ascii="Arial" w:hAnsi="Arial"/>
                <w:color w:val="20252D"/>
                <w:sz w:val="21"/>
              </w:rPr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1F6F8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rial" w:hAnsi="Arial"/>
                <w:color w:val="20252D"/>
                <w:sz w:val="21"/>
              </w:rPr>
              <w:t>Licensing scope</w:t>
            </w:r>
          </w:p>
        </w:tc>
        <w:tc>
          <w:tcPr>
            <w:tcW w:type="dxa" w:w="6264"/>
            <w:vAlign w:val="center"/>
            <w:shd w:fill="F1F6F8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rial" w:hAnsi="Arial"/>
                <w:color w:val="20252D"/>
                <w:sz w:val="21"/>
              </w:rPr>
              <w:t>A basic key product may not support all required modular SKUs, free-product controls and distributor workflows.</w:t>
            </w:r>
          </w:p>
        </w:tc>
        <w:tc>
          <w:tcPr>
            <w:tcW w:type="dxa" w:w="1800"/>
            <w:vAlign w:val="center"/>
            <w:shd w:fill="F1F6F8"/>
          </w:tcPr>
          <w:p>
            <w:pPr>
              <w:keepNext w:val="0"/>
              <w:widowControl/>
              <w:spacing w:before="0" w:after="0" w:line="250" w:lineRule="auto"/>
              <w:jc w:val="center"/>
            </w:pPr>
            <w:r>
              <w:rPr>
                <w:rFonts w:ascii="Arial" w:hAnsi="Arial"/>
                <w:color w:val="20252D"/>
                <w:sz w:val="21"/>
              </w:rPr>
            </w:r>
            <w:hyperlink r:id="rId13" w:history="1">
              <w:r>
                <w:rPr>
                  <w:rFonts w:ascii="Arial" w:hAnsi="Arial"/>
                  <w:color w:val="126B80"/>
                  <w:sz w:val="21"/>
                </w:rPr>
                <w:t>[S2 pp1–2]</w:t>
              </w:r>
            </w:hyperlink>
            <w:r>
              <w:rPr>
                <w:rFonts w:ascii="Arial" w:hAnsi="Arial"/>
                <w:color w:val="20252D"/>
                <w:sz w:val="21"/>
              </w:rPr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FFFFF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rial" w:hAnsi="Arial"/>
                <w:color w:val="20252D"/>
                <w:sz w:val="21"/>
              </w:rPr>
              <w:t>Deadline uncertainty</w:t>
            </w:r>
          </w:p>
        </w:tc>
        <w:tc>
          <w:tcPr>
            <w:tcW w:type="dxa" w:w="6264"/>
            <w:vAlign w:val="center"/>
            <w:shd w:fill="FFFFFF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rial" w:hAnsi="Arial"/>
                <w:color w:val="20252D"/>
                <w:sz w:val="21"/>
              </w:rPr>
              <w:t>The notice extends the response date, but its time-zone wording conflicts with the structured timestamp.</w:t>
            </w:r>
          </w:p>
        </w:tc>
        <w:tc>
          <w:tcPr>
            <w:tcW w:type="dxa" w:w="1800"/>
            <w:vAlign w:val="center"/>
            <w:shd w:fill="FFFFFF"/>
          </w:tcPr>
          <w:p>
            <w:pPr>
              <w:keepNext w:val="0"/>
              <w:widowControl/>
              <w:spacing w:before="0" w:after="0" w:line="250" w:lineRule="auto"/>
              <w:jc w:val="center"/>
            </w:pPr>
            <w:r>
              <w:rPr>
                <w:rFonts w:ascii="Arial" w:hAnsi="Arial"/>
                <w:color w:val="20252D"/>
                <w:sz w:val="21"/>
              </w:rPr>
            </w:r>
            <w:hyperlink r:id="rId16" w:history="1">
              <w:r>
                <w:rPr>
                  <w:rFonts w:ascii="Arial" w:hAnsi="Arial"/>
                  <w:color w:val="126B80"/>
                  <w:sz w:val="21"/>
                </w:rPr>
                <w:t>[S5]</w:t>
              </w:r>
            </w:hyperlink>
            <w:r>
              <w:rPr>
                <w:rFonts w:ascii="Arial" w:hAnsi="Arial"/>
                <w:color w:val="20252D"/>
                <w:sz w:val="21"/>
              </w:rPr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1F6F8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rial" w:hAnsi="Arial"/>
                <w:color w:val="20252D"/>
                <w:sz w:val="21"/>
              </w:rPr>
              <w:t>Incomplete pricing</w:t>
            </w:r>
          </w:p>
        </w:tc>
        <w:tc>
          <w:tcPr>
            <w:tcW w:type="dxa" w:w="6264"/>
            <w:vAlign w:val="center"/>
            <w:shd w:fill="F1F6F8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rial" w:hAnsi="Arial"/>
                <w:color w:val="20252D"/>
                <w:sz w:val="21"/>
              </w:rPr>
              <w:t>Omitting required support, integration or option costs would leave the offer incomplete.</w:t>
            </w:r>
          </w:p>
        </w:tc>
        <w:tc>
          <w:tcPr>
            <w:tcW w:type="dxa" w:w="1800"/>
            <w:vAlign w:val="center"/>
            <w:shd w:fill="F1F6F8"/>
          </w:tcPr>
          <w:p>
            <w:pPr>
              <w:keepNext w:val="0"/>
              <w:widowControl/>
              <w:spacing w:before="0" w:after="0" w:line="250" w:lineRule="auto"/>
              <w:jc w:val="center"/>
            </w:pPr>
            <w:r>
              <w:rPr>
                <w:rFonts w:ascii="Arial" w:hAnsi="Arial"/>
                <w:color w:val="20252D"/>
                <w:sz w:val="21"/>
              </w:rPr>
            </w:r>
            <w:hyperlink r:id="rId15" w:history="1">
              <w:r>
                <w:rPr>
                  <w:rFonts w:ascii="Arial" w:hAnsi="Arial"/>
                  <w:color w:val="126B80"/>
                  <w:sz w:val="21"/>
                </w:rPr>
                <w:t>[S1 p3]</w:t>
              </w:r>
            </w:hyperlink>
            <w:r>
              <w:rPr>
                <w:rFonts w:ascii="Arial" w:hAnsi="Arial"/>
                <w:color w:val="20252D"/>
                <w:sz w:val="21"/>
              </w:rPr>
            </w:r>
          </w:p>
        </w:tc>
      </w:tr>
    </w:tbl>
    <w:p>
      <w:pPr>
        <w:spacing w:after="0" w:before="0" w:line="80" w:lineRule="exact"/>
      </w:pPr>
      <w:r>
        <w:rPr>
          <w:rFonts w:ascii="Arial" w:hAnsi="Arial"/>
          <w:color w:val="20252D"/>
          <w:sz w:val="6"/>
        </w:rPr>
      </w:r>
    </w:p>
    <w:p>
      <w:pPr>
        <w:pStyle w:val="Heading1"/>
        <w:spacing w:before="320"/>
      </w:pPr>
      <w:r>
        <w:rPr>
          <w:rFonts w:ascii="Arial" w:hAnsi="Arial"/>
          <w:color w:val="000000"/>
        </w:rPr>
        <w:t>Capture actions</w:t>
      </w: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100" w:type="dxa"/>
          <w:bottom w:w="100" w:type="dxa"/>
          <w:left w:w="120" w:type="dxa"/>
          <w:right w:w="120" w:type="dxa"/>
        </w:tblCellMar>
      </w:tblPr>
      <w:tblGrid>
        <w:gridCol w:w="7704"/>
        <w:gridCol w:w="2376"/>
      </w:tblGrid>
      <w:tr>
        <w:trPr>
          <w:cantSplit/>
          <w:tblHeader/>
        </w:trPr>
        <w:tc>
          <w:tcPr>
            <w:tcW w:type="dxa" w:w="7704"/>
            <w:vAlign w:val="center"/>
            <w:shd w:fill="19253D"/>
          </w:tcPr>
          <w:p>
            <w:pPr>
              <w:keepNext/>
              <w:widowControl/>
              <w:spacing w:before="0" w:after="0" w:line="250" w:lineRule="auto"/>
            </w:pPr>
            <w:r>
              <w:rPr>
                <w:rFonts w:ascii="Arial" w:hAnsi="Arial"/>
                <w:b/>
                <w:color w:val="FFFFFF"/>
                <w:sz w:val="21"/>
              </w:rPr>
              <w:t>Action</w:t>
            </w:r>
          </w:p>
        </w:tc>
        <w:tc>
          <w:tcPr>
            <w:tcW w:type="dxa" w:w="2376"/>
            <w:vAlign w:val="center"/>
            <w:shd w:fill="19253D"/>
          </w:tcPr>
          <w:p>
            <w:pPr>
              <w:keepNext/>
              <w:widowControl/>
              <w:spacing w:before="0" w:after="0" w:line="250" w:lineRule="auto"/>
            </w:pPr>
            <w:r>
              <w:rPr>
                <w:rFonts w:ascii="Arial" w:hAnsi="Arial"/>
                <w:b/>
                <w:color w:val="FFFFFF"/>
                <w:sz w:val="21"/>
              </w:rPr>
              <w:t>Timing</w:t>
            </w:r>
          </w:p>
        </w:tc>
      </w:tr>
      <w:tr>
        <w:trPr>
          <w:cantSplit/>
        </w:trPr>
        <w:tc>
          <w:tcPr>
            <w:tcW w:type="dxa" w:w="7704"/>
            <w:vAlign w:val="center"/>
            <w:shd w:fill="FFFFFF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rial" w:hAnsi="Arial"/>
                <w:color w:val="20252D"/>
                <w:sz w:val="21"/>
              </w:rPr>
              <w:t>Confirm the controlling response date/time and amendments; record one agreed submission deadline.</w:t>
            </w:r>
          </w:p>
        </w:tc>
        <w:tc>
          <w:tcPr>
            <w:tcW w:type="dxa" w:w="2376"/>
            <w:vAlign w:val="center"/>
            <w:shd w:fill="FFFFFF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rial" w:hAnsi="Arial"/>
                <w:color w:val="20252D"/>
                <w:sz w:val="21"/>
              </w:rPr>
              <w:t>Immediately</w:t>
            </w:r>
          </w:p>
        </w:tc>
      </w:tr>
      <w:tr>
        <w:trPr>
          <w:cantSplit/>
        </w:trPr>
        <w:tc>
          <w:tcPr>
            <w:tcW w:type="dxa" w:w="7704"/>
            <w:vAlign w:val="center"/>
            <w:shd w:fill="F1F6F8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rial" w:hAnsi="Arial"/>
                <w:color w:val="20252D"/>
                <w:sz w:val="21"/>
              </w:rPr>
              <w:t>If preparing a response, verify small-business eligibility and active SAM registration.</w:t>
            </w:r>
          </w:p>
        </w:tc>
        <w:tc>
          <w:tcPr>
            <w:tcW w:type="dxa" w:w="2376"/>
            <w:vAlign w:val="center"/>
            <w:shd w:fill="F1F6F8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rial" w:hAnsi="Arial"/>
                <w:color w:val="20252D"/>
                <w:sz w:val="21"/>
              </w:rPr>
              <w:t>Before quotation</w:t>
            </w:r>
          </w:p>
        </w:tc>
      </w:tr>
      <w:tr>
        <w:trPr>
          <w:cantSplit/>
        </w:trPr>
        <w:tc>
          <w:tcPr>
            <w:tcW w:type="dxa" w:w="7704"/>
            <w:vAlign w:val="center"/>
            <w:shd w:fill="FFFFFF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rial" w:hAnsi="Arial"/>
                <w:color w:val="20252D"/>
                <w:sz w:val="21"/>
              </w:rPr>
              <w:t>Identify the product/version and covered parties; collect the ATO and any required review permissions.</w:t>
            </w:r>
          </w:p>
        </w:tc>
        <w:tc>
          <w:tcPr>
            <w:tcW w:type="dxa" w:w="2376"/>
            <w:vAlign w:val="center"/>
            <w:shd w:fill="FFFFFF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rial" w:hAnsi="Arial"/>
                <w:color w:val="20252D"/>
                <w:sz w:val="21"/>
              </w:rPr>
              <w:t>Before settling the solution</w:t>
            </w:r>
          </w:p>
        </w:tc>
      </w:tr>
      <w:tr>
        <w:trPr>
          <w:cantSplit/>
        </w:trPr>
        <w:tc>
          <w:tcPr>
            <w:tcW w:type="dxa" w:w="7704"/>
            <w:vAlign w:val="center"/>
            <w:shd w:fill="F1F6F8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rial" w:hAnsi="Arial"/>
                <w:color w:val="20252D"/>
                <w:sz w:val="21"/>
              </w:rPr>
              <w:t>Use the individual requirements to build a response crosswalk and identify the evidence needed for each.</w:t>
            </w:r>
          </w:p>
        </w:tc>
        <w:tc>
          <w:tcPr>
            <w:tcW w:type="dxa" w:w="2376"/>
            <w:vAlign w:val="center"/>
            <w:shd w:fill="F1F6F8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rial" w:hAnsi="Arial"/>
                <w:color w:val="20252D"/>
                <w:sz w:val="21"/>
              </w:rPr>
              <w:t>Before response drafting</w:t>
            </w:r>
          </w:p>
        </w:tc>
      </w:tr>
      <w:tr>
        <w:trPr>
          <w:cantSplit/>
        </w:trPr>
        <w:tc>
          <w:tcPr>
            <w:tcW w:type="dxa" w:w="7704"/>
            <w:vAlign w:val="center"/>
            <w:shd w:fill="FFFFFF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rial" w:hAnsi="Arial"/>
                <w:color w:val="20252D"/>
                <w:sz w:val="21"/>
              </w:rPr>
              <w:t xml:space="preserve">Collect up to three recent relevant references and complete base/option pricing, including support. </w:t>
            </w:r>
            <w:hyperlink r:id="rId15" w:history="1">
              <w:r>
                <w:rPr>
                  <w:rFonts w:ascii="Arial" w:hAnsi="Arial"/>
                  <w:color w:val="126B80"/>
                  <w:sz w:val="21"/>
                </w:rPr>
                <w:t>[S1 p3]</w:t>
              </w:r>
            </w:hyperlink>
            <w:r>
              <w:rPr>
                <w:rFonts w:ascii="Arial" w:hAnsi="Arial"/>
                <w:color w:val="20252D"/>
                <w:sz w:val="21"/>
              </w:rPr>
            </w:r>
          </w:p>
        </w:tc>
        <w:tc>
          <w:tcPr>
            <w:tcW w:type="dxa" w:w="2376"/>
            <w:vAlign w:val="center"/>
            <w:shd w:fill="FFFFFF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rial" w:hAnsi="Arial"/>
                <w:color w:val="20252D"/>
                <w:sz w:val="21"/>
              </w:rPr>
              <w:t>During response preparation</w:t>
            </w:r>
          </w:p>
        </w:tc>
      </w:tr>
    </w:tbl>
    <w:p>
      <w:pPr>
        <w:spacing w:after="0" w:before="0" w:line="80" w:lineRule="exact"/>
      </w:pPr>
      <w:r>
        <w:rPr>
          <w:rFonts w:ascii="Arial" w:hAnsi="Arial"/>
          <w:color w:val="20252D"/>
          <w:sz w:val="6"/>
        </w:rPr>
      </w:r>
    </w:p>
    <w:p>
      <w:pPr>
        <w:spacing w:after="0" w:line="20" w:lineRule="exact"/>
      </w:pPr>
      <w:r>
        <w:br w:type="page"/>
      </w:r>
    </w:p>
    <w:p>
      <w:pPr>
        <w:pStyle w:val="Heading1"/>
      </w:pPr>
      <w:r>
        <w:rPr>
          <w:rFonts w:ascii="Arial" w:hAnsi="Arial"/>
          <w:color w:val="000000"/>
        </w:rPr>
        <w:t>Sources</w:t>
      </w:r>
    </w:p>
    <w:p>
      <w:pPr>
        <w:pStyle w:val="Heading2"/>
      </w:pPr>
      <w:r>
        <w:rPr>
          <w:rFonts w:ascii="Arial" w:hAnsi="Arial"/>
          <w:color w:val="000000"/>
        </w:rPr>
        <w:t>Source change requiring confirmation</w:t>
      </w:r>
    </w:p>
    <w:p>
      <w:pPr>
        <w:pStyle w:val="Small"/>
      </w:pPr>
      <w:r>
        <w:rPr>
          <w:rFonts w:ascii="Arial" w:hAnsi="Arial"/>
          <w:color w:val="555E6B"/>
        </w:rPr>
        <w:t xml:space="preserve">The original PDF says 10 AM Eastern on 11 September. The 8 September notice changes the date to 15 September and says “10AM EST”; the structured record is 14:00 UTC, corresponding to 10 AM EDT. The 10 September update says the deadline is unchanged. The contracts lead must confirm the controlling time. </w:t>
      </w:r>
      <w:hyperlink r:id="rId15" w:history="1">
        <w:r>
          <w:rPr>
            <w:rFonts w:ascii="Arial" w:hAnsi="Arial"/>
            <w:color w:val="126B80"/>
          </w:rPr>
          <w:t>[S1 p2]</w:t>
        </w:r>
      </w:hyperlink>
      <w:r>
        <w:rPr>
          <w:rFonts w:ascii="Arial" w:hAnsi="Arial"/>
          <w:color w:val="555E6B"/>
        </w:rPr>
        <w:t xml:space="preserve"> </w:t>
      </w:r>
      <w:hyperlink r:id="rId16" w:history="1">
        <w:r>
          <w:rPr>
            <w:rFonts w:ascii="Arial" w:hAnsi="Arial"/>
            <w:color w:val="126B80"/>
          </w:rPr>
          <w:t>[S5]</w:t>
        </w:r>
      </w:hyperlink>
      <w:r>
        <w:rPr>
          <w:rFonts w:ascii="Arial" w:hAnsi="Arial"/>
          <w:color w:val="555E6B"/>
        </w:rPr>
      </w:r>
    </w:p>
    <w:p>
      <w:pPr>
        <w:pStyle w:val="Heading2"/>
      </w:pPr>
      <w:r>
        <w:rPr>
          <w:rFonts w:ascii="Arial" w:hAnsi="Arial"/>
          <w:color w:val="000000"/>
        </w:rPr>
        <w:t>Source register</w:t>
      </w:r>
    </w:p>
    <w:p>
      <w:pPr>
        <w:pStyle w:val="Source"/>
      </w:pPr>
      <w:hyperlink r:id="rId15" w:history="1">
        <w:r>
          <w:rPr>
            <w:rFonts w:ascii="Arial" w:hAnsi="Arial"/>
            <w:color w:val="126B80"/>
            <w:sz w:val="19"/>
          </w:rPr>
          <w:t>S1  Combined synopsis and solicitation</w:t>
        </w:r>
      </w:hyperlink>
      <w:r>
        <w:rPr>
          <w:rFonts w:ascii="Arial" w:hAnsi="Arial"/>
          <w:color w:val="555E6B"/>
          <w:sz w:val="19"/>
        </w:rPr>
        <w:t xml:space="preserve">  1 September 2026. Pages 1–3: eligibility, quotation instructions, evaluation and pricing.</w:t>
      </w:r>
    </w:p>
    <w:p>
      <w:pPr>
        <w:pStyle w:val="Source"/>
      </w:pPr>
      <w:hyperlink r:id="rId13" w:history="1">
        <w:r>
          <w:rPr>
            <w:rFonts w:ascii="Arial" w:hAnsi="Arial"/>
            <w:color w:val="126B80"/>
            <w:sz w:val="19"/>
          </w:rPr>
          <w:t>S2  Statement of work</w:t>
        </w:r>
      </w:hyperlink>
      <w:r>
        <w:rPr>
          <w:rFonts w:ascii="Arial" w:hAnsi="Arial"/>
          <w:color w:val="555E6B"/>
          <w:sz w:val="19"/>
        </w:rPr>
        <w:t xml:space="preserve">  1 September 2026. Pages 1–4: technical requirements, security, delivery and acceptance.</w:t>
      </w:r>
    </w:p>
    <w:p>
      <w:pPr>
        <w:pStyle w:val="Source"/>
      </w:pPr>
      <w:hyperlink r:id="rId14" w:history="1">
        <w:r>
          <w:rPr>
            <w:rFonts w:ascii="Arial" w:hAnsi="Arial"/>
            <w:color w:val="126B80"/>
            <w:sz w:val="19"/>
          </w:rPr>
          <w:t>S3  Questions and responses</w:t>
        </w:r>
      </w:hyperlink>
      <w:r>
        <w:rPr>
          <w:rFonts w:ascii="Arial" w:hAnsi="Arial"/>
          <w:color w:val="555E6B"/>
          <w:sz w:val="19"/>
        </w:rPr>
        <w:t xml:space="preserve">  10 September 2026. Product scope, current process and first-system clarification.</w:t>
      </w:r>
    </w:p>
    <w:p>
      <w:pPr>
        <w:pStyle w:val="Source"/>
      </w:pPr>
      <w:hyperlink r:id="rId19" w:history="1">
        <w:r>
          <w:rPr>
            <w:rFonts w:ascii="Arial" w:hAnsi="Arial"/>
            <w:color w:val="126B80"/>
            <w:sz w:val="19"/>
          </w:rPr>
          <w:t>S4  Applicable provisions and clauses</w:t>
        </w:r>
      </w:hyperlink>
      <w:r>
        <w:rPr>
          <w:rFonts w:ascii="Arial" w:hAnsi="Arial"/>
          <w:color w:val="555E6B"/>
          <w:sz w:val="19"/>
        </w:rPr>
        <w:t xml:space="preserve">  1 September 2026. Seven-page attachment; incorporated external texts require separate review.</w:t>
      </w:r>
    </w:p>
    <w:p>
      <w:pPr>
        <w:pStyle w:val="Source"/>
      </w:pPr>
      <w:hyperlink r:id="rId16" w:history="1">
        <w:r>
          <w:rPr>
            <w:rFonts w:ascii="Arial" w:hAnsi="Arial"/>
            <w:color w:val="126B80"/>
            <w:sz w:val="19"/>
          </w:rPr>
          <w:t>S5  Opportunity notice and change history</w:t>
        </w:r>
      </w:hyperlink>
      <w:r>
        <w:rPr>
          <w:rFonts w:ascii="Arial" w:hAnsi="Arial"/>
          <w:color w:val="555E6B"/>
          <w:sz w:val="19"/>
        </w:rPr>
        <w:t xml:space="preserve">  8 September deadline extension; 10 September Q&amp;A update. Retrieved 11 September 2026.</w:t>
      </w:r>
    </w:p>
    <w:p>
      <w:pPr>
        <w:pStyle w:val="Source"/>
      </w:pPr>
      <w:hyperlink r:id="rId17" w:history="1">
        <w:r>
          <w:rPr>
            <w:rFonts w:ascii="Arial" w:hAnsi="Arial"/>
            <w:color w:val="126B80"/>
            <w:sz w:val="19"/>
          </w:rPr>
          <w:t>S6  Exact linked award search</w:t>
        </w:r>
      </w:hyperlink>
      <w:r>
        <w:rPr>
          <w:rFonts w:ascii="Arial" w:hAnsi="Arial"/>
          <w:color w:val="555E6B"/>
          <w:sz w:val="19"/>
        </w:rPr>
        <w:t xml:space="preserve">  11 September 2026. Exact opportunity: 0 awards. Matching notice-chain search also returned 0; query evidence retained.</w:t>
      </w:r>
    </w:p>
    <w:p>
      <w:pPr>
        <w:pStyle w:val="Source"/>
      </w:pPr>
      <w:hyperlink r:id="rId18" w:history="1">
        <w:r>
          <w:rPr>
            <w:rFonts w:ascii="Arial" w:hAnsi="Arial"/>
            <w:color w:val="126B80"/>
            <w:sz w:val="19"/>
          </w:rPr>
          <w:t>S7  Exact linked IDV search</w:t>
        </w:r>
      </w:hyperlink>
      <w:r>
        <w:rPr>
          <w:rFonts w:ascii="Arial" w:hAnsi="Arial"/>
          <w:color w:val="555E6B"/>
          <w:sz w:val="19"/>
        </w:rPr>
        <w:t xml:space="preserve">  11 September 2026. Exact opportunity: 0 IDVs. Matching notice-chain search also returned 0; query evidence retained.</w:t>
      </w:r>
    </w:p>
    <w:p>
      <w:pPr>
        <w:pStyle w:val="Small"/>
      </w:pPr>
      <w:r>
        <w:rPr>
          <w:rFonts w:ascii="Arial" w:hAnsi="Arial"/>
          <w:color w:val="555E6B"/>
        </w:rPr>
        <w:t>Sources reviewed as of 11 September 2026. Recheck for live work. Exact-linkage queries do not establish an incumbent or the absence of related work. Detailed quotation instructions, conditional site-access rules and incorporated external clauses need separate response review.</w:t>
      </w:r>
    </w:p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2240" w:h="15840"/>
      <w:pgMar w:top="1238" w:right="1080" w:bottom="1008" w:left="1080" w:header="475" w:footer="49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555E6B"/>
        <w:sz w:val="16"/>
      </w:rPr>
      <w:t xml:space="preserve">Page </w:t>
    </w:r>
    <w:r>
      <w:rPr>
        <w:rFonts w:ascii="Arial" w:hAnsi="Arial"/>
        <w:color w:val="555E6B"/>
        <w:sz w:val="16"/>
      </w:rPr>
      <w:fldChar w:fldCharType="begin"/>
      <w:instrText xml:space="preserve"> PAGE </w:instrText>
      <w:fldChar w:fldCharType="separate"/>
    </w:r>
    <w:r>
      <w:rPr>
        <w:rFonts w:ascii="Arial" w:hAnsi="Arial"/>
        <w:color w:val="555E6B"/>
        <w:sz w:val="16"/>
      </w:rPr>
      <w:t>1</w:t>
    </w:r>
    <w:r>
      <w:rPr>
        <w:rFonts w:ascii="Arial" w:hAnsi="Arial"/>
        <w:color w:val="555E6B"/>
        <w:sz w:val="16"/>
      </w:rPr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555E6B"/>
        <w:sz w:val="16"/>
      </w:rPr>
      <w:t xml:space="preserve">Page </w:t>
    </w:r>
    <w:r>
      <w:rPr>
        <w:rFonts w:ascii="Arial" w:hAnsi="Arial"/>
        <w:color w:val="555E6B"/>
        <w:sz w:val="16"/>
      </w:rPr>
      <w:fldChar w:fldCharType="begin"/>
      <w:instrText xml:space="preserve"> PAGE </w:instrText>
      <w:fldChar w:fldCharType="separate"/>
    </w:r>
    <w:r>
      <w:rPr>
        <w:rFonts w:ascii="Arial" w:hAnsi="Arial"/>
        <w:color w:val="555E6B"/>
        <w:sz w:val="16"/>
      </w:rPr>
      <w:t>1</w:t>
    </w:r>
    <w:r>
      <w:rPr>
        <w:rFonts w:ascii="Arial" w:hAnsi="Arial"/>
        <w:color w:val="555E6B"/>
        <w:sz w:val="16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line="240" w:lineRule="auto" w:after="0"/>
    </w:pPr>
    <w:r>
      <w:drawing>
        <wp:inline xmlns:a="http://schemas.openxmlformats.org/drawingml/2006/main" xmlns:pic="http://schemas.openxmlformats.org/drawingml/2006/picture">
          <wp:extent cx="1234440" cy="144532"/>
          <wp:docPr id="1" name="Picture 1" descr="Official GovTribe logo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govtribe-light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34440" cy="144532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Arial" w:hAnsi="Arial"/>
        <w:color w:val="34465B"/>
        <w:sz w:val="18"/>
      </w:rPr>
      <w:t xml:space="preserve">    GovTribe, Inc.  ·  UEI EDJBUPNLCCL5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000000"/>
        <w:sz w:val="16"/>
      </w:rPr>
      <w:t>NIST SRD License Key System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64" w:lineRule="auto" w:after="160"/>
    </w:pPr>
    <w:rPr>
      <w:rFonts w:ascii="Arial" w:hAnsi="Arial"/>
      <w:i w:val="0"/>
      <w:color w:val="20252D"/>
      <w:sz w:val="22"/>
      <w:u w:val="none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widowControl/>
      <w:spacing w:after="0" w:line="240" w:lineRule="auto"/>
    </w:pPr>
    <w:rPr>
      <w:rFonts w:ascii="Arial" w:hAnsi="Arial"/>
      <w:i w:val="0"/>
      <w:color w:val="000000"/>
      <w:sz w:val="16"/>
      <w:u w:val="none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widowControl/>
      <w:spacing w:after="0" w:line="240" w:lineRule="auto"/>
    </w:pPr>
    <w:rPr>
      <w:rFonts w:ascii="Arial" w:hAnsi="Arial"/>
      <w:i w:val="0"/>
      <w:color w:val="000000"/>
      <w:sz w:val="16"/>
      <w:u w:val="none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0" w:after="140"/>
      <w:outlineLvl w:val="0"/>
    </w:pPr>
    <w:rPr>
      <w:rFonts w:asciiTheme="majorHAnsi" w:eastAsiaTheme="majorEastAsia" w:hAnsiTheme="majorHAnsi" w:cstheme="majorBidi" w:ascii="Arial" w:hAnsi="Arial"/>
      <w:b/>
      <w:bCs/>
      <w:i w:val="0"/>
      <w:color w:val="000000"/>
      <w:sz w:val="40"/>
      <w:szCs w:val="28"/>
      <w:u w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40" w:after="140"/>
      <w:outlineLvl w:val="1"/>
    </w:pPr>
    <w:rPr>
      <w:rFonts w:asciiTheme="majorHAnsi" w:eastAsiaTheme="majorEastAsia" w:hAnsiTheme="majorHAnsi" w:cstheme="majorBidi" w:ascii="Arial" w:hAnsi="Arial"/>
      <w:b/>
      <w:bCs/>
      <w:i w:val="0"/>
      <w:color w:val="000000"/>
      <w:sz w:val="25"/>
      <w:szCs w:val="26"/>
      <w:u w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140" w:line="240" w:lineRule="auto"/>
      <w:contextualSpacing/>
    </w:pPr>
    <w:rPr>
      <w:rFonts w:asciiTheme="majorHAnsi" w:eastAsiaTheme="majorEastAsia" w:hAnsiTheme="majorHAnsi" w:cstheme="majorBidi" w:ascii="Arial" w:hAnsi="Arial"/>
      <w:b/>
      <w:i w:val="0"/>
      <w:color w:val="000000"/>
      <w:spacing w:val="5"/>
      <w:kern w:val="28"/>
      <w:sz w:val="54"/>
      <w:szCs w:val="52"/>
      <w:u w:val="none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widowControl/>
      <w:numPr>
        <w:ilvl w:val="1"/>
      </w:numPr>
      <w:spacing w:after="240"/>
    </w:pPr>
    <w:rPr>
      <w:rFonts w:asciiTheme="majorHAnsi" w:eastAsiaTheme="majorEastAsia" w:hAnsiTheme="majorHAnsi" w:cstheme="majorBidi" w:ascii="Arial" w:hAnsi="Arial"/>
      <w:b w:val="0"/>
      <w:i w:val="0"/>
      <w:iCs/>
      <w:color w:val="000000"/>
      <w:spacing w:val="15"/>
      <w:sz w:val="28"/>
      <w:szCs w:val="24"/>
      <w:u w:val="none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eta">
    <w:name w:val="Meta"/>
    <w:basedOn w:val="Normal"/>
    <w:pPr>
      <w:spacing w:line="252" w:lineRule="auto" w:after="120"/>
    </w:pPr>
    <w:rPr>
      <w:color w:val="555E6B"/>
      <w:sz w:val="18"/>
    </w:rPr>
  </w:style>
  <w:style w:type="paragraph" w:customStyle="1" w:styleId="Source">
    <w:name w:val="Source"/>
    <w:basedOn w:val="Normal"/>
    <w:pPr>
      <w:spacing w:line="252" w:lineRule="auto" w:after="120"/>
    </w:pPr>
    <w:rPr>
      <w:color w:val="555E6B"/>
      <w:sz w:val="19"/>
    </w:rPr>
  </w:style>
  <w:style w:type="paragraph" w:customStyle="1" w:styleId="Small">
    <w:name w:val="Small"/>
    <w:basedOn w:val="Normal"/>
    <w:pPr>
      <w:spacing w:line="252" w:lineRule="auto" w:after="120"/>
    </w:pPr>
    <w:rPr>
      <w:color w:val="555E6B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hyperlink" Target="https://govtribe.com/file/government-file/sow-srd-license-key-system-final-dot-pdf" TargetMode="External"/><Relationship Id="rId14" Type="http://schemas.openxmlformats.org/officeDocument/2006/relationships/hyperlink" Target="https://govtribe.com/file/government-file/1333nd26qnb640575-question-and-responses-dot-docx" TargetMode="External"/><Relationship Id="rId15" Type="http://schemas.openxmlformats.org/officeDocument/2006/relationships/hyperlink" Target="https://govtribe.com/file/government-file/combined-synopsis-solicitation-dot-pdf-1270" TargetMode="External"/><Relationship Id="rId16" Type="http://schemas.openxmlformats.org/officeDocument/2006/relationships/hyperlink" Target="https://govtribe.com/opportunity/federal-contract-opportunity/srd-license-key-system-1333nd26qnb640575" TargetMode="External"/><Relationship Id="rId17" Type="http://schemas.openxmlformats.org/officeDocument/2006/relationships/hyperlink" Target="https://govtribe.com/award/federal-contract-award?searchId=6aa433955d8294af320ab6f9&amp;utm_source=ai_insights" TargetMode="External"/><Relationship Id="rId18" Type="http://schemas.openxmlformats.org/officeDocument/2006/relationships/hyperlink" Target="https://govtribe.com/award/federal-idv-award?searchId=6aa433958893b7391502d74d&amp;utm_source=ai_insights" TargetMode="External"/><Relationship Id="rId19" Type="http://schemas.openxmlformats.org/officeDocument/2006/relationships/hyperlink" Target="https://govtribe.com/file/government-file/applicable-provisions-and-clauses-dot-pdf-26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NIST SRD License Key System — Opportunity Brief</dc:title>
  <dc:subject>Opportunity context, buyer requirements, pursuit risks, capture actions and sources</dc:subject>
  <dc:creator>GovTribe, Inc.</dc:creator>
  <cp:keywords>opportunity brief, reusable template, review draft</cp:keywords>
  <dc:description>Review 05. Sourced NIST opportunity brief as of 2026-09-11. Company-neutral; no bid/no-bid or fit judgment.</dc:description>
  <cp:lastModifiedBy>GovTribe, Inc.</cp:lastModifiedBy>
  <cp:revision>1</cp:revision>
  <dcterms:created xsi:type="dcterms:W3CDTF">2013-12-23T23:15:00Z</dcterms:created>
  <dcterms:modified xsi:type="dcterms:W3CDTF">2013-12-23T23:15:00Z</dcterms:modified>
  <cp:category/>
</cp:coreProperties>
</file>