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Regulatory records digitization</w:t>
      </w:r>
    </w:p>
    <w:p>
      <w:pPr>
        <w:pStyle w:val="Subtitle"/>
      </w:pPr>
      <w:r>
        <w:t>Past performance project narrative</w:t>
      </w:r>
    </w:p>
    <w:p>
      <w:pPr>
        <w:pStyle w:val="Meta"/>
      </w:pPr>
      <w:r>
        <w:t>GovTribe’s identity is real; scenario assumptions and past performance are illustrative. Customer, project, results and reference contacts are fictional.</w:t>
      </w:r>
    </w:p>
    <w:p>
      <w:pPr>
        <w:pStyle w:val="Meta"/>
      </w:pPr>
      <w:r>
        <w:t>For MSHA Digitization Services  |  1605C4-26-R-00035  |  Volume II Factor 4</w:t>
      </w:r>
    </w:p>
    <w:p>
      <w:pPr/>
      <w:r>
        <w:t>GovTribe, Inc. converted 210,000 pages of regulatory records into searchable digital files for the Federal Records Services Office. We completed the nine-month project on July 31, 2025, after correcting image defects and delivering a reconciled index linking each digital record to its physical 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7848"/>
      </w:tblGrid>
      <w:tr>
        <w:trPr>
          <w:cantSplit/>
          <w:tblHeader/>
        </w:trPr>
        <w:tc>
          <w:tcPr>
            <w:tcW w:type="dxa" w:w="2232"/>
            <w:vAlign w:val="center"/>
            <w:shd w:fill="19253D"/>
          </w:tcPr>
          <w:p>
            <w:pPr>
              <w:keepNext/>
              <w:spacing w:after="0" w:line="259" w:lineRule="auto"/>
            </w:pPr>
            <w:r>
              <w:rPr>
                <w:b/>
                <w:color w:val="FFFFFF"/>
                <w:sz w:val="21"/>
              </w:rPr>
              <w:t>Project snapshot</w:t>
            </w:r>
          </w:p>
        </w:tc>
        <w:tc>
          <w:tcPr>
            <w:tcW w:type="dxa" w:w="7848"/>
            <w:vAlign w:val="center"/>
            <w:shd w:fill="19253D"/>
          </w:tcPr>
          <w:p>
            <w:pPr>
              <w:keepNext/>
              <w:spacing w:after="0" w:line="259" w:lineRule="auto"/>
            </w:pPr>
            <w:r>
              <w:rPr>
                <w:b/>
                <w:color w:val="FFFFFF"/>
                <w:sz w:val="21"/>
              </w:rPr>
              <w:t>Details</w:t>
            </w:r>
          </w:p>
        </w:tc>
      </w:tr>
      <w:tr>
        <w:trPr>
          <w:cantSplit/>
        </w:trPr>
        <w:tc>
          <w:tcPr>
            <w:tcW w:type="dxa" w:w="2232"/>
            <w:vAlign w:val="center"/>
            <w:shd w:fill="FFFFFF"/>
          </w:tcPr>
          <w:p>
            <w:pPr>
              <w:keepNext w:val="0"/>
              <w:spacing w:after="0" w:line="259" w:lineRule="auto"/>
            </w:pPr>
            <w:r>
              <w:rPr>
                <w:sz w:val="21"/>
              </w:rPr>
              <w:t>Customer</w:t>
            </w:r>
          </w:p>
        </w:tc>
        <w:tc>
          <w:tcPr>
            <w:tcW w:type="dxa" w:w="7848"/>
            <w:vAlign w:val="center"/>
            <w:shd w:fill="FFFFFF"/>
          </w:tcPr>
          <w:p>
            <w:pPr>
              <w:keepNext w:val="0"/>
              <w:spacing w:after="0" w:line="259" w:lineRule="auto"/>
            </w:pPr>
            <w:r>
              <w:rPr>
                <w:sz w:val="21"/>
              </w:rPr>
              <w:t>Federal Records Services Office</w:t>
            </w:r>
          </w:p>
        </w:tc>
      </w:tr>
      <w:tr>
        <w:trPr>
          <w:cantSplit/>
        </w:trPr>
        <w:tc>
          <w:tcPr>
            <w:tcW w:type="dxa" w:w="2232"/>
            <w:vAlign w:val="center"/>
            <w:shd w:fill="F1F6F8"/>
          </w:tcPr>
          <w:p>
            <w:pPr>
              <w:keepNext w:val="0"/>
              <w:spacing w:after="0" w:line="259" w:lineRule="auto"/>
            </w:pPr>
            <w:r>
              <w:rPr>
                <w:sz w:val="21"/>
              </w:rPr>
              <w:t>Contract and role</w:t>
            </w:r>
          </w:p>
        </w:tc>
        <w:tc>
          <w:tcPr>
            <w:tcW w:type="dxa" w:w="7848"/>
            <w:vAlign w:val="center"/>
            <w:shd w:fill="F1F6F8"/>
          </w:tcPr>
          <w:p>
            <w:pPr>
              <w:keepNext w:val="0"/>
              <w:spacing w:after="0" w:line="259" w:lineRule="auto"/>
            </w:pPr>
            <w:r>
              <w:rPr>
                <w:sz w:val="21"/>
              </w:rPr>
              <w:t>DEMO-RD-2024-01  |  Prime contractor; all services performed by our employees</w:t>
            </w:r>
          </w:p>
        </w:tc>
      </w:tr>
      <w:tr>
        <w:trPr>
          <w:cantSplit/>
        </w:trPr>
        <w:tc>
          <w:tcPr>
            <w:tcW w:type="dxa" w:w="2232"/>
            <w:vAlign w:val="center"/>
            <w:shd w:fill="FFFFFF"/>
          </w:tcPr>
          <w:p>
            <w:pPr>
              <w:keepNext w:val="0"/>
              <w:spacing w:after="0" w:line="259" w:lineRule="auto"/>
            </w:pPr>
            <w:r>
              <w:rPr>
                <w:sz w:val="21"/>
              </w:rPr>
              <w:t>Performance period</w:t>
            </w:r>
          </w:p>
        </w:tc>
        <w:tc>
          <w:tcPr>
            <w:tcW w:type="dxa" w:w="7848"/>
            <w:vAlign w:val="center"/>
            <w:shd w:fill="FFFFFF"/>
          </w:tcPr>
          <w:p>
            <w:pPr>
              <w:keepNext w:val="0"/>
              <w:spacing w:after="0" w:line="259" w:lineRule="auto"/>
            </w:pPr>
            <w:r>
              <w:rPr>
                <w:sz w:val="21"/>
              </w:rPr>
              <w:t>November 1, 2024 – July 31, 2025  |  Completed</w:t>
            </w:r>
          </w:p>
        </w:tc>
      </w:tr>
      <w:tr>
        <w:trPr>
          <w:cantSplit/>
        </w:trPr>
        <w:tc>
          <w:tcPr>
            <w:tcW w:type="dxa" w:w="2232"/>
            <w:vAlign w:val="center"/>
            <w:shd w:fill="F1F6F8"/>
          </w:tcPr>
          <w:p>
            <w:pPr>
              <w:keepNext w:val="0"/>
              <w:spacing w:after="0" w:line="259" w:lineRule="auto"/>
            </w:pPr>
            <w:r>
              <w:rPr>
                <w:sz w:val="21"/>
              </w:rPr>
              <w:t>Contract value</w:t>
            </w:r>
          </w:p>
        </w:tc>
        <w:tc>
          <w:tcPr>
            <w:tcW w:type="dxa" w:w="7848"/>
            <w:vAlign w:val="center"/>
            <w:shd w:fill="F1F6F8"/>
          </w:tcPr>
          <w:p>
            <w:pPr>
              <w:keepNext w:val="0"/>
              <w:spacing w:after="0" w:line="259" w:lineRule="auto"/>
            </w:pPr>
            <w:r>
              <w:rPr>
                <w:sz w:val="21"/>
              </w:rPr>
              <w:t>$420,000 final fixed price; our performed share was $420,000</w:t>
            </w:r>
          </w:p>
        </w:tc>
      </w:tr>
      <w:tr>
        <w:trPr>
          <w:cantSplit/>
        </w:trPr>
        <w:tc>
          <w:tcPr>
            <w:tcW w:type="dxa" w:w="2232"/>
            <w:vAlign w:val="center"/>
            <w:shd w:fill="FFFFFF"/>
          </w:tcPr>
          <w:p>
            <w:pPr>
              <w:keepNext w:val="0"/>
              <w:spacing w:after="0" w:line="259" w:lineRule="auto"/>
            </w:pPr>
            <w:r>
              <w:rPr>
                <w:sz w:val="21"/>
              </w:rPr>
              <w:t>Delivery scope</w:t>
            </w:r>
          </w:p>
        </w:tc>
        <w:tc>
          <w:tcPr>
            <w:tcW w:type="dxa" w:w="7848"/>
            <w:vAlign w:val="center"/>
            <w:shd w:fill="FFFFFF"/>
          </w:tcPr>
          <w:p>
            <w:pPr>
              <w:keepNext w:val="0"/>
              <w:spacing w:after="0" w:line="259" w:lineRule="auto"/>
            </w:pPr>
            <w:r>
              <w:rPr>
                <w:sz w:val="21"/>
              </w:rPr>
              <w:t>70 boxes; 210,000 pages; nine delivery batches</w:t>
            </w:r>
          </w:p>
        </w:tc>
      </w:tr>
    </w:tbl>
    <w:p>
      <w:pPr>
        <w:pStyle w:val="Spacer"/>
      </w:pPr>
      <w:r/>
    </w:p>
    <w:p>
      <w:pPr>
        <w:pStyle w:val="Heading1"/>
      </w:pPr>
      <w:r>
        <w:t>Relevance to the MSHA requirement</w:t>
      </w:r>
    </w:p>
    <w:p>
      <w:pPr/>
      <w:r>
        <w:t>The project combined document preparation, scanning, OCR, metadata, secure transfer and physical-record return. Those activities align with MSHA’s base requirement for approximately 53 boxes and 141,655 pages. Our prior page volume was larger, and the work finished within the solicitation’s three-year recency window. The comparison concerns delivered scope; the target contract price is not established here, so we do not claim comparable dollar value.</w:t>
      </w:r>
    </w:p>
    <w:p>
      <w:pPr/>
      <w:r>
        <w:t>Both efforts involve mixed regulatory files, bound materials and fragile originals. We preserved folder order and recorded OCR exceptions, including handwritten annotations. MSHA also specifies its own metadata, digital formats and acceptance procedures. Our prior results demonstrate related methods, but do not establish compliance with every MSHA requirement or experience validating its optional, previously scanned records.</w:t>
      </w:r>
    </w:p>
    <w:p>
      <w:pPr>
        <w:pStyle w:val="Source"/>
      </w:pPr>
      <w:r>
        <w:t xml:space="preserve">Target comparison: </w:t>
      </w:r>
      <w:hyperlink r:id="rId13">
        <w:r>
          <w:rPr>
            <w:rFonts w:ascii="Arial" w:hAnsi="Arial"/>
            <w:color w:val="126B80"/>
          </w:rPr>
          <w:t>Solicitation pp. 4–5, 10–15 and 26–27</w:t>
        </w:r>
      </w:hyperlink>
      <w:r>
        <w:t>. Project evidence: contract summary and delivery register.</w:t>
      </w:r>
    </w:p>
    <w:p>
      <w:r>
        <w:br w:type="page"/>
      </w:r>
    </w:p>
    <w:p>
      <w:pPr>
        <w:pStyle w:val="Heading1"/>
      </w:pPr>
      <w:r>
        <w:t>Work performed</w:t>
      </w:r>
    </w:p>
    <w:p>
      <w:pPr/>
      <w:r>
        <w:t>The customer needed a searchable working collection while retaining physical records in their original order. Our team managed intake, preparation, imaging, quality review and return. The customer retained authority over record disposition, naming conventions and acceptance; we did not destroy originals or decide which records could be discarded.</w:t>
      </w:r>
    </w:p>
    <w:p>
      <w:pPr/>
      <w:r>
        <w:t>At intake, staff checked all 70 boxes against the customer’s inventory, assigned tracking identifiers and logged each transfer. Preparation staff removed fasteners where permitted, identified damaged or tightly bound pages and kept related enclosures with their source files. Items requiring a different capture method went into an exception queue for customer direction.</w:t>
      </w:r>
    </w:p>
    <w:p>
      <w:pPr/>
      <w:r>
        <w:t>Operators produced image files and searchable PDF derivatives using the agreed capture settings. Metadata connected the record identifier, title, date, source box and folder to the delivered file. A separate quality reviewer compared images with originals, checked file names and page order, and returned deficiencies for correction. We recorded unreadable source text instead of treating every OCR failure as a scanning defect.</w:t>
      </w:r>
    </w:p>
    <w:p>
      <w:pPr/>
      <w:r>
        <w:t>We delivered nine batches through the customer-approved secure transfer service. Each batch included files, metadata, an inventory and a discrepancy report. Monthly progress reports distinguished completed scanning from accepted delivery, allowing the customer to see remaining corrections and upcoming returns. Our employees performed production, quality control and supervision; no partner’s work is attributed to this project.</w:t>
      </w:r>
    </w:p>
    <w:p>
      <w:pPr>
        <w:pStyle w:val="Heading1"/>
      </w:pPr>
      <w:r>
        <w:t>Results and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5" w:type="dxa"/>
          <w:bottom w:w="105" w:type="dxa"/>
          <w:left w:w="130" w:type="dxa"/>
          <w:right w:w="130" w:type="dxa"/>
        </w:tblCellMar>
      </w:tblPr>
      <w:tblGrid>
        <w:gridCol w:w="2232"/>
        <w:gridCol w:w="2232"/>
        <w:gridCol w:w="5616"/>
      </w:tblGrid>
      <w:tr>
        <w:trPr>
          <w:cantSplit/>
          <w:tblHeader/>
        </w:trPr>
        <w:tc>
          <w:tcPr>
            <w:tcW w:type="dxa" w:w="2232"/>
            <w:vAlign w:val="center"/>
            <w:shd w:fill="19253D"/>
          </w:tcPr>
          <w:p>
            <w:pPr>
              <w:keepNext/>
              <w:spacing w:after="0" w:line="259" w:lineRule="auto"/>
            </w:pPr>
            <w:r>
              <w:rPr>
                <w:b/>
                <w:color w:val="FFFFFF"/>
                <w:sz w:val="21"/>
              </w:rPr>
              <w:t>Measure</w:t>
            </w:r>
          </w:p>
        </w:tc>
        <w:tc>
          <w:tcPr>
            <w:tcW w:type="dxa" w:w="2232"/>
            <w:vAlign w:val="center"/>
            <w:shd w:fill="19253D"/>
          </w:tcPr>
          <w:p>
            <w:pPr>
              <w:keepNext/>
              <w:spacing w:after="0" w:line="259" w:lineRule="auto"/>
            </w:pPr>
            <w:r>
              <w:rPr>
                <w:b/>
                <w:color w:val="FFFFFF"/>
                <w:sz w:val="21"/>
              </w:rPr>
              <w:t>Recorded result</w:t>
            </w:r>
          </w:p>
        </w:tc>
        <w:tc>
          <w:tcPr>
            <w:tcW w:type="dxa" w:w="5616"/>
            <w:vAlign w:val="center"/>
            <w:shd w:fill="19253D"/>
          </w:tcPr>
          <w:p>
            <w:pPr>
              <w:keepNext/>
              <w:spacing w:after="0" w:line="259" w:lineRule="auto"/>
            </w:pPr>
            <w:r>
              <w:rPr>
                <w:b/>
                <w:color w:val="FFFFFF"/>
                <w:sz w:val="21"/>
              </w:rPr>
              <w:t>Measurement basis</w:t>
            </w:r>
          </w:p>
        </w:tc>
      </w:tr>
      <w:tr>
        <w:trPr>
          <w:cantSplit/>
        </w:trPr>
        <w:tc>
          <w:tcPr>
            <w:tcW w:type="dxa" w:w="2232"/>
            <w:vAlign w:val="center"/>
            <w:shd w:fill="FFFFFF"/>
          </w:tcPr>
          <w:p>
            <w:pPr>
              <w:keepNext w:val="0"/>
              <w:spacing w:after="0" w:line="259" w:lineRule="auto"/>
            </w:pPr>
            <w:r>
              <w:rPr>
                <w:sz w:val="21"/>
              </w:rPr>
              <w:t>Accepted delivery</w:t>
            </w:r>
          </w:p>
        </w:tc>
        <w:tc>
          <w:tcPr>
            <w:tcW w:type="dxa" w:w="2232"/>
            <w:vAlign w:val="center"/>
            <w:shd w:fill="FFFFFF"/>
          </w:tcPr>
          <w:p>
            <w:pPr>
              <w:keepNext w:val="0"/>
              <w:spacing w:after="0" w:line="259" w:lineRule="auto"/>
            </w:pPr>
            <w:r>
              <w:rPr>
                <w:sz w:val="21"/>
              </w:rPr>
              <w:t>210,000 pages</w:t>
            </w:r>
          </w:p>
        </w:tc>
        <w:tc>
          <w:tcPr>
            <w:tcW w:type="dxa" w:w="5616"/>
            <w:vAlign w:val="center"/>
            <w:shd w:fill="FFFFFF"/>
          </w:tcPr>
          <w:p>
            <w:pPr>
              <w:keepNext w:val="0"/>
              <w:spacing w:after="0" w:line="259" w:lineRule="auto"/>
            </w:pPr>
            <w:r>
              <w:rPr>
                <w:sz w:val="21"/>
              </w:rPr>
              <w:t>Nine batches; final acceptance July 31, 2025</w:t>
            </w:r>
          </w:p>
        </w:tc>
      </w:tr>
      <w:tr>
        <w:trPr>
          <w:cantSplit/>
        </w:trPr>
        <w:tc>
          <w:tcPr>
            <w:tcW w:type="dxa" w:w="2232"/>
            <w:vAlign w:val="center"/>
            <w:shd w:fill="F1F6F8"/>
          </w:tcPr>
          <w:p>
            <w:pPr>
              <w:keepNext w:val="0"/>
              <w:spacing w:after="0" w:line="259" w:lineRule="auto"/>
            </w:pPr>
            <w:r>
              <w:rPr>
                <w:sz w:val="21"/>
              </w:rPr>
              <w:t>First-pass image quality</w:t>
            </w:r>
          </w:p>
        </w:tc>
        <w:tc>
          <w:tcPr>
            <w:tcW w:type="dxa" w:w="2232"/>
            <w:vAlign w:val="center"/>
            <w:shd w:fill="F1F6F8"/>
          </w:tcPr>
          <w:p>
            <w:pPr>
              <w:keepNext w:val="0"/>
              <w:spacing w:after="0" w:line="259" w:lineRule="auto"/>
            </w:pPr>
            <w:r>
              <w:rPr>
                <w:sz w:val="21"/>
              </w:rPr>
              <w:t>98.8%</w:t>
            </w:r>
          </w:p>
        </w:tc>
        <w:tc>
          <w:tcPr>
            <w:tcW w:type="dxa" w:w="5616"/>
            <w:vAlign w:val="center"/>
            <w:shd w:fill="F1F6F8"/>
          </w:tcPr>
          <w:p>
            <w:pPr>
              <w:keepNext w:val="0"/>
              <w:spacing w:after="0" w:line="259" w:lineRule="auto"/>
            </w:pPr>
            <w:r>
              <w:rPr>
                <w:sz w:val="21"/>
              </w:rPr>
              <w:t>10,374 acceptable images in a 10,500-image sample</w:t>
            </w:r>
          </w:p>
        </w:tc>
      </w:tr>
      <w:tr>
        <w:trPr>
          <w:cantSplit/>
        </w:trPr>
        <w:tc>
          <w:tcPr>
            <w:tcW w:type="dxa" w:w="2232"/>
            <w:vAlign w:val="center"/>
            <w:shd w:fill="FFFFFF"/>
          </w:tcPr>
          <w:p>
            <w:pPr>
              <w:keepNext w:val="0"/>
              <w:spacing w:after="0" w:line="259" w:lineRule="auto"/>
            </w:pPr>
            <w:r>
              <w:rPr>
                <w:sz w:val="21"/>
              </w:rPr>
              <w:t>OCR character accuracy</w:t>
            </w:r>
          </w:p>
        </w:tc>
        <w:tc>
          <w:tcPr>
            <w:tcW w:type="dxa" w:w="2232"/>
            <w:vAlign w:val="center"/>
            <w:shd w:fill="FFFFFF"/>
          </w:tcPr>
          <w:p>
            <w:pPr>
              <w:keepNext w:val="0"/>
              <w:spacing w:after="0" w:line="259" w:lineRule="auto"/>
            </w:pPr>
            <w:r>
              <w:rPr>
                <w:sz w:val="21"/>
              </w:rPr>
              <w:t>99.3%</w:t>
            </w:r>
          </w:p>
        </w:tc>
        <w:tc>
          <w:tcPr>
            <w:tcW w:type="dxa" w:w="5616"/>
            <w:vAlign w:val="center"/>
            <w:shd w:fill="FFFFFF"/>
          </w:tcPr>
          <w:p>
            <w:pPr>
              <w:keepNext w:val="0"/>
              <w:spacing w:after="0" w:line="259" w:lineRule="auto"/>
            </w:pPr>
            <w:r>
              <w:rPr>
                <w:sz w:val="21"/>
              </w:rPr>
              <w:t>99,300 correct characters in a 100,000-character sample</w:t>
            </w:r>
          </w:p>
        </w:tc>
      </w:tr>
    </w:tbl>
    <w:p>
      <w:pPr>
        <w:pStyle w:val="Spacer"/>
      </w:pPr>
      <w:r/>
    </w:p>
    <w:p>
      <w:pPr/>
      <w:r>
        <w:t>Quality samples covered the nine delivery batches from December 2024 through July 2025. Image review checked completeness, orientation and legibility. OCR testing covered legible, machine-printed text; handwriting and damaged originals were recorded separately. These are sample results, not measurements of every image or character in the collection.</w:t>
      </w:r>
    </w:p>
    <w:p>
      <w:pPr/>
      <w:r>
        <w:t>The final delivery register records acceptance of all 210,000 pages after correction. The contract closed at its $420,000 fixed price with no price modification. This supports a statement about the contract price, not an assertion that our internal costs were below budget.</w:t>
      </w:r>
    </w:p>
    <w:p>
      <w:r>
        <w:br w:type="page"/>
      </w:r>
    </w:p>
    <w:p>
      <w:pPr>
        <w:pStyle w:val="Heading1"/>
      </w:pPr>
      <w:r>
        <w:t>Challenges and corrective actions</w:t>
      </w:r>
    </w:p>
    <w:p>
      <w:pPr/>
      <w:r>
        <w:t>The pilot batch exposed shadowing near the spines of tightly bound records. Customer review and approval of a revised capture method moved the pilot delivery from December 13 to December 18, 2024, three business days later than planned. The delay affected that milestone; it did not change the final contract completion date.</w:t>
      </w:r>
    </w:p>
    <w:p>
      <w:pPr/>
      <w:r>
        <w:t>We stopped routine feeding of affected records, segregated them for supported book capture and added a spine-shadow check to image review. After the customer approved the revised method, operators recaptured affected pages. The quality team also examined other pages produced under the same setup, rather than limiting corrections to the failed sample.</w:t>
      </w:r>
    </w:p>
    <w:p>
      <w:pPr/>
      <w:r>
        <w:t>Across the project, 126 images failed the first-pass sample. Expanded inspection identified 2,520 pages requiring recapture, including those sample failures. We corrected those pages before their batches were accepted and absorbed the rework within the fixed price. Separating this correction queue from routine preparation recovered the pilot delay, and the customer accepted the final batch on July 31, 2025.</w:t>
      </w:r>
    </w:p>
    <w:p>
      <w:pPr>
        <w:pStyle w:val="Heading1"/>
      </w:pPr>
      <w:r>
        <w:t>Customer reference</w:t>
      </w:r>
    </w:p>
    <w:p>
      <w:pPr/>
      <w:r/>
      <w:r>
        <w:rPr>
          <w:b/>
        </w:rPr>
        <w:t>Alex Morgan — Records Program Manager</w:t>
      </w:r>
      <w:r>
        <w:br/>
        <w:t>Federal Records Services Office</w:t>
        <w:br/>
        <w:t>records.reference@example.org  |  202-555-0146</w:t>
      </w:r>
    </w:p>
    <w:p>
      <w:pPr/>
      <w:r>
        <w:t>The project reference coordinated batch reviews and recorded acceptance of the delivered files and physical-record returns. The reference relates to this completed project, not to the current MSHA solicitation.</w:t>
      </w:r>
    </w:p>
    <w:p>
      <w:pPr>
        <w:pStyle w:val="Heading1"/>
      </w:pPr>
      <w:r>
        <w:t>Supporting evidence</w:t>
      </w:r>
    </w:p>
    <w:p>
      <w:pPr>
        <w:pStyle w:val="ListBullet"/>
      </w:pPr>
      <w:r/>
      <w:r>
        <w:rPr>
          <w:b/>
        </w:rPr>
        <w:t>Contract summary — EX1.</w:t>
      </w:r>
      <w:r>
        <w:t xml:space="preserve"> Scope, prime role, November 2024–July 2025 period and $420,000 fixed price.</w:t>
      </w:r>
    </w:p>
    <w:p>
      <w:pPr>
        <w:pStyle w:val="ListBullet"/>
      </w:pPr>
      <w:r/>
      <w:r>
        <w:rPr>
          <w:b/>
        </w:rPr>
        <w:t>Delivery and acceptance records — EX2 and EX5.</w:t>
      </w:r>
      <w:r>
        <w:t xml:space="preserve"> Nine batches totaling 210,000 pages; final files, index and return of 70 boxes accepted July 31, 2025.</w:t>
      </w:r>
    </w:p>
    <w:p>
      <w:pPr>
        <w:pStyle w:val="ListBullet"/>
      </w:pPr>
      <w:r/>
      <w:r>
        <w:rPr>
          <w:b/>
        </w:rPr>
        <w:t>Quality report and issue log — EX3 and EX4.</w:t>
      </w:r>
      <w:r>
        <w:t xml:space="preserve"> Sample denominators, 2,520 corrected pages, pilot delay and closure of the capture-method issue.</w:t>
      </w:r>
    </w:p>
    <w:p>
      <w:pPr>
        <w:pStyle w:val="ListBullet"/>
      </w:pPr>
      <w:r/>
      <w:r>
        <w:rPr>
          <w:b/>
        </w:rPr>
        <w:t>Target requirement — S1.</w:t>
      </w:r>
      <w:r>
        <w:t xml:space="preserve"> </w:t>
      </w:r>
      <w:hyperlink r:id="rId13">
        <w:r>
          <w:rPr>
            <w:rFonts w:ascii="Arial" w:hAnsi="Arial"/>
            <w:color w:val="126B80"/>
          </w:rPr>
          <w:t>MSHA solicitation</w:t>
        </w:r>
      </w:hyperlink>
      <w:r>
        <w:t>, pp. 4–5, 10–15 and 26–27; retrieved September 15, 2026.</w:t>
      </w:r>
    </w:p>
    <w:sectPr w:rsidR="00FC693F" w:rsidRPr="0006063C" w:rsidSect="00034616">
      <w:headerReference w:type="default" r:id="rId9"/>
      <w:footerReference w:type="default" r:id="rId10"/>
      <w:footerReference w:type="first" r:id="rId11"/>
      <w:headerReference w:type="first" r:id="rId12"/>
      <w:pgSz w:w="12240" w:h="15840"/>
      <w:pgMar w:top="1094" w:right="1080" w:bottom="1008" w:left="1080" w:header="403"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rPr>
        <w:color w:val="555E6B"/>
        <w:sz w:val="16"/>
      </w:rPr>
      <w:t xml:space="preserve">Past performance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b/>
        <w:sz w:val="18"/>
      </w:rPr>
      <w:t>GovTribe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line="240" w:lineRule="auto" w:after="0"/>
    </w:pPr>
    <w:r>
      <w:drawing>
        <wp:inline xmlns:a="http://schemas.openxmlformats.org/drawingml/2006/main" xmlns:pic="http://schemas.openxmlformats.org/drawingml/2006/picture">
          <wp:extent cx="1234440" cy="144532"/>
          <wp:docPr id="1" name="Picture 1" descr="Official GovTribe logo"/>
          <wp:cNvGraphicFramePr>
            <a:graphicFrameLocks noChangeAspect="1"/>
          </wp:cNvGraphicFramePr>
          <a:graphic>
            <a:graphicData uri="http://schemas.openxmlformats.org/drawingml/2006/picture">
              <pic:pic>
                <pic:nvPicPr>
                  <pic:cNvPr id="0" name="govtribe-light.png"/>
                  <pic:cNvPicPr/>
                </pic:nvPicPr>
                <pic:blipFill>
                  <a:blip r:embed="rId1"/>
                  <a:stretch>
                    <a:fillRect/>
                  </a:stretch>
                </pic:blipFill>
                <pic:spPr>
                  <a:xfrm>
                    <a:off x="0" y="0"/>
                    <a:ext cx="1234440" cy="144532"/>
                  </a:xfrm>
                  <a:prstGeom prst="rect"/>
                </pic:spPr>
              </pic:pic>
            </a:graphicData>
          </a:graphic>
        </wp:inline>
      </w:drawing>
    </w:r>
    <w:r>
      <w:rPr>
        <w:rFonts w:ascii="Arial" w:hAnsi="Arial"/>
        <w:color w:val="34465B"/>
        <w:sz w:val="18"/>
      </w:rPr>
      <w:t xml:space="preserve">    GovTribe, Inc.  ·  UEI EDJBUPNLCCL5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60"/>
    </w:pPr>
    <w:rPr>
      <w:rFonts w:ascii="Arial" w:hAnsi="Arial"/>
      <w:i w:val="0"/>
      <w:color w:val="20252D"/>
      <w:sz w:val="22"/>
      <w:u w:val="none"/>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pPr>
    <w:rPr>
      <w:rFonts w:ascii="Arial" w:hAnsi="Arial"/>
      <w:i w:val="0"/>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60"/>
      <w:outlineLvl w:val="0"/>
    </w:pPr>
    <w:rPr>
      <w:rFonts w:asciiTheme="majorHAnsi" w:eastAsiaTheme="majorEastAsia" w:hAnsiTheme="majorHAnsi" w:cstheme="majorBidi" w:ascii="Arial" w:hAnsi="Arial"/>
      <w:b/>
      <w:bCs/>
      <w:i w:val="0"/>
      <w:color w:val="000000"/>
      <w:sz w:val="34"/>
      <w:szCs w:val="28"/>
      <w:u w:val="none"/>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i w:val="0"/>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60" w:line="240" w:lineRule="auto" w:before="0"/>
      <w:contextualSpacing/>
    </w:pPr>
    <w:rPr>
      <w:rFonts w:asciiTheme="majorHAnsi" w:eastAsiaTheme="majorEastAsia" w:hAnsiTheme="majorHAnsi" w:cstheme="majorBidi" w:ascii="Arial" w:hAnsi="Arial"/>
      <w:b/>
      <w:i w:val="0"/>
      <w:color w:val="000000"/>
      <w:spacing w:val="5"/>
      <w:kern w:val="28"/>
      <w:sz w:val="5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val="0"/>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contextualSpacing/>
      <w:contextualSpacing w:val="0"/>
    </w:pPr>
    <w:rPr>
      <w:rFonts w:ascii="Arial" w:hAnsi="Arial"/>
      <w:i w:val="0"/>
      <w:color w:val="20252D"/>
      <w:sz w:val="21"/>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basedOn w:val="Normal"/>
    <w:pPr>
      <w:spacing w:line="259" w:lineRule="auto" w:after="100"/>
    </w:pPr>
    <w:rPr>
      <w:color w:val="555E6B"/>
      <w:sz w:val="18"/>
    </w:rPr>
  </w:style>
  <w:style w:type="paragraph" w:customStyle="1" w:styleId="Source">
    <w:name w:val="Source"/>
    <w:basedOn w:val="Normal"/>
    <w:pPr>
      <w:spacing w:line="259" w:lineRule="auto" w:after="100"/>
    </w:pPr>
    <w:rPr>
      <w:color w:val="555E6B"/>
      <w:sz w:val="19"/>
    </w:rPr>
  </w:style>
  <w:style w:type="paragraph" w:customStyle="1" w:styleId="Spacer">
    <w:name w:val="Spacer"/>
    <w:basedOn w:val="Normal"/>
    <w:pPr>
      <w:spacing w:line="259" w:lineRule="auto" w:after="120"/>
    </w:pPr>
    <w:rPr>
      <w:color w:val="555E6B"/>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yperlink" Target="https://govtribe.com/file/government-file/a19-1605c4-26-r-00035-sol-dot-pdf"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Past performance project narrative</dc:title>
  <dc:subject>Editable project narrative</dc:subject>
  <dc:creator>GovTribe, Inc.</dc:creator>
  <cp:keywords/>
  <dc:description>generated by python-docx</dc:description>
  <cp:lastModifiedBy>GovTribe, Inc.</cp:lastModifiedBy>
  <cp:revision>1</cp:revision>
  <dcterms:created xsi:type="dcterms:W3CDTF">2013-12-23T23:15:00Z</dcterms:created>
  <dcterms:modified xsi:type="dcterms:W3CDTF">2013-12-23T23:15:00Z</dcterms:modified>
  <cp:category/>
</cp:coreProperties>
</file>