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Response</w:t>
      </w:r>
    </w:p>
    <w:p>
      <w:pPr>
        <w:pStyle w:val="Subtitle"/>
      </w:pPr>
      <w:r>
        <w:t>Civic Records Support | Technical and management response</w:t>
      </w:r>
    </w:p>
    <w:p>
      <w:pPr>
        <w:widowControl/>
      </w:pPr>
      <w:r>
        <w:t>Illustrative fictional example. Buyer, company, solicitation and operating requirements are invented to demonstrate response drafting. This is not company evidence or a submission.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tcMar>
              <w:top w:w="100" w:type="dxa"/>
              <w:bottom w:w="100" w:type="dxa"/>
              <w:left w:w="110" w:type="dxa"/>
              <w:right w:w="110" w:type="dxa"/>
            </w:tcMar>
            <w:shd w:fill="E7EDF2"/>
          </w:tcPr>
          <w:p>
            <w:pPr>
              <w:spacing w:after="0" w:line="250" w:lineRule="auto"/>
            </w:pPr>
            <w:r>
              <w:rPr>
                <w:b/>
                <w:color w:val="000000"/>
                <w:sz w:val="20"/>
              </w:rPr>
              <w:t>Response identity</w:t>
            </w:r>
          </w:p>
        </w:tc>
        <w:tc>
          <w:tcPr>
            <w:tcW w:type="dxa" w:w="7776"/>
            <w:vAlign w:val="center"/>
            <w:tcMar>
              <w:top w:w="100" w:type="dxa"/>
              <w:bottom w:w="100" w:type="dxa"/>
              <w:left w:w="110" w:type="dxa"/>
              <w:right w:w="110" w:type="dxa"/>
            </w:tcMar>
            <w:shd w:fill="E7EDF2"/>
          </w:tcPr>
          <w:p>
            <w:pPr>
              <w:spacing w:after="0" w:line="250" w:lineRule="auto"/>
            </w:pPr>
            <w:r>
              <w:rPr>
                <w:b/>
                <w:color w:val="000000"/>
                <w:sz w:val="20"/>
              </w:rPr>
              <w:t>Example value</w:t>
            </w:r>
          </w:p>
        </w:tc>
      </w:tr>
      <w:tr>
        <w:trPr>
          <w:cantSplit/>
        </w:trPr>
        <w:tc>
          <w:tcPr>
            <w:tcW w:type="dxa" w:w="2160"/>
            <w:vAlign w:val="center"/>
            <w:tcMar>
              <w:top w:w="100" w:type="dxa"/>
              <w:bottom w:w="100" w:type="dxa"/>
              <w:left w:w="110" w:type="dxa"/>
              <w:right w:w="110" w:type="dxa"/>
            </w:tcMar>
          </w:tcPr>
          <w:p>
            <w:pPr>
              <w:spacing w:after="0" w:line="250" w:lineRule="auto"/>
            </w:pPr>
            <w:r>
              <w:rPr>
                <w:b w:val="0"/>
                <w:color w:val="000000"/>
                <w:sz w:val="20"/>
              </w:rPr>
              <w:t>Buyer / office</w:t>
            </w:r>
          </w:p>
        </w:tc>
        <w:tc>
          <w:tcPr>
            <w:tcW w:type="dxa" w:w="7776"/>
            <w:vAlign w:val="center"/>
            <w:tcMar>
              <w:top w:w="100" w:type="dxa"/>
              <w:bottom w:w="100" w:type="dxa"/>
              <w:left w:w="110" w:type="dxa"/>
              <w:right w:w="110" w:type="dxa"/>
            </w:tcMar>
          </w:tcPr>
          <w:p>
            <w:pPr>
              <w:spacing w:after="0" w:line="250" w:lineRule="auto"/>
            </w:pPr>
            <w:r>
              <w:rPr>
                <w:b w:val="0"/>
                <w:color w:val="000000"/>
                <w:sz w:val="20"/>
              </w:rPr>
              <w:t>Example Federal Agency | Records Office</w:t>
            </w:r>
          </w:p>
        </w:tc>
      </w:tr>
      <w:tr>
        <w:trPr>
          <w:cantSplit/>
        </w:trPr>
        <w:tc>
          <w:tcPr>
            <w:tcW w:type="dxa" w:w="2160"/>
            <w:vAlign w:val="center"/>
            <w:tcMar>
              <w:top w:w="100" w:type="dxa"/>
              <w:bottom w:w="100" w:type="dxa"/>
              <w:left w:w="110" w:type="dxa"/>
              <w:right w:w="110" w:type="dxa"/>
            </w:tcMar>
          </w:tcPr>
          <w:p>
            <w:pPr>
              <w:spacing w:after="0" w:line="250" w:lineRule="auto"/>
            </w:pPr>
            <w:r>
              <w:rPr>
                <w:b w:val="0"/>
                <w:color w:val="000000"/>
                <w:sz w:val="20"/>
              </w:rPr>
              <w:t>Solicitation / project</w:t>
            </w:r>
          </w:p>
        </w:tc>
        <w:tc>
          <w:tcPr>
            <w:tcW w:type="dxa" w:w="7776"/>
            <w:vAlign w:val="center"/>
            <w:tcMar>
              <w:top w:w="100" w:type="dxa"/>
              <w:bottom w:w="100" w:type="dxa"/>
              <w:left w:w="110" w:type="dxa"/>
              <w:right w:w="110" w:type="dxa"/>
            </w:tcMar>
          </w:tcPr>
          <w:p>
            <w:pPr>
              <w:spacing w:after="0" w:line="250" w:lineRule="auto"/>
            </w:pPr>
            <w:r>
              <w:rPr>
                <w:b w:val="0"/>
                <w:color w:val="000000"/>
                <w:sz w:val="20"/>
              </w:rPr>
              <w:t>DEMO-PROPOSAL-01 | Civic Records Support</w:t>
            </w:r>
          </w:p>
        </w:tc>
      </w:tr>
      <w:tr>
        <w:trPr>
          <w:cantSplit/>
        </w:trPr>
        <w:tc>
          <w:tcPr>
            <w:tcW w:type="dxa" w:w="2160"/>
            <w:vAlign w:val="center"/>
            <w:tcMar>
              <w:top w:w="100" w:type="dxa"/>
              <w:bottom w:w="100" w:type="dxa"/>
              <w:left w:w="110" w:type="dxa"/>
              <w:right w:w="110" w:type="dxa"/>
            </w:tcMar>
          </w:tcPr>
          <w:p>
            <w:pPr>
              <w:spacing w:after="0" w:line="250" w:lineRule="auto"/>
            </w:pPr>
            <w:r>
              <w:rPr>
                <w:b w:val="0"/>
                <w:color w:val="000000"/>
                <w:sz w:val="20"/>
              </w:rPr>
              <w:t>Offeror</w:t>
            </w:r>
          </w:p>
        </w:tc>
        <w:tc>
          <w:tcPr>
            <w:tcW w:type="dxa" w:w="7776"/>
            <w:vAlign w:val="center"/>
            <w:tcMar>
              <w:top w:w="100" w:type="dxa"/>
              <w:bottom w:w="100" w:type="dxa"/>
              <w:left w:w="110" w:type="dxa"/>
              <w:right w:w="110" w:type="dxa"/>
            </w:tcMar>
          </w:tcPr>
          <w:p>
            <w:pPr>
              <w:spacing w:after="0" w:line="250" w:lineRule="auto"/>
            </w:pPr>
            <w:r>
              <w:rPr>
                <w:b w:val="0"/>
                <w:color w:val="000000"/>
                <w:sz w:val="20"/>
              </w:rPr>
              <w:t>Example Records Company (fictional)</w:t>
            </w:r>
          </w:p>
        </w:tc>
      </w:tr>
      <w:tr>
        <w:trPr>
          <w:cantSplit/>
        </w:trPr>
        <w:tc>
          <w:tcPr>
            <w:tcW w:type="dxa" w:w="2160"/>
            <w:vAlign w:val="center"/>
            <w:tcMar>
              <w:top w:w="100" w:type="dxa"/>
              <w:bottom w:w="100" w:type="dxa"/>
              <w:left w:w="110" w:type="dxa"/>
              <w:right w:w="110" w:type="dxa"/>
            </w:tcMar>
          </w:tcPr>
          <w:p>
            <w:pPr>
              <w:spacing w:after="0" w:line="250" w:lineRule="auto"/>
            </w:pPr>
            <w:r>
              <w:rPr>
                <w:b w:val="0"/>
                <w:color w:val="000000"/>
                <w:sz w:val="20"/>
              </w:rPr>
              <w:t>Revision</w:t>
            </w:r>
          </w:p>
        </w:tc>
        <w:tc>
          <w:tcPr>
            <w:tcW w:type="dxa" w:w="7776"/>
            <w:vAlign w:val="center"/>
            <w:tcMar>
              <w:top w:w="100" w:type="dxa"/>
              <w:bottom w:w="100" w:type="dxa"/>
              <w:left w:w="110" w:type="dxa"/>
              <w:right w:w="110" w:type="dxa"/>
            </w:tcMar>
          </w:tcPr>
          <w:p>
            <w:pPr>
              <w:spacing w:after="0" w:line="250" w:lineRule="auto"/>
            </w:pPr>
            <w:r>
              <w:rPr>
                <w:b w:val="0"/>
                <w:color w:val="000000"/>
                <w:sz w:val="20"/>
              </w:rPr>
              <w:t>Illustrative version 1</w:t>
            </w:r>
          </w:p>
        </w:tc>
      </w:tr>
    </w:tbl>
    <w:p>
      <w:pPr>
        <w:widowControl/>
        <w:spacing w:after="0"/>
      </w:pPr>
    </w:p>
    <w:p>
      <w:pPr>
        <w:pStyle w:val="Heading1"/>
      </w:pPr>
      <w:r>
        <w:t>1. Service Approach</w:t>
      </w:r>
    </w:p>
    <w:p>
      <w:pPr>
        <w:widowControl/>
      </w:pPr>
      <w:r>
        <w:t>Example Records Company proposes a controlled intake and reconciliation process for the Records Office. Each batch will receive a tracking identifier linking receipt, assigned work, quality checks and return. The team will use the agency’s existing repository and access rules; this proposal does not assume permission to move records into a separate system.</w:t>
      </w:r>
    </w:p>
    <w:p>
      <w:pPr>
        <w:pStyle w:val="Heading2"/>
      </w:pPr>
      <w:r>
        <w:t>1.1 Intake and processing</w:t>
      </w:r>
    </w:p>
    <w:p>
      <w:pPr>
        <w:widowControl/>
      </w:pPr>
      <w:r>
        <w:t>The proposed operations lead will confirm the batch inventory and required metadata before assigning work. Processors will record status and exceptions against the batch identifier. Illegible records, missing pages and conflicting metadata will enter an exception log for agency resolution rather than being silently corrected.</w:t>
      </w:r>
    </w:p>
    <w:p>
      <w:pPr>
        <w:pStyle w:val="Heading2"/>
      </w:pPr>
      <w:r>
        <w:t>1.2 Quality assurance</w:t>
      </w:r>
    </w:p>
    <w:p>
      <w:pPr>
        <w:widowControl/>
      </w:pPr>
      <w:r>
        <w:t>Before returning a batch, a reviewer will reconcile its record count and check required metadata and exception dispositions. The operations lead will correct discrepancies and provide the agency with the reconciliation record. These are proposed controls; no historical accuracy or performance claim is asserted.</w:t>
      </w:r>
    </w:p>
    <w:p>
      <w:r>
        <w:br w:type="page"/>
      </w:r>
    </w:p>
    <w:p>
      <w:pPr>
        <w:pStyle w:val="Heading1"/>
      </w:pPr>
      <w:r>
        <w:t>2. Management Approach</w:t>
      </w:r>
    </w:p>
    <w:p>
      <w:pPr>
        <w:pStyle w:val="Heading2"/>
      </w:pPr>
      <w:r>
        <w:t>2.1 Transition</w:t>
      </w:r>
    </w:p>
    <w:p>
      <w:pPr>
        <w:widowControl/>
      </w:pPr>
      <w:r>
        <w:t>The fictional solicitation requires a 30-day transition. During days 1–10, the proposed transition lead will confirm access, procedures and the initial inventory with the agency. Days 11–20 will use an agency-approved pilot batch to test the workflow and resolve exceptions. Days 21–30 will extend the agreed process to the remaining work, subject to agency access and pilot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904"/>
        <w:gridCol w:w="2160"/>
      </w:tblGrid>
      <w:tr>
        <w:trPr>
          <w:cantSplit/>
          <w:tblHeader/>
        </w:trPr>
        <w:tc>
          <w:tcPr>
            <w:tcW w:type="dxa" w:w="1872"/>
            <w:vAlign w:val="center"/>
            <w:tcMar>
              <w:top w:w="100" w:type="dxa"/>
              <w:bottom w:w="100" w:type="dxa"/>
              <w:left w:w="110" w:type="dxa"/>
              <w:right w:w="110" w:type="dxa"/>
            </w:tcMar>
            <w:shd w:fill="E7EDF2"/>
          </w:tcPr>
          <w:p>
            <w:pPr>
              <w:spacing w:after="0" w:line="250" w:lineRule="auto"/>
            </w:pPr>
            <w:r>
              <w:rPr>
                <w:b/>
                <w:color w:val="000000"/>
                <w:sz w:val="20"/>
              </w:rPr>
              <w:t>Milestone</w:t>
            </w:r>
          </w:p>
        </w:tc>
        <w:tc>
          <w:tcPr>
            <w:tcW w:type="dxa" w:w="5904"/>
            <w:vAlign w:val="center"/>
            <w:tcMar>
              <w:top w:w="100" w:type="dxa"/>
              <w:bottom w:w="100" w:type="dxa"/>
              <w:left w:w="110" w:type="dxa"/>
              <w:right w:w="110" w:type="dxa"/>
            </w:tcMar>
            <w:shd w:fill="E7EDF2"/>
          </w:tcPr>
          <w:p>
            <w:pPr>
              <w:spacing w:after="0" w:line="250" w:lineRule="auto"/>
            </w:pPr>
            <w:r>
              <w:rPr>
                <w:b/>
                <w:color w:val="000000"/>
                <w:sz w:val="20"/>
              </w:rPr>
              <w:t>Proposed completion evidence</w:t>
            </w:r>
          </w:p>
        </w:tc>
        <w:tc>
          <w:tcPr>
            <w:tcW w:type="dxa" w:w="2160"/>
            <w:vAlign w:val="center"/>
            <w:tcMar>
              <w:top w:w="100" w:type="dxa"/>
              <w:bottom w:w="100" w:type="dxa"/>
              <w:left w:w="110" w:type="dxa"/>
              <w:right w:w="110" w:type="dxa"/>
            </w:tcMar>
            <w:shd w:fill="E7EDF2"/>
          </w:tcPr>
          <w:p>
            <w:pPr>
              <w:spacing w:after="0" w:line="250" w:lineRule="auto"/>
            </w:pPr>
            <w:r>
              <w:rPr>
                <w:b/>
                <w:color w:val="000000"/>
                <w:sz w:val="20"/>
              </w:rPr>
              <w:t>Timing</w:t>
            </w:r>
          </w:p>
        </w:tc>
      </w:tr>
      <w:tr>
        <w:trPr>
          <w:cantSplit/>
        </w:trPr>
        <w:tc>
          <w:tcPr>
            <w:tcW w:type="dxa" w:w="1872"/>
            <w:vAlign w:val="center"/>
            <w:tcMar>
              <w:top w:w="100" w:type="dxa"/>
              <w:bottom w:w="100" w:type="dxa"/>
              <w:left w:w="110" w:type="dxa"/>
              <w:right w:w="110" w:type="dxa"/>
            </w:tcMar>
          </w:tcPr>
          <w:p>
            <w:pPr>
              <w:spacing w:after="0" w:line="250" w:lineRule="auto"/>
            </w:pPr>
            <w:r>
              <w:rPr>
                <w:b w:val="0"/>
                <w:color w:val="000000"/>
                <w:sz w:val="20"/>
              </w:rPr>
              <w:t>Readiness</w:t>
            </w:r>
          </w:p>
        </w:tc>
        <w:tc>
          <w:tcPr>
            <w:tcW w:type="dxa" w:w="5904"/>
            <w:vAlign w:val="center"/>
            <w:tcMar>
              <w:top w:w="100" w:type="dxa"/>
              <w:bottom w:w="100" w:type="dxa"/>
              <w:left w:w="110" w:type="dxa"/>
              <w:right w:w="110" w:type="dxa"/>
            </w:tcMar>
          </w:tcPr>
          <w:p>
            <w:pPr>
              <w:spacing w:after="0" w:line="250" w:lineRule="auto"/>
            </w:pPr>
            <w:r>
              <w:rPr>
                <w:b w:val="0"/>
                <w:color w:val="000000"/>
                <w:sz w:val="20"/>
              </w:rPr>
              <w:t>Agreed inventory, access list and work instructions</w:t>
            </w:r>
          </w:p>
        </w:tc>
        <w:tc>
          <w:tcPr>
            <w:tcW w:type="dxa" w:w="2160"/>
            <w:vAlign w:val="center"/>
            <w:tcMar>
              <w:top w:w="100" w:type="dxa"/>
              <w:bottom w:w="100" w:type="dxa"/>
              <w:left w:w="110" w:type="dxa"/>
              <w:right w:w="110" w:type="dxa"/>
            </w:tcMar>
          </w:tcPr>
          <w:p>
            <w:pPr>
              <w:spacing w:after="0" w:line="250" w:lineRule="auto"/>
            </w:pPr>
            <w:r>
              <w:rPr>
                <w:b w:val="0"/>
                <w:color w:val="000000"/>
                <w:sz w:val="20"/>
              </w:rPr>
              <w:t>Days 1–10</w:t>
            </w:r>
          </w:p>
        </w:tc>
      </w:tr>
      <w:tr>
        <w:trPr>
          <w:cantSplit/>
        </w:trPr>
        <w:tc>
          <w:tcPr>
            <w:tcW w:type="dxa" w:w="1872"/>
            <w:vAlign w:val="center"/>
            <w:tcMar>
              <w:top w:w="100" w:type="dxa"/>
              <w:bottom w:w="100" w:type="dxa"/>
              <w:left w:w="110" w:type="dxa"/>
              <w:right w:w="110" w:type="dxa"/>
            </w:tcMar>
          </w:tcPr>
          <w:p>
            <w:pPr>
              <w:spacing w:after="0" w:line="250" w:lineRule="auto"/>
            </w:pPr>
            <w:r>
              <w:rPr>
                <w:b w:val="0"/>
                <w:color w:val="000000"/>
                <w:sz w:val="20"/>
              </w:rPr>
              <w:t>Pilot</w:t>
            </w:r>
          </w:p>
        </w:tc>
        <w:tc>
          <w:tcPr>
            <w:tcW w:type="dxa" w:w="5904"/>
            <w:vAlign w:val="center"/>
            <w:tcMar>
              <w:top w:w="100" w:type="dxa"/>
              <w:bottom w:w="100" w:type="dxa"/>
              <w:left w:w="110" w:type="dxa"/>
              <w:right w:w="110" w:type="dxa"/>
            </w:tcMar>
          </w:tcPr>
          <w:p>
            <w:pPr>
              <w:spacing w:after="0" w:line="250" w:lineRule="auto"/>
            </w:pPr>
            <w:r>
              <w:rPr>
                <w:b w:val="0"/>
                <w:color w:val="000000"/>
                <w:sz w:val="20"/>
              </w:rPr>
              <w:t>Reconciled pilot batch and resolved exception actions</w:t>
            </w:r>
          </w:p>
        </w:tc>
        <w:tc>
          <w:tcPr>
            <w:tcW w:type="dxa" w:w="2160"/>
            <w:vAlign w:val="center"/>
            <w:tcMar>
              <w:top w:w="100" w:type="dxa"/>
              <w:bottom w:w="100" w:type="dxa"/>
              <w:left w:w="110" w:type="dxa"/>
              <w:right w:w="110" w:type="dxa"/>
            </w:tcMar>
          </w:tcPr>
          <w:p>
            <w:pPr>
              <w:spacing w:after="0" w:line="250" w:lineRule="auto"/>
            </w:pPr>
            <w:r>
              <w:rPr>
                <w:b w:val="0"/>
                <w:color w:val="000000"/>
                <w:sz w:val="20"/>
              </w:rPr>
              <w:t>Days 11–20</w:t>
            </w:r>
          </w:p>
        </w:tc>
      </w:tr>
      <w:tr>
        <w:trPr>
          <w:cantSplit/>
        </w:trPr>
        <w:tc>
          <w:tcPr>
            <w:tcW w:type="dxa" w:w="1872"/>
            <w:vAlign w:val="center"/>
            <w:tcMar>
              <w:top w:w="100" w:type="dxa"/>
              <w:bottom w:w="100" w:type="dxa"/>
              <w:left w:w="110" w:type="dxa"/>
              <w:right w:w="110" w:type="dxa"/>
            </w:tcMar>
          </w:tcPr>
          <w:p>
            <w:pPr>
              <w:spacing w:after="0" w:line="250" w:lineRule="auto"/>
            </w:pPr>
            <w:r>
              <w:rPr>
                <w:b w:val="0"/>
                <w:color w:val="000000"/>
                <w:sz w:val="20"/>
              </w:rPr>
              <w:t>Handover</w:t>
            </w:r>
          </w:p>
        </w:tc>
        <w:tc>
          <w:tcPr>
            <w:tcW w:type="dxa" w:w="5904"/>
            <w:vAlign w:val="center"/>
            <w:tcMar>
              <w:top w:w="100" w:type="dxa"/>
              <w:bottom w:w="100" w:type="dxa"/>
              <w:left w:w="110" w:type="dxa"/>
              <w:right w:w="110" w:type="dxa"/>
            </w:tcMar>
          </w:tcPr>
          <w:p>
            <w:pPr>
              <w:spacing w:after="0" w:line="250" w:lineRule="auto"/>
            </w:pPr>
            <w:r>
              <w:rPr>
                <w:b w:val="0"/>
                <w:color w:val="000000"/>
                <w:sz w:val="20"/>
              </w:rPr>
              <w:t>Agreed production schedule and open-action register</w:t>
            </w:r>
          </w:p>
        </w:tc>
        <w:tc>
          <w:tcPr>
            <w:tcW w:type="dxa" w:w="2160"/>
            <w:vAlign w:val="center"/>
            <w:tcMar>
              <w:top w:w="100" w:type="dxa"/>
              <w:bottom w:w="100" w:type="dxa"/>
              <w:left w:w="110" w:type="dxa"/>
              <w:right w:w="110" w:type="dxa"/>
            </w:tcMar>
          </w:tcPr>
          <w:p>
            <w:pPr>
              <w:spacing w:after="0" w:line="250" w:lineRule="auto"/>
            </w:pPr>
            <w:r>
              <w:rPr>
                <w:b w:val="0"/>
                <w:color w:val="000000"/>
                <w:sz w:val="20"/>
              </w:rPr>
              <w:t>Days 21–30</w:t>
            </w:r>
          </w:p>
        </w:tc>
      </w:tr>
    </w:tbl>
    <w:p>
      <w:pPr>
        <w:widowControl/>
        <w:spacing w:after="0"/>
      </w:pPr>
    </w:p>
    <w:p>
      <w:pPr>
        <w:pStyle w:val="Heading2"/>
      </w:pPr>
      <w:r>
        <w:t>2.2 Staffing and coordination</w:t>
      </w:r>
    </w:p>
    <w:p>
      <w:pPr>
        <w:widowControl/>
      </w:pPr>
      <w:r>
        <w:t>The proposed organization comprises a transition lead, an operations lead, processors and a reviewer. Roles describe the delivery approach, not confirmed personnel availability. The operations lead will coordinate daily work and discuss unresolved exceptions with the agency’s designated representative. Named personnel, staffing quantities, qualifications and resumes remain inputs for a real response.</w:t>
      </w:r>
    </w:p>
    <w:p>
      <w:pPr>
        <w:pStyle w:val="Heading2"/>
      </w:pPr>
      <w:r>
        <w:t>2.3 Delivery risks</w:t>
      </w:r>
    </w:p>
    <w:p>
      <w:pPr>
        <w:widowControl/>
      </w:pPr>
      <w:r>
        <w:t>Delayed access would affect the pilot and handover dates. The transition lead will maintain an access-action list and escalate unresolved dependencies to the agency. Where source records are incomplete, the team will track the affected items separately so the agency can distinguish completed work from work awaiting a decision.</w:t>
      </w:r>
    </w:p>
    <w:p>
      <w:pPr>
        <w:widowControl/>
      </w:pPr>
      <w:r>
        <w:t>Example scope: the fictional buyer requires a separate price workbook. No prices, employee commitments or company credentials are supplied by this example.</w:t>
      </w:r>
    </w:p>
    <w:sectPr w:rsidR="00FC693F" w:rsidRPr="0006063C" w:rsidSect="00034616">
      <w:footerReference w:type="default" r:id="rId9"/>
      <w:pgSz w:w="12240" w:h="15840"/>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Illustrative example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Response</dc:title>
  <dc:subject>Fictional service proposal example</dc:subject>
  <dc:creator>GovTribe</dc:creator>
  <cp:keywords>proposal, technical response</cp:keywords>
  <dc:description>generated by python-docx</dc:description>
  <cp:lastModifiedBy/>
  <cp:revision>1</cp:revision>
  <dcterms:created xsi:type="dcterms:W3CDTF">2013-12-23T23:15:00Z</dcterms:created>
  <dcterms:modified xsi:type="dcterms:W3CDTF">2013-12-23T23:15:00Z</dcterms:modified>
  <cp:category/>
</cp:coreProperties>
</file>