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 Response</w:t>
      </w:r>
    </w:p>
    <w:p>
      <w:pPr>
        <w:pStyle w:val="Subtitle"/>
      </w:pPr>
      <w:r>
        <w:t>[Buyer-required volume or response title]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7776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E7EDF2"/>
          </w:tcPr>
          <w:p>
            <w:pPr>
              <w:spacing w:after="0" w:line="250" w:lineRule="auto"/>
            </w:pPr>
            <w:r>
              <w:rPr>
                <w:b/>
                <w:color w:val="000000"/>
                <w:sz w:val="20"/>
              </w:rPr>
              <w:t>Response identity</w:t>
            </w:r>
          </w:p>
        </w:tc>
        <w:tc>
          <w:tcPr>
            <w:tcW w:type="dxa" w:w="7776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E7EDF2"/>
          </w:tcPr>
          <w:p>
            <w:pPr>
              <w:spacing w:after="0" w:line="250" w:lineRule="auto"/>
            </w:pPr>
            <w:r>
              <w:rPr>
                <w:b/>
                <w:color w:val="000000"/>
                <w:sz w:val="20"/>
              </w:rPr>
              <w:t>Working 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color w:val="000000"/>
                <w:sz w:val="20"/>
              </w:rPr>
              <w:t>Buyer / office</w:t>
            </w:r>
          </w:p>
        </w:tc>
        <w:tc>
          <w:tcPr>
            <w:tcW w:type="dxa" w:w="7776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color w:val="000000"/>
                <w:sz w:val="20"/>
              </w:rPr>
              <w:t>[Buyer and office]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color w:val="000000"/>
                <w:sz w:val="20"/>
              </w:rPr>
              <w:t>Solicitation / project</w:t>
            </w:r>
          </w:p>
        </w:tc>
        <w:tc>
          <w:tcPr>
            <w:tcW w:type="dxa" w:w="7776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color w:val="000000"/>
                <w:sz w:val="20"/>
              </w:rPr>
              <w:t>[Solicitation identifier and project name]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color w:val="000000"/>
                <w:sz w:val="20"/>
              </w:rPr>
              <w:t>Offeror / contact</w:t>
            </w:r>
          </w:p>
        </w:tc>
        <w:tc>
          <w:tcPr>
            <w:tcW w:type="dxa" w:w="7776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color w:val="000000"/>
                <w:sz w:val="20"/>
              </w:rPr>
              <w:t>[Legal company name and required identifiers] | [Contact]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color w:val="000000"/>
                <w:sz w:val="20"/>
              </w:rPr>
              <w:t>Revision / date</w:t>
            </w:r>
          </w:p>
        </w:tc>
        <w:tc>
          <w:tcPr>
            <w:tcW w:type="dxa" w:w="7776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color w:val="000000"/>
                <w:sz w:val="20"/>
              </w:rPr>
              <w:t>[Selected working revision] | [Date]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[Adapt this master to the buyer's exact headings, order and limits. Repeat or remove sections as appropriate. Replace bracketed instructions with response text; keep price, forms and other volumes separate when required.]</w:t>
      </w:r>
    </w:p>
    <w:p>
      <w:pPr>
        <w:pStyle w:val="Heading1"/>
      </w:pPr>
      <w:r>
        <w:t>[Required technical heading]</w:t>
      </w:r>
    </w:p>
    <w:p>
      <w:pPr>
        <w:widowControl/>
      </w:pPr>
      <w:r>
        <w:t>[Describe the proposed solution to the specified requirement. Explain the method, sequence, resources and deliverables. Address the relevant evaluation question with a direct answer and supporting detail.]</w:t>
      </w:r>
    </w:p>
    <w:p>
      <w:pPr>
        <w:pStyle w:val="Heading2"/>
      </w:pPr>
      <w:r>
        <w:t>[Required method or delivery subsection]</w:t>
      </w:r>
    </w:p>
    <w:p>
      <w:pPr>
        <w:widowControl/>
      </w:pPr>
      <w:r>
        <w:t>[Describe how the work will be performed, the inputs and dependencies, and how the proposed approach meets the buyer’s operating constraints. Identify responsibilities and achievable milestones.]</w:t>
      </w:r>
    </w:p>
    <w:p>
      <w:pPr>
        <w:pStyle w:val="Heading2"/>
      </w:pPr>
      <w:r>
        <w:t>[Required quality or results subsection]</w:t>
      </w:r>
    </w:p>
    <w:p>
      <w:pPr>
        <w:widowControl/>
      </w:pPr>
      <w:r>
        <w:t>[Explain how outputs will be checked, acceptance supported, issues corrected and progress reported. Support factual experience or results with approved company evidence; describe future methods as proposed.]</w:t>
      </w:r>
    </w:p>
    <w:p>
      <w:pPr>
        <w:pStyle w:val="Heading1"/>
      </w:pPr>
      <w:r>
        <w:t>[Optional solution visual or delivery table]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320"/>
        <w:gridCol w:w="3168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E7EDF2"/>
          </w:tcPr>
          <w:p>
            <w:pPr>
              <w:spacing w:after="0" w:line="250" w:lineRule="auto"/>
            </w:pPr>
            <w:r>
              <w:rPr>
                <w:b/>
                <w:color w:val="000000"/>
                <w:sz w:val="20"/>
              </w:rPr>
              <w:t>Deliverable / milestone</w:t>
            </w:r>
          </w:p>
        </w:tc>
        <w:tc>
          <w:tcPr>
            <w:tcW w:type="dxa" w:w="432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E7EDF2"/>
          </w:tcPr>
          <w:p>
            <w:pPr>
              <w:spacing w:after="0" w:line="250" w:lineRule="auto"/>
            </w:pPr>
            <w:r>
              <w:rPr>
                <w:b/>
                <w:color w:val="000000"/>
                <w:sz w:val="20"/>
              </w:rPr>
              <w:t>Proposed approach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E7EDF2"/>
          </w:tcPr>
          <w:p>
            <w:pPr>
              <w:spacing w:after="0" w:line="250" w:lineRule="auto"/>
            </w:pPr>
            <w:r>
              <w:rPr>
                <w:b/>
                <w:color w:val="000000"/>
                <w:sz w:val="20"/>
              </w:rPr>
              <w:t>Responsibility / timing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color w:val="000000"/>
                <w:sz w:val="20"/>
              </w:rPr>
              <w:t>[Required output]</w:t>
            </w:r>
          </w:p>
        </w:tc>
        <w:tc>
          <w:tcPr>
            <w:tcW w:type="dxa" w:w="432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color w:val="000000"/>
                <w:sz w:val="20"/>
              </w:rPr>
              <w:t>[Work steps and acceptance support]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color w:val="000000"/>
                <w:sz w:val="20"/>
              </w:rPr>
              <w:t>[Role and sourced or proposed timing]</w:t>
            </w:r>
          </w:p>
        </w:tc>
      </w:tr>
    </w:tbl>
    <w:p>
      <w:pPr>
        <w:widowControl/>
        <w:spacing w:after="0"/>
      </w:pPr>
    </w:p>
    <w:p>
      <w:r>
        <w:br w:type="page"/>
      </w:r>
    </w:p>
    <w:p>
      <w:pPr>
        <w:pStyle w:val="Heading1"/>
      </w:pPr>
      <w:r>
        <w:t>[Required management heading]</w:t>
      </w:r>
    </w:p>
    <w:p>
      <w:pPr>
        <w:widowControl/>
      </w:pPr>
      <w:r>
        <w:t>[Explain how the team will organize, coordinate with the buyer and control delivery risk. Use the buyer’s required headings rather than retaining generic labels.]</w:t>
      </w:r>
    </w:p>
    <w:p>
      <w:pPr>
        <w:pStyle w:val="Heading2"/>
      </w:pPr>
      <w:r>
        <w:t>[Required staffing subsection]</w:t>
      </w:r>
    </w:p>
    <w:p>
      <w:pPr>
        <w:widowControl/>
      </w:pPr>
      <w:r>
        <w:t>[Identify roles, coverage and supported qualifications. Distinguish proposed personnel from confirmed commitments. Place resumes and past-performance references where the buyer requires them; retain the actual performer and role.]</w:t>
      </w:r>
    </w:p>
    <w:p>
      <w:pPr>
        <w:pStyle w:val="Heading2"/>
      </w:pPr>
      <w:r>
        <w:t>[Required transition or schedule subsection]</w:t>
      </w:r>
    </w:p>
    <w:p>
      <w:pPr>
        <w:widowControl/>
      </w:pPr>
      <w:r>
        <w:t>[Describe start-up, handover, continuity and dependencies. Reconcile the proposed schedule and staffing with the technical approach and price submission. State material assumptions in the buyer-permitted location.]</w:t>
      </w:r>
    </w:p>
    <w:p>
      <w:pPr>
        <w:pStyle w:val="Heading2"/>
      </w:pPr>
      <w:r>
        <w:t>[Required risk or coordination subsection]</w:t>
      </w:r>
    </w:p>
    <w:p>
      <w:pPr>
        <w:widowControl/>
      </w:pPr>
      <w:r>
        <w:t>[Explain the main delivery risks, practical controls and escalation responsibilities. Address the buyer’s reporting and coordination requirements.]</w:t>
      </w:r>
    </w:p>
    <w:p>
      <w:pPr>
        <w:pStyle w:val="Heading1"/>
      </w:pPr>
      <w:r>
        <w:t>[Other required response section]</w:t>
      </w:r>
    </w:p>
    <w:p>
      <w:pPr>
        <w:widowControl/>
      </w:pPr>
      <w:r>
        <w:t>[Repeat buyer-required sections and direct question answers as needed. Include supported differentiators and relevant evidence where they address the evaluation factors. Keep internal requirement tracking and missing-input notes outside prohibited external fields.]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Proposal response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8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Response</dc:title>
  <dc:subject>Adaptable proposal response master</dc:subject>
  <dc:creator>GovTribe</dc:creator>
  <cp:keywords>proposal, technical response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