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E2" w:rsidRPr="002475E2" w:rsidRDefault="002475E2">
      <w:pPr>
        <w:rPr>
          <w:u w:val="single"/>
          <w:lang w:val="es-MX"/>
        </w:rPr>
      </w:pPr>
      <w:r w:rsidRPr="002475E2">
        <w:rPr>
          <w:u w:val="single"/>
          <w:lang w:val="es-MX"/>
        </w:rPr>
        <w:t>Criterios utilizados para limpiar las tablas de datos:</w:t>
      </w:r>
    </w:p>
    <w:p w:rsidR="00FA1F2C" w:rsidRDefault="009B126B" w:rsidP="00D157C5">
      <w:pPr>
        <w:jc w:val="both"/>
        <w:rPr>
          <w:lang w:val="es-MX"/>
        </w:rPr>
      </w:pPr>
      <w:r w:rsidRPr="00D157C5">
        <w:rPr>
          <w:lang w:val="es-MX"/>
        </w:rPr>
        <w:t xml:space="preserve">La información seleccionada </w:t>
      </w:r>
      <w:r w:rsidR="00FA1F2C">
        <w:rPr>
          <w:lang w:val="es-MX"/>
        </w:rPr>
        <w:t xml:space="preserve">desde las bases de datos proporcionadas por el Servicio Médico Legal </w:t>
      </w:r>
      <w:r w:rsidRPr="00D157C5">
        <w:rPr>
          <w:lang w:val="es-MX"/>
        </w:rPr>
        <w:t>fue</w:t>
      </w:r>
      <w:r w:rsidR="00FA1F2C">
        <w:rPr>
          <w:lang w:val="es-MX"/>
        </w:rPr>
        <w:t xml:space="preserve"> la siguiente</w:t>
      </w:r>
      <w:r w:rsidR="002475E2" w:rsidRPr="00D157C5">
        <w:rPr>
          <w:lang w:val="es-MX"/>
        </w:rPr>
        <w:t xml:space="preserve">: </w:t>
      </w:r>
      <w:r w:rsidR="007C7521" w:rsidRPr="00D157C5">
        <w:rPr>
          <w:lang w:val="es-MX"/>
        </w:rPr>
        <w:t xml:space="preserve">fallecido/vivo, </w:t>
      </w:r>
      <w:r w:rsidR="002475E2" w:rsidRPr="00D157C5">
        <w:rPr>
          <w:lang w:val="es-MX"/>
        </w:rPr>
        <w:t xml:space="preserve">edad, sexo, región, tipo de muestra, </w:t>
      </w:r>
      <w:proofErr w:type="spellStart"/>
      <w:r w:rsidR="002475E2" w:rsidRPr="00D157C5">
        <w:rPr>
          <w:lang w:val="es-MX"/>
        </w:rPr>
        <w:t>screening</w:t>
      </w:r>
      <w:proofErr w:type="spellEnd"/>
      <w:r w:rsidR="002475E2" w:rsidRPr="00D157C5">
        <w:rPr>
          <w:lang w:val="es-MX"/>
        </w:rPr>
        <w:t>,</w:t>
      </w:r>
      <w:r w:rsidR="00E46AAE" w:rsidRPr="00D157C5">
        <w:rPr>
          <w:lang w:val="es-MX"/>
        </w:rPr>
        <w:t xml:space="preserve"> confirmación,</w:t>
      </w:r>
      <w:r w:rsidR="002475E2" w:rsidRPr="00D157C5">
        <w:rPr>
          <w:lang w:val="es-MX"/>
        </w:rPr>
        <w:t xml:space="preserve"> </w:t>
      </w:r>
      <w:r w:rsidR="007C7521" w:rsidRPr="00D157C5">
        <w:rPr>
          <w:lang w:val="es-MX"/>
        </w:rPr>
        <w:t xml:space="preserve">presunta </w:t>
      </w:r>
      <w:r w:rsidR="002475E2" w:rsidRPr="00D157C5">
        <w:rPr>
          <w:lang w:val="es-MX"/>
        </w:rPr>
        <w:t>causa de muerte, droga.</w:t>
      </w:r>
      <w:r w:rsidR="00FA1F2C">
        <w:rPr>
          <w:lang w:val="es-MX"/>
        </w:rPr>
        <w:t xml:space="preserve"> </w:t>
      </w:r>
    </w:p>
    <w:p w:rsidR="002475E2" w:rsidRPr="00D157C5" w:rsidRDefault="00FA1F2C" w:rsidP="00D157C5">
      <w:pPr>
        <w:jc w:val="both"/>
        <w:rPr>
          <w:lang w:val="es-MX"/>
        </w:rPr>
      </w:pPr>
      <w:r>
        <w:rPr>
          <w:lang w:val="es-MX"/>
        </w:rPr>
        <w:t>Con la información recopilada se crearon tablas de datos para cada laboratorio, las cuales fueron homogeneizadas para facilitar el respectivo análisis, utilizando los siguientes criterios:</w:t>
      </w:r>
    </w:p>
    <w:p w:rsidR="00B3746A" w:rsidRDefault="00B3746A" w:rsidP="00B3746A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>
        <w:rPr>
          <w:lang w:val="es-MX"/>
        </w:rPr>
        <w:t>Ante la ausencia de</w:t>
      </w:r>
      <w:r w:rsidR="00B707DC">
        <w:rPr>
          <w:lang w:val="es-MX"/>
        </w:rPr>
        <w:t xml:space="preserve"> la información </w:t>
      </w:r>
      <w:r w:rsidR="007716DC" w:rsidRPr="00D157C5">
        <w:rPr>
          <w:b/>
          <w:i/>
          <w:lang w:val="es-MX"/>
        </w:rPr>
        <w:t>“fallecido o vivo”</w:t>
      </w:r>
      <w:r>
        <w:rPr>
          <w:lang w:val="es-MX"/>
        </w:rPr>
        <w:t>:</w:t>
      </w:r>
    </w:p>
    <w:p w:rsidR="00B3746A" w:rsidRDefault="00B3746A" w:rsidP="00B3746A">
      <w:pPr>
        <w:pStyle w:val="Prrafodelista"/>
        <w:spacing w:after="0"/>
        <w:jc w:val="both"/>
        <w:rPr>
          <w:lang w:val="es-MX"/>
        </w:rPr>
      </w:pPr>
      <w:r>
        <w:rPr>
          <w:lang w:val="es-MX"/>
        </w:rPr>
        <w:t>-Se consideró “fallecido” si se presentaba</w:t>
      </w:r>
      <w:r>
        <w:rPr>
          <w:lang w:val="es-MX"/>
        </w:rPr>
        <w:t xml:space="preserve"> información de fiscalía y/o si </w:t>
      </w:r>
      <w:r>
        <w:rPr>
          <w:lang w:val="es-MX"/>
        </w:rPr>
        <w:t xml:space="preserve">se </w:t>
      </w:r>
      <w:r>
        <w:rPr>
          <w:lang w:val="es-MX"/>
        </w:rPr>
        <w:t>especifica</w:t>
      </w:r>
      <w:r w:rsidR="00AD2791">
        <w:rPr>
          <w:lang w:val="es-MX"/>
        </w:rPr>
        <w:t>ba</w:t>
      </w:r>
      <w:r>
        <w:rPr>
          <w:lang w:val="es-MX"/>
        </w:rPr>
        <w:t xml:space="preserve"> una presunta causa de muerte</w:t>
      </w:r>
      <w:r>
        <w:rPr>
          <w:lang w:val="es-MX"/>
        </w:rPr>
        <w:t>.</w:t>
      </w:r>
    </w:p>
    <w:p w:rsidR="00B707DC" w:rsidRPr="00B3746A" w:rsidRDefault="002B20E6" w:rsidP="00B3746A">
      <w:pPr>
        <w:pStyle w:val="Prrafodelista"/>
        <w:spacing w:after="0"/>
        <w:jc w:val="both"/>
        <w:rPr>
          <w:lang w:val="es-MX"/>
        </w:rPr>
      </w:pPr>
      <w:r w:rsidRPr="00B3746A">
        <w:rPr>
          <w:lang w:val="es-MX"/>
        </w:rPr>
        <w:t xml:space="preserve">- </w:t>
      </w:r>
      <w:r w:rsidR="00B3746A">
        <w:rPr>
          <w:lang w:val="es-MX"/>
        </w:rPr>
        <w:t xml:space="preserve">Se consideró “vivo” si se presentaba información </w:t>
      </w:r>
      <w:r w:rsidR="00B707DC" w:rsidRPr="00B3746A">
        <w:rPr>
          <w:lang w:val="es-MX"/>
        </w:rPr>
        <w:t>de tribunales o juzgado, y/o si la muestra utilizada cor</w:t>
      </w:r>
      <w:r w:rsidR="00AD2791">
        <w:rPr>
          <w:lang w:val="es-MX"/>
        </w:rPr>
        <w:t>respondía</w:t>
      </w:r>
      <w:r w:rsidR="00B707DC" w:rsidRPr="00B3746A">
        <w:rPr>
          <w:lang w:val="es-MX"/>
        </w:rPr>
        <w:t xml:space="preserve"> a pelo</w:t>
      </w:r>
      <w:r w:rsidR="00D52AD4">
        <w:rPr>
          <w:lang w:val="es-MX"/>
        </w:rPr>
        <w:t>.</w:t>
      </w:r>
      <w:r w:rsidRPr="00B3746A">
        <w:rPr>
          <w:lang w:val="es-MX"/>
        </w:rPr>
        <w:t xml:space="preserve"> </w:t>
      </w:r>
    </w:p>
    <w:p w:rsidR="00D52AD4" w:rsidRDefault="002B20E6" w:rsidP="00D52AD4">
      <w:pPr>
        <w:pStyle w:val="Prrafodelista"/>
        <w:spacing w:after="0"/>
        <w:jc w:val="both"/>
        <w:rPr>
          <w:lang w:val="es-MX"/>
        </w:rPr>
      </w:pPr>
      <w:r>
        <w:rPr>
          <w:lang w:val="es-MX"/>
        </w:rPr>
        <w:t xml:space="preserve">- </w:t>
      </w:r>
      <w:r w:rsidR="00BC174B">
        <w:rPr>
          <w:lang w:val="es-MX"/>
        </w:rPr>
        <w:t>Se consideró “n</w:t>
      </w:r>
      <w:r w:rsidR="00D52AD4">
        <w:rPr>
          <w:lang w:val="es-MX"/>
        </w:rPr>
        <w:t xml:space="preserve">o informa”, </w:t>
      </w:r>
      <w:r w:rsidR="00AD2791">
        <w:rPr>
          <w:lang w:val="es-MX"/>
        </w:rPr>
        <w:t>cuando no se presentó</w:t>
      </w:r>
      <w:r w:rsidR="00B707DC">
        <w:rPr>
          <w:lang w:val="es-MX"/>
        </w:rPr>
        <w:t xml:space="preserve"> informa</w:t>
      </w:r>
      <w:r w:rsidR="00AD2791">
        <w:rPr>
          <w:lang w:val="es-MX"/>
        </w:rPr>
        <w:t>ción que permitiera</w:t>
      </w:r>
      <w:r>
        <w:rPr>
          <w:lang w:val="es-MX"/>
        </w:rPr>
        <w:t xml:space="preserve"> una conclusión</w:t>
      </w:r>
      <w:r w:rsidR="00D52AD4">
        <w:rPr>
          <w:lang w:val="es-MX"/>
        </w:rPr>
        <w:t>.</w:t>
      </w:r>
    </w:p>
    <w:p w:rsidR="00D52AD4" w:rsidRPr="003E1659" w:rsidRDefault="00D52AD4" w:rsidP="003E1659">
      <w:pPr>
        <w:spacing w:after="0"/>
        <w:jc w:val="both"/>
        <w:rPr>
          <w:lang w:val="es-MX"/>
        </w:rPr>
      </w:pPr>
    </w:p>
    <w:p w:rsidR="00CD66C3" w:rsidRDefault="00CD66C3" w:rsidP="003E1659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La </w:t>
      </w:r>
      <w:r w:rsidRPr="00565AD7">
        <w:rPr>
          <w:b/>
          <w:i/>
          <w:lang w:val="es-MX"/>
        </w:rPr>
        <w:t>edad</w:t>
      </w:r>
      <w:r>
        <w:rPr>
          <w:lang w:val="es-MX"/>
        </w:rPr>
        <w:t xml:space="preserve"> se expresó en años, por lo que se consideraron números del 0 al 100. Edades de meses, semanas o días, fueron consideradas como 0. </w:t>
      </w:r>
    </w:p>
    <w:p w:rsidR="00565AD7" w:rsidRDefault="00F907F6" w:rsidP="000731AD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>
        <w:rPr>
          <w:lang w:val="es-MX"/>
        </w:rPr>
        <w:t>Ante la ausencia de la información</w:t>
      </w:r>
      <w:r>
        <w:rPr>
          <w:lang w:val="es-MX"/>
        </w:rPr>
        <w:t xml:space="preserve"> </w:t>
      </w:r>
      <w:r w:rsidRPr="00F907F6">
        <w:rPr>
          <w:b/>
          <w:lang w:val="es-MX"/>
        </w:rPr>
        <w:t>“</w:t>
      </w:r>
      <w:r w:rsidRPr="00F907F6">
        <w:rPr>
          <w:b/>
          <w:lang w:val="es-MX"/>
        </w:rPr>
        <w:t>sexo</w:t>
      </w:r>
      <w:r w:rsidRPr="00F907F6">
        <w:rPr>
          <w:b/>
          <w:lang w:val="es-MX"/>
        </w:rPr>
        <w:t>”</w:t>
      </w:r>
      <w:r w:rsidRPr="00F907F6">
        <w:rPr>
          <w:lang w:val="es-MX"/>
        </w:rPr>
        <w:t>,</w:t>
      </w:r>
      <w:r>
        <w:rPr>
          <w:b/>
          <w:lang w:val="es-MX"/>
        </w:rPr>
        <w:t xml:space="preserve"> </w:t>
      </w:r>
      <w:r>
        <w:rPr>
          <w:lang w:val="es-MX"/>
        </w:rPr>
        <w:t>l</w:t>
      </w:r>
      <w:r w:rsidR="00565AD7">
        <w:rPr>
          <w:lang w:val="es-MX"/>
        </w:rPr>
        <w:t xml:space="preserve">as celdas </w:t>
      </w:r>
      <w:r w:rsidR="00BC174B">
        <w:rPr>
          <w:lang w:val="es-MX"/>
        </w:rPr>
        <w:t>fueron homogeneizadas como “n</w:t>
      </w:r>
      <w:r w:rsidR="00565AD7">
        <w:rPr>
          <w:lang w:val="es-MX"/>
        </w:rPr>
        <w:t>o informa”.</w:t>
      </w:r>
    </w:p>
    <w:p w:rsidR="00565AD7" w:rsidRDefault="00565AD7" w:rsidP="000731AD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Se consideró como </w:t>
      </w:r>
      <w:r w:rsidRPr="00565AD7">
        <w:rPr>
          <w:b/>
          <w:lang w:val="es-MX"/>
        </w:rPr>
        <w:t>“región”</w:t>
      </w:r>
      <w:r>
        <w:rPr>
          <w:lang w:val="es-MX"/>
        </w:rPr>
        <w:t>, la correspondiente al lugar de procedencia de la muestra.</w:t>
      </w:r>
    </w:p>
    <w:p w:rsidR="002475E2" w:rsidRDefault="002475E2" w:rsidP="000731AD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 w:rsidRPr="009B126B">
        <w:rPr>
          <w:lang w:val="es-MX"/>
        </w:rPr>
        <w:t xml:space="preserve">Los </w:t>
      </w:r>
      <w:r w:rsidRPr="0025147B">
        <w:rPr>
          <w:b/>
          <w:i/>
          <w:lang w:val="es-MX"/>
        </w:rPr>
        <w:t>tipos de muestra</w:t>
      </w:r>
      <w:r w:rsidRPr="009B126B">
        <w:rPr>
          <w:lang w:val="es-MX"/>
        </w:rPr>
        <w:t xml:space="preserve"> considerados en las tablas fueron</w:t>
      </w:r>
      <w:r w:rsidR="00E46AAE">
        <w:rPr>
          <w:lang w:val="es-MX"/>
        </w:rPr>
        <w:t>: sangre, orina, pelo, vísceras y</w:t>
      </w:r>
      <w:r w:rsidRPr="009B126B">
        <w:rPr>
          <w:lang w:val="es-MX"/>
        </w:rPr>
        <w:t xml:space="preserve"> contenido gástrico. Muestras de “bilis” fueron consideradas </w:t>
      </w:r>
      <w:r w:rsidR="00364729">
        <w:rPr>
          <w:lang w:val="es-MX"/>
        </w:rPr>
        <w:t>como</w:t>
      </w:r>
      <w:r w:rsidRPr="009B126B">
        <w:rPr>
          <w:lang w:val="es-MX"/>
        </w:rPr>
        <w:t xml:space="preserve"> </w:t>
      </w:r>
      <w:r w:rsidRPr="009B126B">
        <w:rPr>
          <w:i/>
          <w:lang w:val="es-MX"/>
        </w:rPr>
        <w:t>orina</w:t>
      </w:r>
      <w:r w:rsidR="00364729">
        <w:rPr>
          <w:lang w:val="es-MX"/>
        </w:rPr>
        <w:t xml:space="preserve"> y</w:t>
      </w:r>
      <w:r w:rsidRPr="009B126B">
        <w:rPr>
          <w:lang w:val="es-MX"/>
        </w:rPr>
        <w:t xml:space="preserve"> muestras de “humor vítreo”, </w:t>
      </w:r>
      <w:r w:rsidR="00364729">
        <w:rPr>
          <w:lang w:val="es-MX"/>
        </w:rPr>
        <w:t>como</w:t>
      </w:r>
      <w:r w:rsidRPr="009B126B">
        <w:rPr>
          <w:lang w:val="es-MX"/>
        </w:rPr>
        <w:t xml:space="preserve"> </w:t>
      </w:r>
      <w:r w:rsidRPr="009B126B">
        <w:rPr>
          <w:i/>
          <w:lang w:val="es-MX"/>
        </w:rPr>
        <w:t>sangre</w:t>
      </w:r>
      <w:r w:rsidR="00E46AAE">
        <w:rPr>
          <w:i/>
          <w:lang w:val="es-MX"/>
        </w:rPr>
        <w:t>,</w:t>
      </w:r>
      <w:r w:rsidR="00364729">
        <w:rPr>
          <w:i/>
          <w:lang w:val="es-MX"/>
        </w:rPr>
        <w:t xml:space="preserve"> </w:t>
      </w:r>
      <w:r w:rsidR="00364729">
        <w:rPr>
          <w:lang w:val="es-MX"/>
        </w:rPr>
        <w:t>dado que son las alternativas frente a la indisponibilidad de muestra en cada caso</w:t>
      </w:r>
      <w:r w:rsidRPr="009B126B">
        <w:rPr>
          <w:i/>
          <w:lang w:val="es-MX"/>
        </w:rPr>
        <w:t xml:space="preserve">; </w:t>
      </w:r>
      <w:r w:rsidRPr="009B126B">
        <w:rPr>
          <w:lang w:val="es-MX"/>
        </w:rPr>
        <w:t xml:space="preserve">tipos de muestras como “papelillos”, “pastillas”, “frascos”, “tejido muscular”, “líquido oscuro”, etc., fueron </w:t>
      </w:r>
      <w:r w:rsidR="00E46AAE">
        <w:rPr>
          <w:lang w:val="es-MX"/>
        </w:rPr>
        <w:t>descartadas</w:t>
      </w:r>
      <w:r w:rsidRPr="009B126B">
        <w:rPr>
          <w:i/>
          <w:lang w:val="es-MX"/>
        </w:rPr>
        <w:t>.</w:t>
      </w:r>
      <w:r w:rsidR="000731AD">
        <w:rPr>
          <w:lang w:val="es-MX"/>
        </w:rPr>
        <w:t xml:space="preserve"> Las celdas vací</w:t>
      </w:r>
      <w:r w:rsidR="00BC174B">
        <w:rPr>
          <w:lang w:val="es-MX"/>
        </w:rPr>
        <w:t>as fueron homogeneizadas como “n</w:t>
      </w:r>
      <w:r w:rsidR="000731AD">
        <w:rPr>
          <w:lang w:val="es-MX"/>
        </w:rPr>
        <w:t>o informa”.</w:t>
      </w:r>
    </w:p>
    <w:p w:rsidR="00191CA7" w:rsidRDefault="00565AD7" w:rsidP="000731AD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Con respecto a </w:t>
      </w:r>
      <w:r w:rsidRPr="0025147B">
        <w:rPr>
          <w:b/>
          <w:i/>
          <w:lang w:val="es-MX"/>
        </w:rPr>
        <w:t>“</w:t>
      </w:r>
      <w:proofErr w:type="spellStart"/>
      <w:r w:rsidRPr="0025147B">
        <w:rPr>
          <w:b/>
          <w:i/>
          <w:lang w:val="es-MX"/>
        </w:rPr>
        <w:t>screening</w:t>
      </w:r>
      <w:proofErr w:type="spellEnd"/>
      <w:r w:rsidRPr="0025147B">
        <w:rPr>
          <w:b/>
          <w:i/>
          <w:lang w:val="es-MX"/>
        </w:rPr>
        <w:t>”</w:t>
      </w:r>
      <w:r w:rsidRPr="0025147B">
        <w:rPr>
          <w:i/>
          <w:lang w:val="es-MX"/>
        </w:rPr>
        <w:t>,</w:t>
      </w:r>
      <w:r>
        <w:rPr>
          <w:lang w:val="es-MX"/>
        </w:rPr>
        <w:t xml:space="preserve"> se consideró válida la información sólo si la muestra correspondía a orina o sangre. Las variables fueron catalogadas como “</w:t>
      </w:r>
      <w:r w:rsidR="00191CA7">
        <w:rPr>
          <w:lang w:val="es-MX"/>
        </w:rPr>
        <w:t>presunto positivo</w:t>
      </w:r>
      <w:r>
        <w:rPr>
          <w:lang w:val="es-MX"/>
        </w:rPr>
        <w:t>”</w:t>
      </w:r>
      <w:r w:rsidR="00191CA7">
        <w:rPr>
          <w:lang w:val="es-MX"/>
        </w:rPr>
        <w:t>, “presunto negativo” o “no aplica”</w:t>
      </w:r>
      <w:r w:rsidR="00F559F5">
        <w:rPr>
          <w:lang w:val="es-MX"/>
        </w:rPr>
        <w:t>, en el caso de ser una muestra distinta a sangre u orina</w:t>
      </w:r>
      <w:r w:rsidR="00191CA7">
        <w:rPr>
          <w:lang w:val="es-MX"/>
        </w:rPr>
        <w:t>.</w:t>
      </w:r>
    </w:p>
    <w:p w:rsidR="001F5682" w:rsidRDefault="00A83CA7" w:rsidP="000731AD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La </w:t>
      </w:r>
      <w:r w:rsidRPr="0025147B">
        <w:rPr>
          <w:b/>
          <w:i/>
          <w:lang w:val="es-MX"/>
        </w:rPr>
        <w:t>confirmación</w:t>
      </w:r>
      <w:r w:rsidR="001F5682">
        <w:rPr>
          <w:lang w:val="es-MX"/>
        </w:rPr>
        <w:t xml:space="preserve"> </w:t>
      </w:r>
      <w:r w:rsidR="00B072D9">
        <w:rPr>
          <w:lang w:val="es-MX"/>
        </w:rPr>
        <w:t xml:space="preserve">se consideró </w:t>
      </w:r>
      <w:bookmarkStart w:id="0" w:name="_GoBack"/>
      <w:bookmarkEnd w:id="0"/>
      <w:r w:rsidR="001F5682">
        <w:rPr>
          <w:lang w:val="es-MX"/>
        </w:rPr>
        <w:t>positiva o negativa, según la detección o no detección de drogas.</w:t>
      </w:r>
    </w:p>
    <w:p w:rsidR="0025147B" w:rsidRDefault="0025147B" w:rsidP="000731AD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La </w:t>
      </w:r>
      <w:r w:rsidRPr="0025147B">
        <w:rPr>
          <w:b/>
          <w:i/>
          <w:lang w:val="es-MX"/>
        </w:rPr>
        <w:t>presunta causa de muerte</w:t>
      </w:r>
      <w:r>
        <w:rPr>
          <w:lang w:val="es-MX"/>
        </w:rPr>
        <w:t xml:space="preserve"> corresponde al resultado entregado al laboratorio por parte del médico </w:t>
      </w:r>
      <w:proofErr w:type="spellStart"/>
      <w:r>
        <w:rPr>
          <w:lang w:val="es-MX"/>
        </w:rPr>
        <w:t>tanatólogo</w:t>
      </w:r>
      <w:proofErr w:type="spellEnd"/>
      <w:r>
        <w:rPr>
          <w:lang w:val="es-MX"/>
        </w:rPr>
        <w:t xml:space="preserve"> que realiza la autopsia, </w:t>
      </w:r>
      <w:r w:rsidR="00E71273">
        <w:rPr>
          <w:lang w:val="es-MX"/>
        </w:rPr>
        <w:t xml:space="preserve">esta información es anterior </w:t>
      </w:r>
      <w:r>
        <w:rPr>
          <w:lang w:val="es-MX"/>
        </w:rPr>
        <w:t>a un análisis toxicológico</w:t>
      </w:r>
      <w:r w:rsidR="003021FD">
        <w:rPr>
          <w:lang w:val="es-MX"/>
        </w:rPr>
        <w:t>, por lo que se utilizó la denominación “presunta”</w:t>
      </w:r>
      <w:r>
        <w:rPr>
          <w:lang w:val="es-MX"/>
        </w:rPr>
        <w:t xml:space="preserve">. </w:t>
      </w:r>
    </w:p>
    <w:p w:rsidR="0025147B" w:rsidRPr="003D362E" w:rsidRDefault="0025147B" w:rsidP="0025147B">
      <w:pPr>
        <w:pStyle w:val="Prrafodelista"/>
        <w:spacing w:after="0"/>
        <w:jc w:val="both"/>
        <w:rPr>
          <w:lang w:val="es-MX"/>
        </w:rPr>
      </w:pPr>
      <w:r>
        <w:rPr>
          <w:lang w:val="es-MX"/>
        </w:rPr>
        <w:t xml:space="preserve">En los casos en que no fue informada, se infirió con el siguiente criterio: Si </w:t>
      </w:r>
      <w:r w:rsidR="005620C4">
        <w:rPr>
          <w:lang w:val="es-MX"/>
        </w:rPr>
        <w:t xml:space="preserve">se cuenta con </w:t>
      </w:r>
      <w:r>
        <w:rPr>
          <w:lang w:val="es-MX"/>
        </w:rPr>
        <w:t>información de tribunales o juzgado, y/o si la muestra utilizada corresponde a pelo</w:t>
      </w:r>
      <w:r w:rsidR="00E71273">
        <w:rPr>
          <w:lang w:val="es-MX"/>
        </w:rPr>
        <w:t>, se consideró</w:t>
      </w:r>
      <w:r>
        <w:rPr>
          <w:lang w:val="es-MX"/>
        </w:rPr>
        <w:t xml:space="preserve"> </w:t>
      </w:r>
      <w:r w:rsidR="00E71273">
        <w:rPr>
          <w:lang w:val="es-MX"/>
        </w:rPr>
        <w:t>“</w:t>
      </w:r>
      <w:r>
        <w:rPr>
          <w:lang w:val="es-MX"/>
        </w:rPr>
        <w:t>vivo</w:t>
      </w:r>
      <w:r w:rsidR="00E71273">
        <w:rPr>
          <w:lang w:val="es-MX"/>
        </w:rPr>
        <w:t>”; en caso de no contar con información que permita una c</w:t>
      </w:r>
      <w:r w:rsidR="00BC174B">
        <w:rPr>
          <w:lang w:val="es-MX"/>
        </w:rPr>
        <w:t>onclusión, se homogenizó como “n</w:t>
      </w:r>
      <w:r w:rsidR="00E71273">
        <w:rPr>
          <w:lang w:val="es-MX"/>
        </w:rPr>
        <w:t>o informa”</w:t>
      </w:r>
      <w:r w:rsidR="005620C4">
        <w:rPr>
          <w:lang w:val="es-MX"/>
        </w:rPr>
        <w:t>; en caso contrario, se consideró “fallecido”</w:t>
      </w:r>
      <w:r w:rsidR="00E71273">
        <w:rPr>
          <w:lang w:val="es-MX"/>
        </w:rPr>
        <w:t>.</w:t>
      </w:r>
    </w:p>
    <w:p w:rsidR="00185109" w:rsidRDefault="009F44D0" w:rsidP="000731AD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Las </w:t>
      </w:r>
      <w:r w:rsidRPr="00E71273">
        <w:rPr>
          <w:b/>
          <w:lang w:val="es-MX"/>
        </w:rPr>
        <w:t>d</w:t>
      </w:r>
      <w:r w:rsidR="00E53B98" w:rsidRPr="00E71273">
        <w:rPr>
          <w:b/>
          <w:lang w:val="es-MX"/>
        </w:rPr>
        <w:t>rogas</w:t>
      </w:r>
      <w:r w:rsidR="00E53B98">
        <w:rPr>
          <w:lang w:val="es-MX"/>
        </w:rPr>
        <w:t xml:space="preserve"> de tipo medicamentos</w:t>
      </w:r>
      <w:r w:rsidR="00B4228C">
        <w:rPr>
          <w:lang w:val="es-MX"/>
        </w:rPr>
        <w:t xml:space="preserve"> detectadas</w:t>
      </w:r>
      <w:r w:rsidR="00E53B98">
        <w:rPr>
          <w:lang w:val="es-MX"/>
        </w:rPr>
        <w:t>, fueron homogenei</w:t>
      </w:r>
      <w:r w:rsidR="00185109">
        <w:rPr>
          <w:lang w:val="es-MX"/>
        </w:rPr>
        <w:t>zadas según grupo farmacológico:</w:t>
      </w:r>
    </w:p>
    <w:p w:rsidR="00B4228C" w:rsidRDefault="00185109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</w:t>
      </w:r>
      <w:r w:rsidR="00B4228C">
        <w:rPr>
          <w:lang w:val="es-MX"/>
        </w:rPr>
        <w:t>“</w:t>
      </w:r>
      <w:proofErr w:type="gramEnd"/>
      <w:r w:rsidR="00B4228C">
        <w:rPr>
          <w:lang w:val="es-MX"/>
        </w:rPr>
        <w:t xml:space="preserve">Analgésicos”: paracetamol, </w:t>
      </w:r>
      <w:proofErr w:type="spellStart"/>
      <w:r w:rsidR="00B4228C">
        <w:rPr>
          <w:lang w:val="es-MX"/>
        </w:rPr>
        <w:t>dipirona</w:t>
      </w:r>
      <w:proofErr w:type="spellEnd"/>
      <w:r w:rsidR="00B4228C">
        <w:rPr>
          <w:lang w:val="es-MX"/>
        </w:rPr>
        <w:t xml:space="preserve">, </w:t>
      </w:r>
      <w:proofErr w:type="spellStart"/>
      <w:r w:rsidR="00B4228C">
        <w:rPr>
          <w:lang w:val="es-MX"/>
        </w:rPr>
        <w:t>propifenazona</w:t>
      </w:r>
      <w:proofErr w:type="spellEnd"/>
      <w:r w:rsidR="00B4228C">
        <w:rPr>
          <w:lang w:val="es-MX"/>
        </w:rPr>
        <w:t xml:space="preserve">, naproxeno, </w:t>
      </w:r>
      <w:proofErr w:type="spellStart"/>
      <w:r w:rsidR="00A9593C">
        <w:rPr>
          <w:lang w:val="es-MX"/>
        </w:rPr>
        <w:t>ampirona</w:t>
      </w:r>
      <w:proofErr w:type="spellEnd"/>
      <w:r w:rsidR="00A9593C">
        <w:rPr>
          <w:lang w:val="es-MX"/>
        </w:rPr>
        <w:t xml:space="preserve">, </w:t>
      </w:r>
      <w:r w:rsidR="00B4228C">
        <w:rPr>
          <w:lang w:val="es-MX"/>
        </w:rPr>
        <w:t>etc.</w:t>
      </w:r>
    </w:p>
    <w:p w:rsidR="00B4228C" w:rsidRPr="00B4228C" w:rsidRDefault="00B4228C" w:rsidP="00B4228C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Anestésicos”: lidocaína, </w:t>
      </w:r>
      <w:proofErr w:type="spellStart"/>
      <w:r>
        <w:rPr>
          <w:lang w:val="es-MX"/>
        </w:rPr>
        <w:t>propofol</w:t>
      </w:r>
      <w:proofErr w:type="spellEnd"/>
      <w:r>
        <w:rPr>
          <w:lang w:val="es-MX"/>
        </w:rPr>
        <w:t>, etc.</w:t>
      </w:r>
    </w:p>
    <w:p w:rsidR="00A9593C" w:rsidRDefault="00B4228C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</w:t>
      </w:r>
      <w:r w:rsidR="00A9593C">
        <w:rPr>
          <w:lang w:val="es-MX"/>
        </w:rPr>
        <w:t>“</w:t>
      </w:r>
      <w:proofErr w:type="gramEnd"/>
      <w:r w:rsidR="00A9593C">
        <w:rPr>
          <w:lang w:val="es-MX"/>
        </w:rPr>
        <w:t xml:space="preserve">Anfetaminas”: anfetamina, </w:t>
      </w:r>
      <w:proofErr w:type="spellStart"/>
      <w:r w:rsidR="00A9593C">
        <w:rPr>
          <w:lang w:val="es-MX"/>
        </w:rPr>
        <w:t>fentermina</w:t>
      </w:r>
      <w:proofErr w:type="spellEnd"/>
      <w:r w:rsidR="00A9593C">
        <w:rPr>
          <w:lang w:val="es-MX"/>
        </w:rPr>
        <w:t xml:space="preserve">, </w:t>
      </w:r>
      <w:proofErr w:type="spellStart"/>
      <w:r w:rsidR="00A9593C">
        <w:rPr>
          <w:lang w:val="es-MX"/>
        </w:rPr>
        <w:t>metilfenidato</w:t>
      </w:r>
      <w:proofErr w:type="spellEnd"/>
      <w:r w:rsidR="00A5388E">
        <w:rPr>
          <w:lang w:val="es-MX"/>
        </w:rPr>
        <w:t>, etc.</w:t>
      </w:r>
    </w:p>
    <w:p w:rsidR="00F9096F" w:rsidRDefault="00A9593C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</w:t>
      </w:r>
      <w:r w:rsidR="00F9096F">
        <w:rPr>
          <w:lang w:val="es-MX"/>
        </w:rPr>
        <w:t>“</w:t>
      </w:r>
      <w:proofErr w:type="spellStart"/>
      <w:proofErr w:type="gramEnd"/>
      <w:r w:rsidR="00F9096F">
        <w:rPr>
          <w:lang w:val="es-MX"/>
        </w:rPr>
        <w:t>Antiarrítmicos</w:t>
      </w:r>
      <w:proofErr w:type="spellEnd"/>
      <w:r w:rsidR="00F9096F">
        <w:rPr>
          <w:lang w:val="es-MX"/>
        </w:rPr>
        <w:t xml:space="preserve">”: </w:t>
      </w:r>
      <w:proofErr w:type="spellStart"/>
      <w:r w:rsidR="00F9096F">
        <w:rPr>
          <w:lang w:val="es-MX"/>
        </w:rPr>
        <w:t>verapamilo</w:t>
      </w:r>
      <w:proofErr w:type="spellEnd"/>
      <w:r w:rsidR="00F9096F">
        <w:rPr>
          <w:lang w:val="es-MX"/>
        </w:rPr>
        <w:t xml:space="preserve">, </w:t>
      </w:r>
      <w:proofErr w:type="spellStart"/>
      <w:r w:rsidR="00F9096F">
        <w:rPr>
          <w:lang w:val="es-MX"/>
        </w:rPr>
        <w:t>flecainida</w:t>
      </w:r>
      <w:proofErr w:type="spellEnd"/>
      <w:r w:rsidR="00F9096F">
        <w:rPr>
          <w:lang w:val="es-MX"/>
        </w:rPr>
        <w:t>, etc.</w:t>
      </w:r>
    </w:p>
    <w:p w:rsidR="00A5388E" w:rsidRDefault="00A5388E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>Anticolinérgicos”: atropina</w:t>
      </w:r>
    </w:p>
    <w:p w:rsidR="00B4228C" w:rsidRDefault="00F9096F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</w:t>
      </w:r>
      <w:r w:rsidR="00B4228C">
        <w:rPr>
          <w:lang w:val="es-MX"/>
        </w:rPr>
        <w:t>“</w:t>
      </w:r>
      <w:proofErr w:type="gramEnd"/>
      <w:r w:rsidR="00B4228C">
        <w:rPr>
          <w:lang w:val="es-MX"/>
        </w:rPr>
        <w:t xml:space="preserve">Anticonvulsivantes”: </w:t>
      </w:r>
      <w:proofErr w:type="spellStart"/>
      <w:r w:rsidR="00B4228C">
        <w:rPr>
          <w:lang w:val="es-MX"/>
        </w:rPr>
        <w:t>primidona</w:t>
      </w:r>
      <w:proofErr w:type="spellEnd"/>
      <w:r w:rsidR="00B4228C">
        <w:rPr>
          <w:lang w:val="es-MX"/>
        </w:rPr>
        <w:t xml:space="preserve">, </w:t>
      </w:r>
      <w:proofErr w:type="spellStart"/>
      <w:r w:rsidR="00B4228C">
        <w:rPr>
          <w:lang w:val="es-MX"/>
        </w:rPr>
        <w:t>lamotrigina,fenitoina</w:t>
      </w:r>
      <w:proofErr w:type="spellEnd"/>
      <w:r w:rsidR="00B4228C">
        <w:rPr>
          <w:lang w:val="es-MX"/>
        </w:rPr>
        <w:t xml:space="preserve">, </w:t>
      </w:r>
      <w:proofErr w:type="spellStart"/>
      <w:r w:rsidR="00B4228C">
        <w:rPr>
          <w:lang w:val="es-MX"/>
        </w:rPr>
        <w:t>carbamazepina,etc</w:t>
      </w:r>
      <w:proofErr w:type="spellEnd"/>
      <w:r w:rsidR="00B4228C">
        <w:rPr>
          <w:lang w:val="es-MX"/>
        </w:rPr>
        <w:t>.</w:t>
      </w:r>
    </w:p>
    <w:p w:rsidR="00185109" w:rsidRPr="00185109" w:rsidRDefault="00B4228C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lastRenderedPageBreak/>
        <w:t>-</w:t>
      </w:r>
      <w:r w:rsidR="00185109" w:rsidRPr="00185109">
        <w:rPr>
          <w:lang w:val="es-MX"/>
        </w:rPr>
        <w:t>“</w:t>
      </w:r>
      <w:proofErr w:type="gramEnd"/>
      <w:r w:rsidR="00185109" w:rsidRPr="00185109">
        <w:rPr>
          <w:lang w:val="es-MX"/>
        </w:rPr>
        <w:t>Antidepresivos tricíclicos”</w:t>
      </w:r>
      <w:r w:rsidR="00185109">
        <w:rPr>
          <w:lang w:val="es-MX"/>
        </w:rPr>
        <w:t xml:space="preserve">: </w:t>
      </w:r>
      <w:proofErr w:type="spellStart"/>
      <w:r w:rsidR="00185109">
        <w:rPr>
          <w:lang w:val="es-MX"/>
        </w:rPr>
        <w:t>a</w:t>
      </w:r>
      <w:r w:rsidR="00185109" w:rsidRPr="00185109">
        <w:rPr>
          <w:lang w:val="es-MX"/>
        </w:rPr>
        <w:t>mitriptilina</w:t>
      </w:r>
      <w:proofErr w:type="spellEnd"/>
      <w:r w:rsidR="00185109" w:rsidRPr="00185109">
        <w:rPr>
          <w:lang w:val="es-MX"/>
        </w:rPr>
        <w:t xml:space="preserve">, </w:t>
      </w:r>
      <w:proofErr w:type="spellStart"/>
      <w:r w:rsidR="00185109" w:rsidRPr="00185109">
        <w:rPr>
          <w:lang w:val="es-MX"/>
        </w:rPr>
        <w:t>nortriptilina</w:t>
      </w:r>
      <w:proofErr w:type="spellEnd"/>
      <w:r w:rsidR="00185109" w:rsidRPr="00185109">
        <w:rPr>
          <w:lang w:val="es-MX"/>
        </w:rPr>
        <w:t xml:space="preserve">, </w:t>
      </w:r>
      <w:proofErr w:type="spellStart"/>
      <w:r w:rsidR="00185109" w:rsidRPr="00185109">
        <w:rPr>
          <w:lang w:val="es-MX"/>
        </w:rPr>
        <w:t>imipramina</w:t>
      </w:r>
      <w:proofErr w:type="spellEnd"/>
      <w:r w:rsidR="00185109" w:rsidRPr="00185109">
        <w:rPr>
          <w:lang w:val="es-MX"/>
        </w:rPr>
        <w:t>, etc</w:t>
      </w:r>
      <w:r w:rsidR="00185109">
        <w:rPr>
          <w:lang w:val="es-MX"/>
        </w:rPr>
        <w:t>.</w:t>
      </w:r>
    </w:p>
    <w:p w:rsidR="00DC4113" w:rsidRDefault="00DC4113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Antidepresivos”: </w:t>
      </w:r>
      <w:proofErr w:type="spellStart"/>
      <w:r>
        <w:rPr>
          <w:lang w:val="es-MX"/>
        </w:rPr>
        <w:t>anfebutamona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citalopram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sertralina</w:t>
      </w:r>
      <w:proofErr w:type="spellEnd"/>
      <w:r>
        <w:rPr>
          <w:lang w:val="es-MX"/>
        </w:rPr>
        <w:t>, etc.</w:t>
      </w:r>
    </w:p>
    <w:p w:rsidR="00B4228C" w:rsidRDefault="00B4228C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Antieméticos”: </w:t>
      </w:r>
      <w:proofErr w:type="spellStart"/>
      <w:r>
        <w:rPr>
          <w:lang w:val="es-MX"/>
        </w:rPr>
        <w:t>metoclopramida</w:t>
      </w:r>
      <w:proofErr w:type="spellEnd"/>
    </w:p>
    <w:p w:rsidR="006E2D39" w:rsidRDefault="006E2D39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Antihipertensivos”: </w:t>
      </w:r>
      <w:proofErr w:type="spellStart"/>
      <w:r>
        <w:rPr>
          <w:lang w:val="es-MX"/>
        </w:rPr>
        <w:t>atenolol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propranolol</w:t>
      </w:r>
      <w:proofErr w:type="spellEnd"/>
    </w:p>
    <w:p w:rsidR="00DC4113" w:rsidRDefault="00DC4113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Antihistamínicos”: </w:t>
      </w:r>
      <w:proofErr w:type="spellStart"/>
      <w:r>
        <w:rPr>
          <w:lang w:val="es-MX"/>
        </w:rPr>
        <w:t>clorfenamina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ciproheptadina</w:t>
      </w:r>
      <w:proofErr w:type="spellEnd"/>
      <w:r>
        <w:rPr>
          <w:lang w:val="es-MX"/>
        </w:rPr>
        <w:t>, etc.</w:t>
      </w:r>
    </w:p>
    <w:p w:rsidR="006E2D39" w:rsidRDefault="006E2D39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spellStart"/>
      <w:proofErr w:type="gramEnd"/>
      <w:r>
        <w:rPr>
          <w:lang w:val="es-MX"/>
        </w:rPr>
        <w:t>Antijaquecosos</w:t>
      </w:r>
      <w:proofErr w:type="spellEnd"/>
      <w:r>
        <w:rPr>
          <w:lang w:val="es-MX"/>
        </w:rPr>
        <w:t xml:space="preserve">”: </w:t>
      </w:r>
      <w:proofErr w:type="spellStart"/>
      <w:r>
        <w:rPr>
          <w:lang w:val="es-MX"/>
        </w:rPr>
        <w:t>ergotamina</w:t>
      </w:r>
      <w:proofErr w:type="spellEnd"/>
    </w:p>
    <w:p w:rsidR="00F9096F" w:rsidRDefault="00F9096F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Antipalúdicos”: quinina, </w:t>
      </w:r>
      <w:proofErr w:type="spellStart"/>
      <w:r>
        <w:rPr>
          <w:lang w:val="es-MX"/>
        </w:rPr>
        <w:t>cloroquina</w:t>
      </w:r>
      <w:proofErr w:type="spellEnd"/>
      <w:r>
        <w:rPr>
          <w:lang w:val="es-MX"/>
        </w:rPr>
        <w:t>, etc.</w:t>
      </w:r>
    </w:p>
    <w:p w:rsidR="00B4228C" w:rsidRDefault="00B4228C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Antipsicóticos”: </w:t>
      </w:r>
      <w:proofErr w:type="spellStart"/>
      <w:r>
        <w:rPr>
          <w:lang w:val="es-MX"/>
        </w:rPr>
        <w:t>clorpromazina,haloperidol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clozapina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tioridazina</w:t>
      </w:r>
      <w:proofErr w:type="spellEnd"/>
      <w:r>
        <w:rPr>
          <w:lang w:val="es-MX"/>
        </w:rPr>
        <w:t>, etc.</w:t>
      </w:r>
    </w:p>
    <w:p w:rsidR="00B4228C" w:rsidRDefault="00B4228C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spellStart"/>
      <w:proofErr w:type="gramEnd"/>
      <w:r>
        <w:rPr>
          <w:lang w:val="es-MX"/>
        </w:rPr>
        <w:t>Antitusivos</w:t>
      </w:r>
      <w:proofErr w:type="spellEnd"/>
      <w:r>
        <w:rPr>
          <w:lang w:val="es-MX"/>
        </w:rPr>
        <w:t xml:space="preserve">”: </w:t>
      </w:r>
      <w:proofErr w:type="spellStart"/>
      <w:r>
        <w:rPr>
          <w:lang w:val="es-MX"/>
        </w:rPr>
        <w:t>ambroxol</w:t>
      </w:r>
      <w:proofErr w:type="spellEnd"/>
    </w:p>
    <w:p w:rsidR="00185109" w:rsidRDefault="00185109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Benzodiacepinas”: </w:t>
      </w:r>
      <w:proofErr w:type="spellStart"/>
      <w:r w:rsidRPr="00185109">
        <w:rPr>
          <w:lang w:val="es-MX"/>
        </w:rPr>
        <w:t>clonazepam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diazepam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alprazolam</w:t>
      </w:r>
      <w:proofErr w:type="spellEnd"/>
      <w:r>
        <w:rPr>
          <w:lang w:val="es-MX"/>
        </w:rPr>
        <w:t>, etc.</w:t>
      </w:r>
    </w:p>
    <w:p w:rsidR="00185109" w:rsidRDefault="00185109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Barbitúricos”: </w:t>
      </w:r>
      <w:r w:rsidRPr="00185109">
        <w:rPr>
          <w:lang w:val="es-MX"/>
        </w:rPr>
        <w:t xml:space="preserve">fenobarbital, </w:t>
      </w:r>
      <w:proofErr w:type="spellStart"/>
      <w:r w:rsidRPr="00185109">
        <w:rPr>
          <w:lang w:val="es-MX"/>
        </w:rPr>
        <w:t>pentobarbital</w:t>
      </w:r>
      <w:proofErr w:type="spellEnd"/>
      <w:r w:rsidRPr="00185109">
        <w:rPr>
          <w:lang w:val="es-MX"/>
        </w:rPr>
        <w:t xml:space="preserve">, </w:t>
      </w:r>
      <w:proofErr w:type="spellStart"/>
      <w:r w:rsidRPr="00185109">
        <w:rPr>
          <w:lang w:val="es-MX"/>
        </w:rPr>
        <w:t>tiopental</w:t>
      </w:r>
      <w:proofErr w:type="spellEnd"/>
      <w:r w:rsidRPr="00185109">
        <w:rPr>
          <w:lang w:val="es-MX"/>
        </w:rPr>
        <w:t xml:space="preserve">, </w:t>
      </w:r>
      <w:r>
        <w:rPr>
          <w:lang w:val="es-MX"/>
        </w:rPr>
        <w:t>etc.</w:t>
      </w:r>
    </w:p>
    <w:p w:rsidR="00F9096F" w:rsidRDefault="00F9096F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>Broncodilatadores”: salbutamol</w:t>
      </w:r>
    </w:p>
    <w:p w:rsidR="00C74D97" w:rsidRDefault="00C74D97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Descongestivos nasales”: </w:t>
      </w:r>
      <w:proofErr w:type="spellStart"/>
      <w:r>
        <w:rPr>
          <w:lang w:val="es-MX"/>
        </w:rPr>
        <w:t>pseudoefedrina</w:t>
      </w:r>
      <w:proofErr w:type="spellEnd"/>
    </w:p>
    <w:p w:rsidR="00B4228C" w:rsidRDefault="00B4228C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Hipnóticos”: </w:t>
      </w:r>
      <w:proofErr w:type="spellStart"/>
      <w:r>
        <w:rPr>
          <w:lang w:val="es-MX"/>
        </w:rPr>
        <w:t>zolpidem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zopiclona</w:t>
      </w:r>
      <w:proofErr w:type="spellEnd"/>
      <w:r>
        <w:rPr>
          <w:lang w:val="es-MX"/>
        </w:rPr>
        <w:t>, etc.</w:t>
      </w:r>
    </w:p>
    <w:p w:rsidR="006E2D39" w:rsidRDefault="006E2D39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spellStart"/>
      <w:proofErr w:type="gramEnd"/>
      <w:r>
        <w:rPr>
          <w:lang w:val="es-MX"/>
        </w:rPr>
        <w:t>Metilxantinas</w:t>
      </w:r>
      <w:proofErr w:type="spellEnd"/>
      <w:r>
        <w:rPr>
          <w:lang w:val="es-MX"/>
        </w:rPr>
        <w:t>”: teofilina, teobromina, cafeína</w:t>
      </w:r>
    </w:p>
    <w:p w:rsidR="00185109" w:rsidRDefault="00185109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</w:t>
      </w:r>
      <w:r w:rsidRPr="00185109">
        <w:rPr>
          <w:lang w:val="es-MX"/>
        </w:rPr>
        <w:t>“</w:t>
      </w:r>
      <w:proofErr w:type="gramEnd"/>
      <w:r w:rsidRPr="00185109">
        <w:rPr>
          <w:lang w:val="es-MX"/>
        </w:rPr>
        <w:t>Opiáceos”</w:t>
      </w:r>
      <w:r>
        <w:rPr>
          <w:lang w:val="es-MX"/>
        </w:rPr>
        <w:t xml:space="preserve">: </w:t>
      </w:r>
      <w:r w:rsidRPr="00185109">
        <w:rPr>
          <w:lang w:val="es-MX"/>
        </w:rPr>
        <w:t xml:space="preserve">morfina, metadona, </w:t>
      </w:r>
      <w:proofErr w:type="spellStart"/>
      <w:r w:rsidRPr="00185109">
        <w:rPr>
          <w:lang w:val="es-MX"/>
        </w:rPr>
        <w:t>tramadol</w:t>
      </w:r>
      <w:proofErr w:type="spellEnd"/>
      <w:r w:rsidRPr="00185109">
        <w:rPr>
          <w:lang w:val="es-MX"/>
        </w:rPr>
        <w:t>, codeína,</w:t>
      </w:r>
      <w:r>
        <w:rPr>
          <w:lang w:val="es-MX"/>
        </w:rPr>
        <w:t xml:space="preserve"> etc.</w:t>
      </w:r>
    </w:p>
    <w:p w:rsidR="00185109" w:rsidRDefault="00DC4113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</w:t>
      </w:r>
      <w:r w:rsidR="00B4228C">
        <w:rPr>
          <w:lang w:val="es-MX"/>
        </w:rPr>
        <w:t>“</w:t>
      </w:r>
      <w:proofErr w:type="gramEnd"/>
      <w:r w:rsidR="00B4228C">
        <w:rPr>
          <w:lang w:val="es-MX"/>
        </w:rPr>
        <w:t xml:space="preserve">Relajante muscular”: </w:t>
      </w:r>
      <w:proofErr w:type="spellStart"/>
      <w:r w:rsidR="00B4228C">
        <w:rPr>
          <w:lang w:val="es-MX"/>
        </w:rPr>
        <w:t>ciclobenzaprina</w:t>
      </w:r>
      <w:proofErr w:type="spellEnd"/>
      <w:r w:rsidR="00B4228C">
        <w:rPr>
          <w:lang w:val="es-MX"/>
        </w:rPr>
        <w:t xml:space="preserve">, </w:t>
      </w:r>
      <w:proofErr w:type="spellStart"/>
      <w:r w:rsidR="00B4228C">
        <w:rPr>
          <w:lang w:val="es-MX"/>
        </w:rPr>
        <w:t>clormezanona</w:t>
      </w:r>
      <w:proofErr w:type="spellEnd"/>
      <w:r w:rsidR="00B4228C">
        <w:rPr>
          <w:lang w:val="es-MX"/>
        </w:rPr>
        <w:t>, etc.</w:t>
      </w:r>
    </w:p>
    <w:p w:rsidR="00C74D97" w:rsidRDefault="00C74D97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spellStart"/>
      <w:proofErr w:type="gramEnd"/>
      <w:r>
        <w:rPr>
          <w:lang w:val="es-MX"/>
        </w:rPr>
        <w:t>Psicoestimulante</w:t>
      </w:r>
      <w:proofErr w:type="spellEnd"/>
      <w:r>
        <w:rPr>
          <w:lang w:val="es-MX"/>
        </w:rPr>
        <w:t xml:space="preserve"> no </w:t>
      </w:r>
      <w:proofErr w:type="spellStart"/>
      <w:r>
        <w:rPr>
          <w:lang w:val="es-MX"/>
        </w:rPr>
        <w:t>anfetamínico</w:t>
      </w:r>
      <w:proofErr w:type="spellEnd"/>
      <w:r>
        <w:rPr>
          <w:lang w:val="es-MX"/>
        </w:rPr>
        <w:t xml:space="preserve">”: </w:t>
      </w:r>
      <w:proofErr w:type="spellStart"/>
      <w:r>
        <w:rPr>
          <w:lang w:val="es-MX"/>
        </w:rPr>
        <w:t>modafinilo</w:t>
      </w:r>
      <w:proofErr w:type="spellEnd"/>
    </w:p>
    <w:p w:rsidR="006E2D39" w:rsidRDefault="006E2D39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>
        <w:rPr>
          <w:lang w:val="es-MX"/>
        </w:rPr>
        <w:t xml:space="preserve">Plaguicidas”: </w:t>
      </w:r>
      <w:proofErr w:type="spellStart"/>
      <w:r>
        <w:rPr>
          <w:lang w:val="es-MX"/>
        </w:rPr>
        <w:t>cipermetrina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tetrametrin</w:t>
      </w:r>
      <w:r w:rsidR="00A9593C">
        <w:rPr>
          <w:lang w:val="es-MX"/>
        </w:rPr>
        <w:t>a</w:t>
      </w:r>
      <w:proofErr w:type="spellEnd"/>
      <w:r w:rsidR="00A5537A">
        <w:rPr>
          <w:lang w:val="es-MX"/>
        </w:rPr>
        <w:t xml:space="preserve">, </w:t>
      </w:r>
      <w:proofErr w:type="spellStart"/>
      <w:r w:rsidR="00A5537A">
        <w:rPr>
          <w:lang w:val="es-MX"/>
        </w:rPr>
        <w:t>metomilo</w:t>
      </w:r>
      <w:proofErr w:type="spellEnd"/>
      <w:r w:rsidR="00A5537A">
        <w:rPr>
          <w:lang w:val="es-MX"/>
        </w:rPr>
        <w:t xml:space="preserve">, </w:t>
      </w:r>
      <w:proofErr w:type="spellStart"/>
      <w:r w:rsidR="00A5537A">
        <w:rPr>
          <w:lang w:val="es-MX"/>
        </w:rPr>
        <w:t>dimetoato</w:t>
      </w:r>
      <w:proofErr w:type="spellEnd"/>
      <w:r w:rsidR="00A5537A">
        <w:rPr>
          <w:lang w:val="es-MX"/>
        </w:rPr>
        <w:t>, etc.</w:t>
      </w:r>
    </w:p>
    <w:p w:rsidR="00C74D97" w:rsidRDefault="00C74D97" w:rsidP="00185109">
      <w:pPr>
        <w:pStyle w:val="Prrafodelista"/>
        <w:spacing w:after="0"/>
        <w:jc w:val="both"/>
        <w:rPr>
          <w:lang w:val="es-MX"/>
        </w:rPr>
      </w:pPr>
      <w:proofErr w:type="gramStart"/>
      <w:r>
        <w:rPr>
          <w:lang w:val="es-MX"/>
        </w:rPr>
        <w:t>-“</w:t>
      </w:r>
      <w:proofErr w:type="gramEnd"/>
      <w:r w:rsidR="00A5537A">
        <w:rPr>
          <w:lang w:val="es-MX"/>
        </w:rPr>
        <w:t>Sedante veterinario</w:t>
      </w:r>
      <w:r>
        <w:rPr>
          <w:lang w:val="es-MX"/>
        </w:rPr>
        <w:t>”</w:t>
      </w:r>
      <w:r w:rsidR="00A5537A">
        <w:rPr>
          <w:lang w:val="es-MX"/>
        </w:rPr>
        <w:t xml:space="preserve">: </w:t>
      </w:r>
      <w:proofErr w:type="spellStart"/>
      <w:r w:rsidR="00A5537A">
        <w:rPr>
          <w:lang w:val="es-MX"/>
        </w:rPr>
        <w:t>embutramida</w:t>
      </w:r>
      <w:proofErr w:type="spellEnd"/>
    </w:p>
    <w:p w:rsidR="004F5044" w:rsidRDefault="004F5044" w:rsidP="004F5044">
      <w:pPr>
        <w:spacing w:after="0"/>
        <w:jc w:val="both"/>
        <w:rPr>
          <w:lang w:val="es-MX"/>
        </w:rPr>
      </w:pPr>
    </w:p>
    <w:p w:rsidR="003D362E" w:rsidRPr="004F5044" w:rsidRDefault="007A1D9E" w:rsidP="004F5044">
      <w:pPr>
        <w:spacing w:after="0"/>
        <w:jc w:val="both"/>
        <w:rPr>
          <w:lang w:val="es-MX"/>
        </w:rPr>
      </w:pPr>
      <w:r w:rsidRPr="004F5044">
        <w:rPr>
          <w:lang w:val="es-MX"/>
        </w:rPr>
        <w:t>Las celdas vacías fueron homogeneizadas como “</w:t>
      </w:r>
      <w:r w:rsidR="00284675" w:rsidRPr="004F5044">
        <w:rPr>
          <w:lang w:val="es-MX"/>
        </w:rPr>
        <w:t>No detectado</w:t>
      </w:r>
      <w:r w:rsidRPr="004F5044">
        <w:rPr>
          <w:lang w:val="es-MX"/>
        </w:rPr>
        <w:t>”.</w:t>
      </w:r>
    </w:p>
    <w:p w:rsidR="00E53B98" w:rsidRPr="004F5044" w:rsidRDefault="00672ED1" w:rsidP="004F5044">
      <w:pPr>
        <w:spacing w:after="0"/>
        <w:jc w:val="both"/>
        <w:rPr>
          <w:lang w:val="es-MX"/>
        </w:rPr>
      </w:pPr>
      <w:r w:rsidRPr="004F5044">
        <w:rPr>
          <w:lang w:val="es-MX"/>
        </w:rPr>
        <w:t>Los metabolitos de medicamentos fueron homogeneizados con el nombre del medicamento del que provienen (</w:t>
      </w:r>
      <w:r w:rsidR="009F44D0" w:rsidRPr="004F5044">
        <w:rPr>
          <w:lang w:val="es-MX"/>
        </w:rPr>
        <w:t xml:space="preserve">ej. </w:t>
      </w:r>
      <w:r w:rsidRPr="004F5044">
        <w:rPr>
          <w:lang w:val="es-MX"/>
        </w:rPr>
        <w:t xml:space="preserve">metabolitos de </w:t>
      </w:r>
      <w:proofErr w:type="spellStart"/>
      <w:r w:rsidRPr="004F5044">
        <w:rPr>
          <w:lang w:val="es-MX"/>
        </w:rPr>
        <w:t>zopiclona</w:t>
      </w:r>
      <w:proofErr w:type="spellEnd"/>
      <w:r w:rsidRPr="004F5044">
        <w:rPr>
          <w:lang w:val="es-MX"/>
        </w:rPr>
        <w:t xml:space="preserve">= </w:t>
      </w:r>
      <w:proofErr w:type="spellStart"/>
      <w:r w:rsidRPr="004F5044">
        <w:rPr>
          <w:lang w:val="es-MX"/>
        </w:rPr>
        <w:t>zopiclona</w:t>
      </w:r>
      <w:proofErr w:type="spellEnd"/>
      <w:r w:rsidRPr="004F5044">
        <w:rPr>
          <w:lang w:val="es-MX"/>
        </w:rPr>
        <w:t>).</w:t>
      </w:r>
    </w:p>
    <w:p w:rsidR="004F5044" w:rsidRDefault="004F5044" w:rsidP="004F5044">
      <w:pPr>
        <w:spacing w:after="0"/>
        <w:jc w:val="both"/>
        <w:rPr>
          <w:lang w:val="es-MX"/>
        </w:rPr>
      </w:pPr>
    </w:p>
    <w:p w:rsidR="004F5044" w:rsidRPr="004F5044" w:rsidRDefault="004F5044" w:rsidP="006236B9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 w:rsidRPr="004F5044">
        <w:rPr>
          <w:lang w:val="es-MX"/>
        </w:rPr>
        <w:t xml:space="preserve">Las </w:t>
      </w:r>
      <w:r w:rsidRPr="004F5044">
        <w:rPr>
          <w:b/>
          <w:lang w:val="es-MX"/>
        </w:rPr>
        <w:t>drogas</w:t>
      </w:r>
      <w:r w:rsidRPr="004F5044">
        <w:rPr>
          <w:lang w:val="es-MX"/>
        </w:rPr>
        <w:t xml:space="preserve"> de tipo </w:t>
      </w:r>
      <w:r w:rsidRPr="004F5044">
        <w:rPr>
          <w:lang w:val="es-MX"/>
        </w:rPr>
        <w:t>ilícitas</w:t>
      </w:r>
      <w:r w:rsidRPr="004F5044">
        <w:rPr>
          <w:lang w:val="es-MX"/>
        </w:rPr>
        <w:t xml:space="preserve">, </w:t>
      </w:r>
      <w:r w:rsidRPr="004F5044">
        <w:rPr>
          <w:lang w:val="es-MX"/>
        </w:rPr>
        <w:t xml:space="preserve">no </w:t>
      </w:r>
      <w:r w:rsidRPr="004F5044">
        <w:rPr>
          <w:lang w:val="es-MX"/>
        </w:rPr>
        <w:t>fueron homogenei</w:t>
      </w:r>
      <w:r>
        <w:rPr>
          <w:lang w:val="es-MX"/>
        </w:rPr>
        <w:t>zadas y se registraron sin cambios (ej. cocaína, éxtasis, marihuana, etc.)</w:t>
      </w:r>
    </w:p>
    <w:p w:rsidR="009F44D0" w:rsidRPr="004F5044" w:rsidRDefault="00E71273" w:rsidP="004F5044">
      <w:pPr>
        <w:spacing w:after="0"/>
        <w:jc w:val="both"/>
        <w:rPr>
          <w:lang w:val="es-MX"/>
        </w:rPr>
      </w:pPr>
      <w:r w:rsidRPr="004F5044">
        <w:rPr>
          <w:lang w:val="es-MX"/>
        </w:rPr>
        <w:t>Los metabolitos de</w:t>
      </w:r>
      <w:r w:rsidR="009F44D0" w:rsidRPr="004F5044">
        <w:rPr>
          <w:lang w:val="es-MX"/>
        </w:rPr>
        <w:t xml:space="preserve"> drogas de tipo ilícitas</w:t>
      </w:r>
      <w:r w:rsidR="00457D08" w:rsidRPr="004F5044">
        <w:rPr>
          <w:lang w:val="es-MX"/>
        </w:rPr>
        <w:t>,</w:t>
      </w:r>
      <w:r w:rsidR="009F44D0" w:rsidRPr="004F5044">
        <w:rPr>
          <w:lang w:val="es-MX"/>
        </w:rPr>
        <w:t xml:space="preserve"> fueron </w:t>
      </w:r>
      <w:r w:rsidR="00C66B49" w:rsidRPr="004F5044">
        <w:rPr>
          <w:lang w:val="es-MX"/>
        </w:rPr>
        <w:t>homogeneizados</w:t>
      </w:r>
      <w:r w:rsidR="009F44D0" w:rsidRPr="004F5044">
        <w:rPr>
          <w:lang w:val="es-MX"/>
        </w:rPr>
        <w:t xml:space="preserve"> con el nombre de la droga de origen (ej. </w:t>
      </w:r>
      <w:proofErr w:type="spellStart"/>
      <w:r w:rsidR="009F44D0" w:rsidRPr="004F5044">
        <w:rPr>
          <w:lang w:val="es-MX"/>
        </w:rPr>
        <w:t>benzoilecgonina</w:t>
      </w:r>
      <w:proofErr w:type="spellEnd"/>
      <w:r w:rsidR="009F44D0" w:rsidRPr="004F5044">
        <w:rPr>
          <w:lang w:val="es-MX"/>
        </w:rPr>
        <w:t xml:space="preserve">, </w:t>
      </w:r>
      <w:proofErr w:type="spellStart"/>
      <w:r w:rsidR="009F44D0" w:rsidRPr="004F5044">
        <w:rPr>
          <w:lang w:val="es-MX"/>
        </w:rPr>
        <w:t>ecgonina</w:t>
      </w:r>
      <w:proofErr w:type="spellEnd"/>
      <w:r w:rsidR="009F44D0" w:rsidRPr="004F5044">
        <w:rPr>
          <w:lang w:val="es-MX"/>
        </w:rPr>
        <w:t xml:space="preserve">, </w:t>
      </w:r>
      <w:proofErr w:type="spellStart"/>
      <w:r w:rsidR="009F44D0" w:rsidRPr="004F5044">
        <w:rPr>
          <w:lang w:val="es-MX"/>
        </w:rPr>
        <w:t>cocaetileno</w:t>
      </w:r>
      <w:proofErr w:type="spellEnd"/>
      <w:r w:rsidR="009F44D0" w:rsidRPr="004F5044">
        <w:rPr>
          <w:lang w:val="es-MX"/>
        </w:rPr>
        <w:t xml:space="preserve"> = cocaína).</w:t>
      </w:r>
    </w:p>
    <w:p w:rsidR="000731AD" w:rsidRDefault="000731AD" w:rsidP="000731AD">
      <w:pPr>
        <w:jc w:val="both"/>
        <w:rPr>
          <w:lang w:val="es-MX"/>
        </w:rPr>
      </w:pPr>
    </w:p>
    <w:p w:rsidR="00F83735" w:rsidRDefault="00F83735" w:rsidP="000731AD">
      <w:pPr>
        <w:jc w:val="both"/>
        <w:rPr>
          <w:lang w:val="es-MX"/>
        </w:rPr>
      </w:pPr>
      <w:r>
        <w:rPr>
          <w:lang w:val="es-MX"/>
        </w:rPr>
        <w:t>Finalmente, para equiparar la cantidad de ítems entre laboratorios, se agregaron columnas homogeneizadas como “no informa” y “no detectado”, según corresponda, registrándose un total de 38 columnas en cada caso.</w:t>
      </w:r>
    </w:p>
    <w:p w:rsidR="003E488A" w:rsidRPr="002475E2" w:rsidRDefault="003E488A" w:rsidP="003E488A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3E488A" w:rsidRPr="00247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2CC4"/>
    <w:multiLevelType w:val="hybridMultilevel"/>
    <w:tmpl w:val="EEF4C3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39"/>
    <w:rsid w:val="00015E39"/>
    <w:rsid w:val="000418DB"/>
    <w:rsid w:val="000731AD"/>
    <w:rsid w:val="00185109"/>
    <w:rsid w:val="00191CA7"/>
    <w:rsid w:val="001F5682"/>
    <w:rsid w:val="002475E2"/>
    <w:rsid w:val="0025147B"/>
    <w:rsid w:val="00284675"/>
    <w:rsid w:val="002B20E6"/>
    <w:rsid w:val="002D70AF"/>
    <w:rsid w:val="003021FD"/>
    <w:rsid w:val="00364729"/>
    <w:rsid w:val="003D362E"/>
    <w:rsid w:val="003D7EEC"/>
    <w:rsid w:val="003E1659"/>
    <w:rsid w:val="003E488A"/>
    <w:rsid w:val="00457D08"/>
    <w:rsid w:val="004E37FA"/>
    <w:rsid w:val="004F5044"/>
    <w:rsid w:val="005620C4"/>
    <w:rsid w:val="00565AD7"/>
    <w:rsid w:val="00672ED1"/>
    <w:rsid w:val="006E2D39"/>
    <w:rsid w:val="007716DC"/>
    <w:rsid w:val="007A1D9E"/>
    <w:rsid w:val="007C7521"/>
    <w:rsid w:val="00823CF9"/>
    <w:rsid w:val="009B126B"/>
    <w:rsid w:val="009F44D0"/>
    <w:rsid w:val="00A5388E"/>
    <w:rsid w:val="00A5537A"/>
    <w:rsid w:val="00A83CA7"/>
    <w:rsid w:val="00A9593C"/>
    <w:rsid w:val="00AD2791"/>
    <w:rsid w:val="00B072D9"/>
    <w:rsid w:val="00B3746A"/>
    <w:rsid w:val="00B4228C"/>
    <w:rsid w:val="00B707DC"/>
    <w:rsid w:val="00BC174B"/>
    <w:rsid w:val="00C26CF2"/>
    <w:rsid w:val="00C54DD9"/>
    <w:rsid w:val="00C66B49"/>
    <w:rsid w:val="00C74D97"/>
    <w:rsid w:val="00CD66C3"/>
    <w:rsid w:val="00D157C5"/>
    <w:rsid w:val="00D52AD4"/>
    <w:rsid w:val="00DC4113"/>
    <w:rsid w:val="00E40439"/>
    <w:rsid w:val="00E46AAE"/>
    <w:rsid w:val="00E53B98"/>
    <w:rsid w:val="00E71273"/>
    <w:rsid w:val="00F559F5"/>
    <w:rsid w:val="00F83735"/>
    <w:rsid w:val="00F907F6"/>
    <w:rsid w:val="00F9096F"/>
    <w:rsid w:val="00FA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64579"/>
  <w15:chartTrackingRefBased/>
  <w15:docId w15:val="{801F6EAA-F3FD-40D9-95A5-6C49E7F9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48</cp:revision>
  <dcterms:created xsi:type="dcterms:W3CDTF">2023-05-02T20:51:00Z</dcterms:created>
  <dcterms:modified xsi:type="dcterms:W3CDTF">2023-06-01T22:25:00Z</dcterms:modified>
</cp:coreProperties>
</file>