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p>
    <w:p>
      <w:pPr>
        <w:spacing w:after="60"/>
        <w:jc w:val="center"/>
      </w:pPr>
      <w:r>
        <w:rPr>
          <w:rFonts w:ascii="Arial" w:cs="Arial" w:eastAsia="Arial" w:hAnsi="Arial"/>
          <w:b/>
          <w:bCs/>
          <w:color w:val="0D7377"/>
          <w:sz w:val="64"/>
          <w:szCs w:val="64"/>
        </w:rPr>
        <w:t xml:space="preserve">KRIYA</w:t>
      </w:r>
    </w:p>
    <w:p>
      <w:pPr>
        <w:spacing w:after="400"/>
        <w:jc w:val="center"/>
      </w:pPr>
      <w:r>
        <w:rPr>
          <w:rFonts w:ascii="Arial" w:cs="Arial" w:eastAsia="Arial" w:hAnsi="Arial"/>
          <w:b w:val="false"/>
          <w:bCs w:val="false"/>
          <w:color w:val="7F8C8D"/>
          <w:sz w:val="26"/>
          <w:szCs w:val="26"/>
        </w:rPr>
        <w:t xml:space="preserve">Integrated Muscle Intelligence Platform</w:t>
      </w:r>
    </w:p>
    <w:p>
      <w:pPr>
        <w:pBdr>
          <w:bottom w:val="single" w:color="0D7377" w:sz="8" w:space="1"/>
        </w:pBdr>
        <w:spacing w:before="0" w:after="160"/>
      </w:pPr>
    </w:p>
    <w:p>
      <w:pPr>
        <w:spacing w:before="160" w:after="120"/>
      </w:pPr>
    </w:p>
    <w:p>
      <w:pPr>
        <w:spacing w:after="100"/>
        <w:jc w:val="center"/>
      </w:pPr>
      <w:r>
        <w:rPr>
          <w:rFonts w:ascii="Arial" w:cs="Arial" w:eastAsia="Arial" w:hAnsi="Arial"/>
          <w:b/>
          <w:bCs/>
          <w:color w:val="2C3E50"/>
          <w:sz w:val="28"/>
          <w:szCs w:val="28"/>
        </w:rPr>
        <w:t xml:space="preserve">PRODUCT REQUIREMENT DOCUMENT</w:t>
      </w:r>
    </w:p>
    <w:p>
      <w:pPr>
        <w:spacing w:after="80"/>
        <w:jc w:val="center"/>
      </w:pPr>
      <w:r>
        <w:rPr>
          <w:rFonts w:ascii="Arial" w:cs="Arial" w:eastAsia="Arial" w:hAnsi="Arial"/>
          <w:b/>
          <w:bCs/>
          <w:color w:val="0D7377"/>
          <w:sz w:val="32"/>
          <w:szCs w:val="32"/>
        </w:rPr>
        <w:t xml:space="preserve">QuickScan — Scan by Condition</w:t>
      </w:r>
    </w:p>
    <w:p>
      <w:pPr>
        <w:spacing w:after="80"/>
        <w:jc w:val="center"/>
      </w:pPr>
      <w:r>
        <w:rPr>
          <w:rFonts w:ascii="Arial" w:cs="Arial" w:eastAsia="Arial" w:hAnsi="Arial"/>
          <w:b/>
          <w:bCs/>
          <w:color w:val="0D7377"/>
          <w:sz w:val="36"/>
          <w:szCs w:val="36"/>
        </w:rPr>
        <w:t xml:space="preserve">Osteoporosis</w:t>
      </w:r>
    </w:p>
    <w:p>
      <w:pPr>
        <w:spacing w:after="280"/>
        <w:jc w:val="center"/>
      </w:pPr>
      <w:r>
        <w:rPr>
          <w:rFonts w:ascii="Arial" w:cs="Arial" w:eastAsia="Arial" w:hAnsi="Arial"/>
          <w:i/>
          <w:iCs/>
          <w:color w:val="7F8C8D"/>
          <w:sz w:val="22"/>
          <w:szCs w:val="22"/>
        </w:rPr>
        <w:t xml:space="preserve">Condition 1 of 10  |  Scan by Condition Series</w:t>
      </w:r>
    </w:p>
    <w:p>
      <w:pPr>
        <w:pBdr>
          <w:bottom w:val="single" w:color="0D7377" w:sz="8" w:space="1"/>
        </w:pBdr>
        <w:spacing w:before="0" w:after="160"/>
      </w:pP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Document Details</w:t>
            </w:r>
          </w:p>
        </w:tc>
        <w:tc>
          <w:tcPr>
            <w:tcW w:type="dxa" w:w="576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Area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Scan  (Project Lotus — Bravo)</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QuickScan › Scan by Condition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Osteoporosis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Series Position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 of 10 — First module of the Scan by Condition series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QuickScan Location Cross-reference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Back Pain ✓  |  Neck Pain ✓  |  Heel &amp; Foot Pain (pending)</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Document Version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v1.0 — Draft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For Clinical Advisory Board Review</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Deployment Channel</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Web Platform (Mobile-responsive)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Compliance Framework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Signal (non-diagnostic), CDSCO SaMD awareness</w:t>
            </w:r>
          </w:p>
        </w:tc>
      </w:tr>
    </w:tbl>
    <w:p>
      <w:pPr>
        <w:spacing w:before="3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Series Architecture Note — Scan by Condition vs Scan by Location</w:t>
            </w:r>
          </w:p>
          <w:p>
            <w:pPr>
              <w:spacing w:before="80" w:after="80"/>
              <w:jc w:val="left"/>
            </w:pPr>
            <w:r>
              <w:rPr>
                <w:rFonts w:ascii="Arial" w:cs="Arial" w:eastAsia="Arial" w:hAnsi="Arial"/>
                <w:b w:val="false"/>
                <w:bCs w:val="false"/>
                <w:color w:val="1A1A1A"/>
                <w:sz w:val="20"/>
                <w:szCs w:val="20"/>
              </w:rPr>
              <w:t xml:space="preserve">The Scan by Condition stream addresses users who suspect or have been told they may have a specific condition, as opposed to a pain location. The clinical framework shifts from anatomical to pathological — questions must identify risk factors, symptom patterns, and functional markers specific to the named condition rather than the region where pain is felt. Where relevant, condition scans cross-reference risk signals from completed Scan by Location modules.</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Confidentiality Notice</w:t>
            </w:r>
          </w:p>
          <w:p>
            <w:pPr>
              <w:spacing w:before="80" w:after="80"/>
              <w:jc w:val="left"/>
            </w:pPr>
            <w:r>
              <w:rPr>
                <w:rFonts w:ascii="Arial" w:cs="Arial" w:eastAsia="Arial" w:hAnsi="Arial"/>
                <w:b w:val="false"/>
                <w:bCs w:val="false"/>
                <w:color w:val="1A1A1A"/>
                <w:sz w:val="20"/>
                <w:szCs w:val="20"/>
              </w:rPr>
              <w:t xml:space="preserve">This document is strictly confidential and intended for internal use within the Kriya product and clinical advisory team only.</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  Document Purpose &amp; Scope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This PRD defines the product, clinical, and UX requirements for the </w:t>
      </w:r>
      <w:r>
        <w:rPr>
          <w:rFonts w:ascii="Arial" w:cs="Arial" w:eastAsia="Arial" w:hAnsi="Arial"/>
          <w:b/>
          <w:bCs/>
          <w:color w:val="1A1A1A"/>
          <w:sz w:val="22"/>
          <w:szCs w:val="22"/>
        </w:rPr>
        <w:t xml:space="preserve">QuickScan — Osteoporosis</w:t>
      </w:r>
      <w:r>
        <w:rPr>
          <w:rFonts w:ascii="Arial" w:cs="Arial" w:eastAsia="Arial" w:hAnsi="Arial"/>
          <w:b w:val="false"/>
          <w:bCs w:val="false"/>
          <w:color w:val="1A1A1A"/>
          <w:sz w:val="22"/>
          <w:szCs w:val="22"/>
        </w:rPr>
        <w:t xml:space="preserve"> module under Kriya Scan (Bravo), Scan by Condition stream. It is the first document in the 10-module Scan by Condition series and establishes the framework template for all subsequent condition-based modules.</w:t>
      </w:r>
    </w:p>
    <w:p>
      <w:pPr>
        <w:spacing w:before="120" w:after="120"/>
      </w:pPr>
    </w:p>
    <w:p>
      <w:pPr>
        <w:spacing w:before="80" w:after="80"/>
        <w:jc w:val="left"/>
      </w:pPr>
      <w:r>
        <w:rPr>
          <w:rFonts w:ascii="Arial" w:cs="Arial" w:eastAsia="Arial" w:hAnsi="Arial"/>
          <w:b w:val="false"/>
          <w:bCs w:val="false"/>
          <w:color w:val="1A1A1A"/>
          <w:sz w:val="22"/>
          <w:szCs w:val="22"/>
        </w:rPr>
        <w:t xml:space="preserve">Osteoporosis is selected as the first Scan by Condition module for three compelling clinical and strategic reasons. First, it is the </w:t>
      </w:r>
      <w:r>
        <w:rPr>
          <w:rFonts w:ascii="Arial" w:cs="Arial" w:eastAsia="Arial" w:hAnsi="Arial"/>
          <w:b/>
          <w:bCs/>
          <w:color w:val="1A1A1A"/>
          <w:sz w:val="22"/>
          <w:szCs w:val="22"/>
        </w:rPr>
        <w:t xml:space="preserve">highest public health urgency</w:t>
      </w:r>
      <w:r>
        <w:rPr>
          <w:rFonts w:ascii="Arial" w:cs="Arial" w:eastAsia="Arial" w:hAnsi="Arial"/>
          <w:b w:val="false"/>
          <w:bCs w:val="false"/>
          <w:color w:val="1A1A1A"/>
          <w:sz w:val="22"/>
          <w:szCs w:val="22"/>
        </w:rPr>
        <w:t xml:space="preserve"> condition in the series — it is largely asymptomatic until a fragility fracture occurs, meaning users often have no pain signal to bring them to a location-based scan, making the condition-entry pathway their primary discovery route. Second, India carries a </w:t>
      </w:r>
      <w:r>
        <w:rPr>
          <w:rFonts w:ascii="Arial" w:cs="Arial" w:eastAsia="Arial" w:hAnsi="Arial"/>
          <w:b/>
          <w:bCs/>
          <w:color w:val="1A1A1A"/>
          <w:sz w:val="22"/>
          <w:szCs w:val="22"/>
        </w:rPr>
        <w:t xml:space="preserve">disproportionately high burden</w:t>
      </w:r>
      <w:r>
        <w:rPr>
          <w:rFonts w:ascii="Arial" w:cs="Arial" w:eastAsia="Arial" w:hAnsi="Arial"/>
          <w:b w:val="false"/>
          <w:bCs w:val="false"/>
          <w:color w:val="1A1A1A"/>
          <w:sz w:val="22"/>
          <w:szCs w:val="22"/>
        </w:rPr>
        <w:t xml:space="preserve"> — an estimated 50 million Indians are affected, with post-menopausal women and men over 60 the most vulnerable cohorts. Third, it is highly actionable through lifestyle and nutritional intervention, making it a natural fit for Kriya's preventive care philosophy.</w:t>
      </w:r>
    </w:p>
    <w:p>
      <w:pPr>
        <w:spacing w:before="120" w:after="120"/>
      </w:pPr>
    </w:p>
    <w:p>
      <w:pPr>
        <w:pStyle w:val="Heading3"/>
        <w:spacing w:before="240" w:after="80"/>
      </w:pPr>
      <w:r>
        <w:rPr>
          <w:rFonts w:ascii="Arial" w:cs="Arial" w:eastAsia="Arial" w:hAnsi="Arial"/>
          <w:b/>
          <w:bCs/>
          <w:color w:val="2C3E50"/>
          <w:sz w:val="22"/>
          <w:szCs w:val="22"/>
        </w:rPr>
        <w:t xml:space="preserve">1.1  Scan by Condition — Architectural Differences from Scan by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Four Key Architectural Differences</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Entry intent is condition-specific, not pain-location-specific:</w:t>
            </w:r>
            <w:r>
              <w:rPr>
                <w:rFonts w:ascii="Arial" w:cs="Arial" w:eastAsia="Arial" w:hAnsi="Arial"/>
                <w:b w:val="false"/>
                <w:bCs w:val="false"/>
                <w:color w:val="1A1A1A"/>
                <w:sz w:val="20"/>
                <w:szCs w:val="20"/>
              </w:rPr>
              <w:t xml:space="preserve">  Users enter because they suspect osteoporosis (or have been advised to check), not because they have localised pain. The question bank must therefore lead with risk factor identification rather than pain characterisation.</w:t>
            </w:r>
          </w:p>
          <w:p>
            <w:pPr>
              <w:pStyle w:val="ListParagraph"/>
              <w:numPr>
                <w:ilvl w:val="0"/>
                <w:numId w:val="2"/>
              </w:numPr>
              <w:spacing w:before="60" w:after="60"/>
            </w:pPr>
            <w:r>
              <w:rPr>
                <w:rFonts w:ascii="Arial" w:cs="Arial" w:eastAsia="Arial" w:hAnsi="Arial"/>
                <w:b/>
                <w:bCs/>
                <w:color w:val="1A1A1A"/>
                <w:sz w:val="22"/>
                <w:szCs w:val="22"/>
              </w:rPr>
              <w:t xml:space="preserve">Risk factors dominate Layer 1, not symptom character:</w:t>
            </w:r>
            <w:r>
              <w:rPr>
                <w:rFonts w:ascii="Arial" w:cs="Arial" w:eastAsia="Arial" w:hAnsi="Arial"/>
                <w:b w:val="false"/>
                <w:bCs w:val="false"/>
                <w:color w:val="1A1A1A"/>
                <w:sz w:val="20"/>
                <w:szCs w:val="20"/>
              </w:rPr>
              <w:t xml:space="preserve">  Unlike location modules where Layer 1 profiles the nature of pain, Condition modules open with the clinical risk factor profile for that condition — demographics, lifestyle, medical history, family history.</w:t>
            </w:r>
          </w:p>
          <w:p>
            <w:pPr>
              <w:pStyle w:val="ListParagraph"/>
              <w:numPr>
                <w:ilvl w:val="0"/>
                <w:numId w:val="2"/>
              </w:numPr>
              <w:spacing w:before="60" w:after="60"/>
            </w:pPr>
            <w:r>
              <w:rPr>
                <w:rFonts w:ascii="Arial" w:cs="Arial" w:eastAsia="Arial" w:hAnsi="Arial"/>
                <w:b/>
                <w:bCs/>
                <w:color w:val="1A1A1A"/>
                <w:sz w:val="22"/>
                <w:szCs w:val="22"/>
              </w:rPr>
              <w:t xml:space="preserve">Fracture risk is the clinical endpoint, not pain severity:</w:t>
            </w:r>
            <w:r>
              <w:rPr>
                <w:rFonts w:ascii="Arial" w:cs="Arial" w:eastAsia="Arial" w:hAnsi="Arial"/>
                <w:b w:val="false"/>
                <w:bCs w:val="false"/>
                <w:color w:val="1A1A1A"/>
                <w:sz w:val="20"/>
                <w:szCs w:val="20"/>
              </w:rPr>
              <w:t xml:space="preserve">  For osteoporosis, the key output is bone fragility risk level, not pain-based functional limitation. The scoring engine must reflect this — risk factors carry higher weight than current symptom scores.</w:t>
            </w:r>
          </w:p>
          <w:p>
            <w:pPr>
              <w:pStyle w:val="ListParagraph"/>
              <w:numPr>
                <w:ilvl w:val="0"/>
                <w:numId w:val="2"/>
              </w:numPr>
              <w:spacing w:before="60" w:after="60"/>
            </w:pPr>
            <w:r>
              <w:rPr>
                <w:rFonts w:ascii="Arial" w:cs="Arial" w:eastAsia="Arial" w:hAnsi="Arial"/>
                <w:b/>
                <w:bCs/>
                <w:color w:val="1A1A1A"/>
                <w:sz w:val="22"/>
                <w:szCs w:val="22"/>
              </w:rPr>
              <w:t xml:space="preserve">Cross-reference with Scan by Location is directional:</w:t>
            </w:r>
            <w:r>
              <w:rPr>
                <w:rFonts w:ascii="Arial" w:cs="Arial" w:eastAsia="Arial" w:hAnsi="Arial"/>
                <w:b w:val="false"/>
                <w:bCs w:val="false"/>
                <w:color w:val="1A1A1A"/>
                <w:sz w:val="20"/>
                <w:szCs w:val="20"/>
              </w:rPr>
              <w:t xml:space="preserve">  Users who completed the Low Back Pain or Neck Pain QuickScan and were flagged for age-related degenerative changes or height loss signals should be actively directed to this Osteoporosis Condition Scan. Conversely, a high-risk Osteoporosis scan should recommend the Low Back Pain and Heel &amp; Foot QuickScans to assess fracture-risk locations.</w:t>
            </w:r>
          </w:p>
        </w:tc>
      </w:tr>
    </w:tbl>
    <w:p>
      <w:pPr>
        <w:spacing w:before="120" w:after="120"/>
      </w:pPr>
    </w:p>
    <w:p>
      <w:pPr>
        <w:pStyle w:val="Heading3"/>
        <w:spacing w:before="240" w:after="80"/>
      </w:pPr>
      <w:r>
        <w:rPr>
          <w:rFonts w:ascii="Arial" w:cs="Arial" w:eastAsia="Arial" w:hAnsi="Arial"/>
          <w:b/>
          <w:bCs/>
          <w:color w:val="2C3E50"/>
          <w:sz w:val="22"/>
          <w:szCs w:val="22"/>
        </w:rPr>
        <w:t xml:space="preserve">1.2  Osteoporosis — Clinical Context for Product Team</w:t>
      </w:r>
    </w:p>
    <w:p>
      <w:pPr>
        <w:pStyle w:val="ListParagraph"/>
        <w:numPr>
          <w:ilvl w:val="0"/>
          <w:numId w:val="2"/>
        </w:numPr>
        <w:spacing w:before="60" w:after="60"/>
      </w:pPr>
      <w:r>
        <w:rPr>
          <w:rFonts w:ascii="Arial" w:cs="Arial" w:eastAsia="Arial" w:hAnsi="Arial"/>
          <w:b/>
          <w:bCs/>
          <w:color w:val="1A1A1A"/>
          <w:sz w:val="22"/>
          <w:szCs w:val="22"/>
        </w:rPr>
        <w:t xml:space="preserve">The silent disease problem:</w:t>
      </w:r>
      <w:r>
        <w:rPr>
          <w:rFonts w:ascii="Arial" w:cs="Arial" w:eastAsia="Arial" w:hAnsi="Arial"/>
          <w:b w:val="false"/>
          <w:bCs w:val="false"/>
          <w:color w:val="1A1A1A"/>
          <w:sz w:val="22"/>
          <w:szCs w:val="22"/>
        </w:rPr>
        <w:t xml:space="preserve">  Osteoporosis produces no pain, no visible symptoms, and no functional limitation — until a bone fractures. The classic presentation is a fragility fracture (fracture from a fall from standing height or less, or with minimal trauma) most commonly at the hip, spine (vertebral compression fracture), or wrist. This means the QuickScan cannot rely on pain questions to drive risk scoring — it must be built primarily on risk factor accumulation.</w:t>
      </w:r>
    </w:p>
    <w:p>
      <w:pPr>
        <w:pStyle w:val="ListParagraph"/>
        <w:numPr>
          <w:ilvl w:val="0"/>
          <w:numId w:val="2"/>
        </w:numPr>
        <w:spacing w:before="60" w:after="60"/>
      </w:pPr>
      <w:r>
        <w:rPr>
          <w:rFonts w:ascii="Arial" w:cs="Arial" w:eastAsia="Arial" w:hAnsi="Arial"/>
          <w:b/>
          <w:bCs/>
          <w:color w:val="1A1A1A"/>
          <w:sz w:val="22"/>
          <w:szCs w:val="22"/>
        </w:rPr>
        <w:t xml:space="preserve">FRAX framework as clinical anchor:</w:t>
      </w:r>
      <w:r>
        <w:rPr>
          <w:rFonts w:ascii="Arial" w:cs="Arial" w:eastAsia="Arial" w:hAnsi="Arial"/>
          <w:b w:val="false"/>
          <w:bCs w:val="false"/>
          <w:color w:val="1A1A1A"/>
          <w:sz w:val="22"/>
          <w:szCs w:val="22"/>
        </w:rPr>
        <w:t xml:space="preserve">  The WHO-validated FRAX tool (Fracture Risk Assessment Tool) calculates 10-year probability of major osteoporotic fracture using 12 clinical risk factors. The QuickScan question bank is directly inspired by FRAX risk factors, adapted into a self-report format accessible to non-clinical users. This gives the platform a world-class scientific pedigree without requiring bone density measurement.</w:t>
      </w:r>
    </w:p>
    <w:p>
      <w:pPr>
        <w:pStyle w:val="ListParagraph"/>
        <w:numPr>
          <w:ilvl w:val="0"/>
          <w:numId w:val="2"/>
        </w:numPr>
        <w:spacing w:before="60" w:after="60"/>
      </w:pPr>
      <w:r>
        <w:rPr>
          <w:rFonts w:ascii="Arial" w:cs="Arial" w:eastAsia="Arial" w:hAnsi="Arial"/>
          <w:b/>
          <w:bCs/>
          <w:color w:val="1A1A1A"/>
          <w:sz w:val="22"/>
          <w:szCs w:val="22"/>
        </w:rPr>
        <w:t xml:space="preserve">The Indian-specific risk context:</w:t>
      </w:r>
      <w:r>
        <w:rPr>
          <w:rFonts w:ascii="Arial" w:cs="Arial" w:eastAsia="Arial" w:hAnsi="Arial"/>
          <w:b w:val="false"/>
          <w:bCs w:val="false"/>
          <w:color w:val="1A1A1A"/>
          <w:sz w:val="22"/>
          <w:szCs w:val="22"/>
        </w:rPr>
        <w:t xml:space="preserve">  Indian women have lower peak bone mass than Western populations, compounding post-menopausal bone loss risk. Low dietary calcium (insufficient dairy consumption in vegetarian and lactose-intolerant populations), Vitamin D deficiency (paradoxically high despite sun exposure, due to skin coverage and indoor lifestyles), and low physical activity are the three dominant modifiable risk factors in the Indian context.</w:t>
      </w:r>
    </w:p>
    <w:p>
      <w:pPr>
        <w:pStyle w:val="ListParagraph"/>
        <w:numPr>
          <w:ilvl w:val="0"/>
          <w:numId w:val="2"/>
        </w:numPr>
        <w:spacing w:before="60" w:after="60"/>
      </w:pPr>
      <w:r>
        <w:rPr>
          <w:rFonts w:ascii="Arial" w:cs="Arial" w:eastAsia="Arial" w:hAnsi="Arial"/>
          <w:b/>
          <w:bCs/>
          <w:color w:val="1A1A1A"/>
          <w:sz w:val="22"/>
          <w:szCs w:val="22"/>
        </w:rPr>
        <w:t xml:space="preserve">Vertebral fractures are frequently undiagnosed:</w:t>
      </w:r>
      <w:r>
        <w:rPr>
          <w:rFonts w:ascii="Arial" w:cs="Arial" w:eastAsia="Arial" w:hAnsi="Arial"/>
          <w:b w:val="false"/>
          <w:bCs w:val="false"/>
          <w:color w:val="1A1A1A"/>
          <w:sz w:val="22"/>
          <w:szCs w:val="22"/>
        </w:rPr>
        <w:t xml:space="preserve">  Up to 70% of vertebral compression fractures in India go undiagnosed — they present as back pain attributed to muscle strain or disc disease. Users presenting with acute back pain, height loss, or stooped posture should be explicitly screened for vertebral fracture risk.</w:t>
      </w:r>
    </w:p>
    <w:p>
      <w:pPr>
        <w:pStyle w:val="ListParagraph"/>
        <w:numPr>
          <w:ilvl w:val="0"/>
          <w:numId w:val="2"/>
        </w:numPr>
        <w:spacing w:before="60" w:after="60"/>
      </w:pPr>
      <w:r>
        <w:rPr>
          <w:rFonts w:ascii="Arial" w:cs="Arial" w:eastAsia="Arial" w:hAnsi="Arial"/>
          <w:b/>
          <w:bCs/>
          <w:color w:val="1A1A1A"/>
          <w:sz w:val="22"/>
          <w:szCs w:val="22"/>
        </w:rPr>
        <w:t xml:space="preserve">Secondary osteoporosis:</w:t>
      </w:r>
      <w:r>
        <w:rPr>
          <w:rFonts w:ascii="Arial" w:cs="Arial" w:eastAsia="Arial" w:hAnsi="Arial"/>
          <w:b w:val="false"/>
          <w:bCs w:val="false"/>
          <w:color w:val="1A1A1A"/>
          <w:sz w:val="22"/>
          <w:szCs w:val="22"/>
        </w:rPr>
        <w:t xml:space="preserve">  Osteoporosis is not only a post-menopausal female condition. Steroid use, rheumatoid arthritis, coeliac disease, hyperthyroidism, and male hypogonadism are all significant secondary causes. The question bank must capture relevant medical history items to flag secondary osteoporosis risk.</w:t>
      </w:r>
    </w:p>
    <w:p>
      <w:pPr>
        <w:spacing w:before="120" w:after="120"/>
      </w:pPr>
    </w:p>
    <w:p>
      <w:pPr>
        <w:pStyle w:val="Heading3"/>
        <w:spacing w:before="240" w:after="80"/>
      </w:pPr>
      <w:r>
        <w:rPr>
          <w:rFonts w:ascii="Arial" w:cs="Arial" w:eastAsia="Arial" w:hAnsi="Arial"/>
          <w:b/>
          <w:bCs/>
          <w:color w:val="2C3E50"/>
          <w:sz w:val="22"/>
          <w:szCs w:val="22"/>
        </w:rPr>
        <w:t xml:space="preserve">1.3  Out of Scope for v1.0</w:t>
      </w:r>
    </w:p>
    <w:p>
      <w:pPr>
        <w:pStyle w:val="ListParagraph"/>
        <w:numPr>
          <w:ilvl w:val="0"/>
          <w:numId w:val="2"/>
        </w:numPr>
        <w:spacing w:before="60" w:after="60"/>
      </w:pPr>
      <w:r>
        <w:rPr>
          <w:rFonts w:ascii="Arial" w:cs="Arial" w:eastAsia="Arial" w:hAnsi="Arial"/>
          <w:b w:val="false"/>
          <w:bCs w:val="false"/>
          <w:color w:val="1A1A1A"/>
          <w:sz w:val="22"/>
          <w:szCs w:val="22"/>
        </w:rPr>
        <w:t xml:space="preserve">DEXA scan results interpretation or T-score / Z-score assessment — clinical instrument territory</w:t>
      </w:r>
    </w:p>
    <w:p>
      <w:pPr>
        <w:pStyle w:val="ListParagraph"/>
        <w:numPr>
          <w:ilvl w:val="0"/>
          <w:numId w:val="2"/>
        </w:numPr>
        <w:spacing w:before="60" w:after="60"/>
      </w:pPr>
      <w:r>
        <w:rPr>
          <w:rFonts w:ascii="Arial" w:cs="Arial" w:eastAsia="Arial" w:hAnsi="Arial"/>
          <w:b w:val="false"/>
          <w:bCs w:val="false"/>
          <w:color w:val="1A1A1A"/>
          <w:sz w:val="22"/>
          <w:szCs w:val="22"/>
        </w:rPr>
        <w:t xml:space="preserve">Full FRAX calculation (requires height, weight, femoral neck BMD) — requires clinical input</w:t>
      </w:r>
    </w:p>
    <w:p>
      <w:pPr>
        <w:pStyle w:val="ListParagraph"/>
        <w:numPr>
          <w:ilvl w:val="0"/>
          <w:numId w:val="2"/>
        </w:numPr>
        <w:spacing w:before="60" w:after="60"/>
      </w:pPr>
      <w:r>
        <w:rPr>
          <w:rFonts w:ascii="Arial" w:cs="Arial" w:eastAsia="Arial" w:hAnsi="Arial"/>
          <w:b w:val="false"/>
          <w:bCs w:val="false"/>
          <w:color w:val="1A1A1A"/>
          <w:sz w:val="22"/>
          <w:szCs w:val="22"/>
        </w:rPr>
        <w:t xml:space="preserve">DeepScan — Osteoporosis (separate PRD)</w:t>
      </w:r>
    </w:p>
    <w:p>
      <w:pPr>
        <w:pStyle w:val="ListParagraph"/>
        <w:numPr>
          <w:ilvl w:val="0"/>
          <w:numId w:val="2"/>
        </w:numPr>
        <w:spacing w:before="60" w:after="60"/>
      </w:pPr>
      <w:r>
        <w:rPr>
          <w:rFonts w:ascii="Arial" w:cs="Arial" w:eastAsia="Arial" w:hAnsi="Arial"/>
          <w:b w:val="false"/>
          <w:bCs w:val="false"/>
          <w:color w:val="1A1A1A"/>
          <w:sz w:val="22"/>
          <w:szCs w:val="22"/>
        </w:rPr>
        <w:t xml:space="preserve">Nutrition prescription or supplement recommendations — out of scope for risk signal tool</w:t>
      </w:r>
    </w:p>
    <w:p>
      <w:pPr>
        <w:pStyle w:val="ListParagraph"/>
        <w:numPr>
          <w:ilvl w:val="0"/>
          <w:numId w:val="2"/>
        </w:numPr>
        <w:spacing w:before="60" w:after="60"/>
      </w:pPr>
      <w:r>
        <w:rPr>
          <w:rFonts w:ascii="Arial" w:cs="Arial" w:eastAsia="Arial" w:hAnsi="Arial"/>
          <w:b w:val="false"/>
          <w:bCs w:val="false"/>
          <w:color w:val="1A1A1A"/>
          <w:sz w:val="22"/>
          <w:szCs w:val="22"/>
        </w:rPr>
        <w:t xml:space="preserve">Native mobile app deployment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2.  Regulatory &amp; Compliance Framework</w:t>
      </w:r>
    </w:p>
    <w:p>
      <w:pPr>
        <w:pBdr>
          <w:bottom w:val="single" w:color="0D7377" w:sz="8"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Governing Principle</w:t>
            </w:r>
          </w:p>
          <w:p>
            <w:pPr>
              <w:spacing w:before="80" w:after="80"/>
              <w:jc w:val="left"/>
            </w:pPr>
            <w:r>
              <w:rPr>
                <w:rFonts w:ascii="Arial" w:cs="Arial" w:eastAsia="Arial" w:hAnsi="Arial"/>
                <w:b w:val="false"/>
                <w:bCs w:val="false"/>
                <w:color w:val="1A1A1A"/>
                <w:sz w:val="20"/>
                <w:szCs w:val="20"/>
              </w:rPr>
              <w:t xml:space="preserve">Kriya QuickScan — Osteoporosis is a </w:t>
            </w:r>
            <w:r>
              <w:rPr>
                <w:rFonts w:ascii="Arial" w:cs="Arial" w:eastAsia="Arial" w:hAnsi="Arial"/>
                <w:b/>
                <w:bCs/>
                <w:color w:val="1A1A1A"/>
                <w:sz w:val="20"/>
                <w:szCs w:val="20"/>
              </w:rPr>
              <w:t xml:space="preserve">bone health risk signal tool</w:t>
            </w:r>
            <w:r>
              <w:rPr>
                <w:rFonts w:ascii="Arial" w:cs="Arial" w:eastAsia="Arial" w:hAnsi="Arial"/>
                <w:b w:val="false"/>
                <w:bCs w:val="false"/>
                <w:color w:val="1A1A1A"/>
                <w:sz w:val="20"/>
                <w:szCs w:val="20"/>
              </w:rPr>
              <w:t xml:space="preserve">, not a diagnostic instrument. It does not measure bone density, calculate T-scores, or produce a clinical diagnosis of osteoporosis or osteopenia. It identifies a risk factor profile that suggests elevated risk of low bone density and fragility fracture, and recommends appropriate clinical follow-up.</w:t>
            </w:r>
          </w:p>
        </w:tc>
      </w:tr>
    </w:tbl>
    <w:p>
      <w:pPr>
        <w:spacing w:before="120" w:after="120"/>
      </w:pPr>
    </w:p>
    <w:p>
      <w:pPr>
        <w:pStyle w:val="Heading3"/>
        <w:spacing w:before="240" w:after="80"/>
      </w:pPr>
      <w:r>
        <w:rPr>
          <w:rFonts w:ascii="Arial" w:cs="Arial" w:eastAsia="Arial" w:hAnsi="Arial"/>
          <w:b/>
          <w:bCs/>
          <w:color w:val="2C3E50"/>
          <w:sz w:val="22"/>
          <w:szCs w:val="22"/>
        </w:rPr>
        <w:t xml:space="preserve">2.1  Osteoporosis-Specific Regulatory Considerations</w:t>
      </w:r>
    </w:p>
    <w:p>
      <w:pPr>
        <w:pStyle w:val="ListParagraph"/>
        <w:numPr>
          <w:ilvl w:val="0"/>
          <w:numId w:val="2"/>
        </w:numPr>
        <w:spacing w:before="60" w:after="60"/>
      </w:pPr>
      <w:r>
        <w:rPr>
          <w:rFonts w:ascii="Arial" w:cs="Arial" w:eastAsia="Arial" w:hAnsi="Arial"/>
          <w:b/>
          <w:bCs/>
          <w:color w:val="1A1A1A"/>
          <w:sz w:val="22"/>
          <w:szCs w:val="22"/>
        </w:rPr>
        <w:t xml:space="preserve">FRAX adaptation disclosure:</w:t>
      </w:r>
      <w:r>
        <w:rPr>
          <w:rFonts w:ascii="Arial" w:cs="Arial" w:eastAsia="Arial" w:hAnsi="Arial"/>
          <w:b w:val="false"/>
          <w:bCs w:val="false"/>
          <w:color w:val="1A1A1A"/>
          <w:sz w:val="22"/>
          <w:szCs w:val="22"/>
        </w:rPr>
        <w:t xml:space="preserve">  The question bank is inspired by FRAX risk factors but does not replicate or claim to perform the FRAX calculation. Output language must never reference FRAX scores or 10-year fracture probability figures — these require clinical computation with BMD data.</w:t>
      </w:r>
    </w:p>
    <w:p>
      <w:pPr>
        <w:pStyle w:val="ListParagraph"/>
        <w:numPr>
          <w:ilvl w:val="0"/>
          <w:numId w:val="2"/>
        </w:numPr>
        <w:spacing w:before="60" w:after="60"/>
      </w:pPr>
      <w:r>
        <w:rPr>
          <w:rFonts w:ascii="Arial" w:cs="Arial" w:eastAsia="Arial" w:hAnsi="Arial"/>
          <w:b/>
          <w:bCs/>
          <w:color w:val="1A1A1A"/>
          <w:sz w:val="22"/>
          <w:szCs w:val="22"/>
        </w:rPr>
        <w:t xml:space="preserve">Vertebral fracture is a medical emergency context:</w:t>
      </w:r>
      <w:r>
        <w:rPr>
          <w:rFonts w:ascii="Arial" w:cs="Arial" w:eastAsia="Arial" w:hAnsi="Arial"/>
          <w:b w:val="false"/>
          <w:bCs w:val="false"/>
          <w:color w:val="1A1A1A"/>
          <w:sz w:val="22"/>
          <w:szCs w:val="22"/>
        </w:rPr>
        <w:t xml:space="preserve">  Acute severe back pain with height loss or stooped posture in an at-risk user may indicate an acute vertebral compression fracture. The red flag screen must capture this and route to urgent medical evaluation.</w:t>
      </w:r>
    </w:p>
    <w:p>
      <w:pPr>
        <w:pStyle w:val="ListParagraph"/>
        <w:numPr>
          <w:ilvl w:val="0"/>
          <w:numId w:val="2"/>
        </w:numPr>
        <w:spacing w:before="60" w:after="60"/>
      </w:pPr>
      <w:r>
        <w:rPr>
          <w:rFonts w:ascii="Arial" w:cs="Arial" w:eastAsia="Arial" w:hAnsi="Arial"/>
          <w:b/>
          <w:bCs/>
          <w:color w:val="1A1A1A"/>
          <w:sz w:val="22"/>
          <w:szCs w:val="22"/>
        </w:rPr>
        <w:t xml:space="preserve">No T-score or Z-score language:</w:t>
      </w:r>
      <w:r>
        <w:rPr>
          <w:rFonts w:ascii="Arial" w:cs="Arial" w:eastAsia="Arial" w:hAnsi="Arial"/>
          <w:b w:val="false"/>
          <w:bCs w:val="false"/>
          <w:color w:val="1A1A1A"/>
          <w:sz w:val="22"/>
          <w:szCs w:val="22"/>
        </w:rPr>
        <w:t xml:space="preserve">  Output must never reference bone density scores, DEXA results, or osteopenia / osteoporosis thresholds — these are clinical diagnostic categories beyond the platform's scope.</w:t>
      </w:r>
    </w:p>
    <w:p>
      <w:pPr>
        <w:pStyle w:val="ListParagraph"/>
        <w:numPr>
          <w:ilvl w:val="0"/>
          <w:numId w:val="2"/>
        </w:numPr>
        <w:spacing w:before="60" w:after="60"/>
      </w:pPr>
      <w:r>
        <w:rPr>
          <w:rFonts w:ascii="Arial" w:cs="Arial" w:eastAsia="Arial" w:hAnsi="Arial"/>
          <w:b/>
          <w:bCs/>
          <w:color w:val="1A1A1A"/>
          <w:sz w:val="22"/>
          <w:szCs w:val="22"/>
        </w:rPr>
        <w:t xml:space="preserve">Secondary osteoporosis drugs:</w:t>
      </w:r>
      <w:r>
        <w:rPr>
          <w:rFonts w:ascii="Arial" w:cs="Arial" w:eastAsia="Arial" w:hAnsi="Arial"/>
          <w:b w:val="false"/>
          <w:bCs w:val="false"/>
          <w:color w:val="1A1A1A"/>
          <w:sz w:val="22"/>
          <w:szCs w:val="22"/>
        </w:rPr>
        <w:t xml:space="preserve">  The question bank asks about steroid use — this is a risk factor capture question, not a medication review. Platform must not advise on medication changes under any circumstance.</w:t>
      </w:r>
    </w:p>
    <w:p>
      <w:pPr>
        <w:pStyle w:val="ListParagraph"/>
        <w:numPr>
          <w:ilvl w:val="0"/>
          <w:numId w:val="2"/>
        </w:numPr>
        <w:spacing w:before="60" w:after="60"/>
      </w:pPr>
      <w:r>
        <w:rPr>
          <w:rFonts w:ascii="Arial" w:cs="Arial" w:eastAsia="Arial" w:hAnsi="Arial"/>
          <w:b/>
          <w:bCs/>
          <w:color w:val="1A1A1A"/>
          <w:sz w:val="22"/>
          <w:szCs w:val="22"/>
        </w:rPr>
        <w:t xml:space="preserve">No ICD-10 codes surfaced</w:t>
      </w:r>
      <w:r>
        <w:rPr>
          <w:rFonts w:ascii="Arial" w:cs="Arial" w:eastAsia="Arial" w:hAnsi="Arial"/>
          <w:b w:val="false"/>
          <w:bCs w:val="false"/>
          <w:color w:val="1A1A1A"/>
          <w:sz w:val="22"/>
          <w:szCs w:val="22"/>
        </w:rPr>
        <w:t xml:space="preserve"> (M80 Osteoporosis with fracture, M81 Osteoporosis without fracture, M85 Osteopenia etc.)</w:t>
      </w:r>
    </w:p>
    <w:p>
      <w:pPr>
        <w:spacing w:before="120" w:after="120"/>
      </w:pPr>
    </w:p>
    <w:p>
      <w:pPr>
        <w:pStyle w:val="Heading3"/>
        <w:spacing w:before="240" w:after="80"/>
      </w:pPr>
      <w:r>
        <w:rPr>
          <w:rFonts w:ascii="Arial" w:cs="Arial" w:eastAsia="Arial" w:hAnsi="Arial"/>
          <w:b/>
          <w:bCs/>
          <w:color w:val="2C3E50"/>
          <w:sz w:val="22"/>
          <w:szCs w:val="22"/>
        </w:rPr>
        <w:t xml:space="preserve">2.2  Mandatory Disclaimer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Standard Disclaimer + Bone Health Addendum</w:t>
            </w:r>
          </w:p>
          <w:p>
            <w:pPr>
              <w:spacing w:before="80" w:after="80"/>
              <w:jc w:val="left"/>
            </w:pPr>
            <w:r>
              <w:rPr>
                <w:rFonts w:ascii="Arial" w:cs="Arial" w:eastAsia="Arial" w:hAnsi="Arial"/>
                <w:i/>
                <w:iCs/>
                <w:color w:val="2C3E50"/>
                <w:sz w:val="20"/>
                <w:szCs w:val="20"/>
              </w:rPr>
              <w:t xml:space="preserve">"Kriya QuickScan is a self-reported wellness risk tool and does not constitute a medical diagnosis. The risk signals generated are based on your responses and are intended to guide general awareness only. Please consult a qualified healthcare professional for clinical assessment, diagnosis, or treatment."</w:t>
            </w:r>
          </w:p>
          <w:p>
            <w:pPr>
              <w:spacing w:before="60" w:after="120"/>
            </w:pPr>
          </w:p>
          <w:p>
            <w:pPr>
              <w:spacing w:before="80" w:after="80"/>
              <w:jc w:val="left"/>
            </w:pPr>
            <w:r>
              <w:rPr>
                <w:rFonts w:ascii="Arial" w:cs="Arial" w:eastAsia="Arial" w:hAnsi="Arial"/>
                <w:i/>
                <w:iCs/>
                <w:color w:val="C0392B"/>
                <w:sz w:val="20"/>
                <w:szCs w:val="20"/>
              </w:rPr>
              <w:t xml:space="preserve">"This scan does not measure bone density and cannot diagnose osteoporosis or osteopenia. A DEXA scan (bone density test) performed by a qualified clinician is required for diagnosis. If you have experienced a fracture from a minor fall or impact, please seek medical evaluation promptly."</w:t>
            </w:r>
          </w:p>
        </w:tc>
      </w:tr>
    </w:tbl>
    <w:p>
      <w:pPr>
        <w:spacing w:before="120" w:after="120"/>
      </w:pPr>
    </w:p>
    <w:p>
      <w:pPr>
        <w:pStyle w:val="Heading3"/>
        <w:spacing w:before="240" w:after="80"/>
      </w:pPr>
      <w:r>
        <w:rPr>
          <w:rFonts w:ascii="Arial" w:cs="Arial" w:eastAsia="Arial" w:hAnsi="Arial"/>
          <w:b/>
          <w:bCs/>
          <w:color w:val="2C3E50"/>
          <w:sz w:val="22"/>
          <w:szCs w:val="22"/>
        </w:rPr>
        <w:t xml:space="preserve">2.3  Red Flag Protocol — Osteoporosis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Red Flag Symptom / History</w:t>
            </w:r>
          </w:p>
        </w:tc>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Concern</w:t>
            </w:r>
          </w:p>
        </w:tc>
        <w:tc>
          <w:tcPr>
            <w:tcW w:type="dxa" w:w="296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Required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severe back pain with sudden onset in a user aged 50+ or post-menopausal woman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vertebral compression fracture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medical evaluation — same day; imaging required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Recent fracture from a minor fall (standing height or less) or minimal trauma</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Fragility fracture — severe osteoporosis likely</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medical evaluation and DEXA referral within 48 hrs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Loss of more than 3 cm in height compared to peak adult height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Multiple vertebral compression fractures likely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medical evaluation and spinal imaging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Severe spinal deformity — marked forward stoop (kyphosis) with no prior scoliosis history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Vertebral collapse / multiple fractures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medical evaluation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Hip pain after a minor fall in a user aged 60+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Hip fracture — potentially life-threatening complication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referral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Back or hip pain in a user on long-term steroid therapy (&gt; 3 months)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Steroid-induced osteoporosis with fracture risk</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medical evaluation and DEXA referral</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3.  Persona Definitions</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Three personas are defined spanning the primary demographic risk groups for osteoporosis in the Indian context.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2"/>
                <w:szCs w:val="22"/>
              </w:rPr>
              <w:t xml:space="preserve">Persona 1 — Kamala, 57  |  The Post-Menopausal Urban Woman</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Homemaker, Coimbatore. Post-menopausal for 5 years. Largely vegetarian — limited dairy intake. Spends most of her time indoors; minimal direct sun exposure. Mild back pain attributed to housework. Family history: mother had a hip fracture at 72. No prior bone density test. Moderately sedentary — no regular exercise programme.</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Prompted by a health awareness post, family concern, or GP suggestion to check her bone health. Moderate digital literacy.</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know whether she should be worried about her bones and whether she needs a test. Possibly unaware of her risk level.</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Likely High. Post-menopausal + vegetarian diet + low sun + family history + sedentary = multiple major FRAX risk factors converging.</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Output must be clear and motivating, not alarming. Calcium and Vitamin D education is the primary actionable lever. DEXA scan recommendation is the primary CTA. Language should validate the importance of checking without catastrophising.</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C" w:val="clear"/>
            <w:tcMar>
              <w:top w:type="dxa" w:w="160"/>
              <w:left w:type="dxa" w:w="240"/>
              <w:bottom w:type="dxa" w:w="160"/>
              <w:right w:type="dxa" w:w="240"/>
            </w:tcMar>
          </w:tcPr>
          <w:p>
            <w:pPr>
              <w:spacing w:before="80" w:after="80"/>
              <w:jc w:val="left"/>
            </w:pPr>
            <w:r>
              <w:rPr>
                <w:rFonts w:ascii="Arial" w:cs="Arial" w:eastAsia="Arial" w:hAnsi="Arial"/>
                <w:b/>
                <w:bCs/>
                <w:color w:val="F39C12"/>
                <w:sz w:val="22"/>
                <w:szCs w:val="22"/>
              </w:rPr>
              <w:t xml:space="preserve">Persona 2 — Dr. Venkat, 64  |  The Long-term Steroid User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Retired physician, Chennai. Has been on oral prednisolone for rheumatoid arthritis management for 4 years. BMI slightly low. Non-smoker, occasional alcohol. Has some awareness of steroid-related bone loss but has not had a DEXA scan. Experiences occasional mid-back ache.</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Self-directed after reading about steroid-induced osteoporosis. High health literacy. Wants data to discuss with his rheumatologist.</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quantify his risk level and use the output to motivate a formal DEXA assessment he has been deferring.</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High. Long-term steroid use is the dominant FRAX secondary cause risk factor, compounded by RA, low BMI, and age.</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Output must be clinically credible (FRAX-inspired framework is relevant here). DEXA referral and specialist discussion are the unambiguous CTAs. Platform should not comment on his medication — only flag the risk signals clearly.</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1"/>
              <w:left w:val="single" w:color="1E8449" w:sz="1"/>
              <w:bottom w:val="single" w:color="1E8449" w:sz="1"/>
              <w:right w:val="single" w:color="1E8449" w:sz="1"/>
            </w:tcBorders>
            <w:shd w:fill="EAFAF1" w:val="clear"/>
            <w:tcMar>
              <w:top w:type="dxa" w:w="160"/>
              <w:left w:type="dxa" w:w="240"/>
              <w:bottom w:type="dxa" w:w="160"/>
              <w:right w:type="dxa" w:w="240"/>
            </w:tcMar>
          </w:tcPr>
          <w:p>
            <w:pPr>
              <w:spacing w:before="80" w:after="80"/>
              <w:jc w:val="left"/>
            </w:pPr>
            <w:r>
              <w:rPr>
                <w:rFonts w:ascii="Arial" w:cs="Arial" w:eastAsia="Arial" w:hAnsi="Arial"/>
                <w:b/>
                <w:bCs/>
                <w:color w:val="1E8449"/>
                <w:sz w:val="22"/>
                <w:szCs w:val="22"/>
              </w:rPr>
              <w:t xml:space="preserve">Persona 3 — Anjali, 38  |  The Preventive Health Seeker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Marketing manager, Mumbai. No symptoms. Family history of osteoporosis (mother, maternal aunt). Lactose intolerant — avoids dairy. Office-based lifestyle with minimal weight-bearing exercise. Uses the Kriya platform proactively to understand her long-term bone health trajectory.</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Proactive health and wellness app user. High digital literacy. Motivated by long-term health optimisation, not fear of current symptoms.</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her baseline risk level and what she can do now to protect her bone health before problems develop.</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Moderate. Family history + dairy avoidance + sedentary office job = meaningful risk accumulation despite young age. Bone density peaks at 30 — she is at or just past peak, making this an ideal intervention window.</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Empowering, optimistic, action-oriented tone. Framed around building bone capital now rather than preventing decline. Route to Kriya Play (weight-bearing exercise games), Kriya Care, and Calcium/Vitamin D education. DEXA not yet needed — route to lifestyle action instead.</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4.  Question Bank Architecture</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4.1  Clinical Validation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Validated Instrument / Framework</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Application in QuickScan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FRAX — WHO Fracture Risk Assessment Tool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12 clinical risk factors adapted into self-report questions; conceptual framework for risk scoring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IOF One-Minute Osteoporosis Risk Test</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11-item binary risk factor checklist — adapted as basis for Layer 1 risk factor battery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OSTA — Osteoporosis Self-Assessment Tool for Asians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Age and body weight-based screening tool validated specifically for Asian populations including Indians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Guidelines — Osteoporosis (CG146)</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factor identification, referral thresholds, and fragility fracture recognition criteria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NOF / IOF Clinical Guidelines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Calcium and Vitamin D sufficiency thresholds; exercise recommendations for bone health</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Garvan Fracture Risk Calculator (lifestyle items)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Lifestyle and fall risk factor items adapted for self-report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ISCD — International Society for Clinical Densitometry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DEXA referral criteria and clinical indication standards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FRAX-Inspired Design — Key Design Principle</w:t>
            </w:r>
          </w:p>
          <w:p>
            <w:pPr>
              <w:spacing w:before="80" w:after="80"/>
              <w:jc w:val="left"/>
            </w:pPr>
            <w:r>
              <w:rPr>
                <w:rFonts w:ascii="Arial" w:cs="Arial" w:eastAsia="Arial" w:hAnsi="Arial"/>
                <w:b w:val="false"/>
                <w:bCs w:val="false"/>
                <w:color w:val="1A1A1A"/>
                <w:sz w:val="20"/>
                <w:szCs w:val="20"/>
              </w:rPr>
              <w:t xml:space="preserve">The FRAX tool's 12 risk factors form the scientific backbone of this QuickScan. The 12 FRAX factors are: age, sex, body weight/BMI, prior fragility fracture, parental hip fracture, current smoking, glucocorticoid (steroid) use, rheumatoid arthritis, secondary osteoporosis causes, alcohol use, and femoral neck BMD. Of these, BMD requires clinical measurement and is excluded from the self-report tool. The remaining 11 are captured through the question bank, with OSTA (Asian-validated age + weight formula) providing an additional calibration layer.</w:t>
            </w:r>
          </w:p>
        </w:tc>
      </w:tr>
    </w:tbl>
    <w:p>
      <w:pPr>
        <w:spacing w:before="120" w:after="120"/>
      </w:pPr>
    </w:p>
    <w:p>
      <w:pPr>
        <w:pStyle w:val="Heading3"/>
        <w:spacing w:before="240" w:after="80"/>
      </w:pPr>
      <w:r>
        <w:rPr>
          <w:rFonts w:ascii="Arial" w:cs="Arial" w:eastAsia="Arial" w:hAnsi="Arial"/>
          <w:b/>
          <w:bCs/>
          <w:color w:val="2C3E50"/>
          <w:sz w:val="22"/>
          <w:szCs w:val="22"/>
        </w:rPr>
        <w:t xml:space="preserve">4.2  Question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Layer</w:t>
            </w:r>
          </w:p>
        </w:tc>
        <w:tc>
          <w:tcPr>
            <w:tcW w:type="dxa" w:w="4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c>
          <w:tcPr>
            <w:tcW w:type="dxa" w:w="24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Question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Fracture Red Flag Screen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fragility fracture and vertebral collapse emergency gate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 mandatory Q (multi-symptom)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Primary Risk Factor Profile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Demographic, hormonal, and medical history risk factors (FRAX-inspired)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questions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Lifestyle &amp; Secondary Risk Factors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Nutrition, sun exposure, exercise, smoking, alcohol, falls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questions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Symptom &amp; Functional Signals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Height loss, posture change, back pain pattern, functional limitation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questions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Architectural Inversion Note</w:t>
            </w:r>
          </w:p>
          <w:p>
            <w:pPr>
              <w:spacing w:before="80" w:after="80"/>
              <w:jc w:val="left"/>
            </w:pPr>
            <w:r>
              <w:rPr>
                <w:rFonts w:ascii="Arial" w:cs="Arial" w:eastAsia="Arial" w:hAnsi="Arial"/>
                <w:b w:val="false"/>
                <w:bCs w:val="false"/>
                <w:color w:val="1A1A1A"/>
                <w:sz w:val="20"/>
                <w:szCs w:val="20"/>
              </w:rPr>
              <w:t xml:space="preserve">This module inverts the standard QuickScan architecture. In location modules, Layers 1–2 captured symptom profile and Layer 3 captured risk modifiers. For Osteoporosis, Layers 1–2 capture risk factors (the primary scoring drivers) and Layer 3 captures symptom and functional signals (secondary scoring inputs). This reflects the clinical reality that osteoporosis is defined by risk factor accumulation, not symptom intensity.</w:t>
            </w:r>
          </w:p>
        </w:tc>
      </w:tr>
    </w:tbl>
    <w:p>
      <w:pPr>
        <w:spacing w:before="120" w:after="120"/>
      </w:pPr>
    </w:p>
    <w:p>
      <w:pPr>
        <w:pStyle w:val="Heading3"/>
        <w:spacing w:before="240" w:after="80"/>
      </w:pPr>
      <w:r>
        <w:rPr>
          <w:rFonts w:ascii="Arial" w:cs="Arial" w:eastAsia="Arial" w:hAnsi="Arial"/>
          <w:b/>
          <w:bCs/>
          <w:color w:val="2C3E50"/>
          <w:sz w:val="22"/>
          <w:szCs w:val="22"/>
        </w:rPr>
        <w:t xml:space="preserve">4.3  Question Bank — Full Specification</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LAYER 0 — Fragility Fracture &amp; Vertebral Red Flag Screen  (Mandatory, Non-scored)</w:t>
            </w:r>
          </w:p>
          <w:p>
            <w:pPr>
              <w:spacing w:before="80" w:after="80"/>
              <w:jc w:val="left"/>
            </w:pPr>
            <w:r>
              <w:rPr>
                <w:rFonts w:ascii="Arial" w:cs="Arial" w:eastAsia="Arial" w:hAnsi="Arial"/>
                <w:i/>
                <w:iCs/>
                <w:color w:val="C0392B"/>
                <w:sz w:val="20"/>
                <w:szCs w:val="20"/>
              </w:rPr>
              <w:t xml:space="preserve">Shown first. Positive response halts the scan and triggers urgent referral. Distinct from location module red flags — focuses on fracture events and acute vertebral signals.</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Q0.1  — Fracture &amp; Vertebral Collapse Screen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"Are you currently experiencing or have you recently experienced any of the following?"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bone fracture that occurred from a minor fall, bump, or impact that would not normally break a bone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Sudden severe back or spine pain that came on without significant injury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noticeably lost height — more than 3 cm shorter than your tallest adult height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significant forward stoop or hunch in your upper back that has developed or worsened recently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Hip pain after a fall, even a minor one, in the past 2 weeks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 or E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Fragility Fracture Emergency Screen (urgent medical evaluation — imaging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B, C or D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Vertebral Fracture Urgent Screen (same-day medical evaluation — spinal imaging required)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F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Layer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CG146 fracture recognition; IOF One-Minute Test Q7 (prior fracture); Garvan height loss item</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1 — Primary Risk Factor Profile  (Scored — FRAX-Inspired)</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Q1.1  — Demographic &amp; Hormonal Risk Profile</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of the following apply to you?" [Multi-select — select all that apply]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a woman who has gone through menopause (natural or surgical) before age 45, or I am currently post-menopausal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a man aged 70 or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a woman aged 55–70 or a man aged 60–70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had both ovaries removed (oophorectomy) at any age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had irregular or absent periods for more than 12 months (excluding pregnancy or menopause)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 apply to 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or D → set HORMONAL_RISK flag; Option B or C → set AGE_RISK flag; combined flags → +1 additional risk modifier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FRAX sex and age factors; IOF One-Minute Test Q1 (menopause &lt; 45); ISCD referral criteria</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Q1.2  — Medical History &amp; Secondary Causes</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ever been diagnosed with or treated for any of the following?"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Rheumatoid arthritis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Long-term steroid (cortisone, prednisolone, or dexamethasone) use — for more than 3 months in your lifetime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Hyperthyroidism (overactive thyroid) or on thyroid hormone medication (thyroxine) for more than 5 years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Type 1 diabetes or insulin-dependent diabetes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Coeliac disease, Crohn's disease, or another condition affecting nutrient absorption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Chronic kidney or liver disease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G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previous diagnosis of osteoporosis or osteopenia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H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 set STEROID_USE flag; +1 additional modifier for steroid &gt; 5 years if asked in follow-up; Option G → adds Prior Diagnosis tag and immediately sets MODERATE RISK floor; Options A–F = secondary osteoporosis causes — each adds to risk profile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FRAX secondary osteoporosis causes; FRAX rheumatoid arthritis factor; FRAX glucocorticoid factor; IOF Q9, Q10, Q11</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Q1.3  — Family History &amp; Prior Fracture</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"Does any of the following apply to you?"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One or both of my parents had a hip fracture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Osteoporosis runs in my family — parent or sibling diagnosed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previously broken a bone from a minor fall or impact (a fragility fracture)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had more than one fracture in adulthood from relatively minor impacts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 Hard floor MODERATE RISK; prior fragility fracture is the single strongest clinical predictor of subsequent fracture — must never score LOW RISK regardless of other factors; Option A → +1 additional modifier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FRAX parental hip fracture factor; FRAX prior fracture factor; IOF Q5 (family history), Q7 (prior fracture)</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2 — Lifestyle &amp; Secondary Risk Factors  (Scored)</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Q2.1  — Nutrition, Sun Exposure &amp; Lifestyle Risks</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of the following apply to your diet and lifestyle?" [Multi-select — select all that apply]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consume little or no dairy products (milk, yoghurt, paneer, cheese) and do not take a calcium supplement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lactose intolerant or vegan and do not actively substitute calcium from non-dairy sources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spend most of my day indoors and get less than 20 minutes of direct sunlight daily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do not take a Vitamin D supplement and have never had my Vitamin D levels checked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a current smoker or have smoked regularly in the past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drink more than 14 units of alcohol per week (approximately 1 large glass of wine or 1 pint of beer = 2 units)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G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Options A + B + C + D together → +1 additional modifier (combined calcium and Vitamin D deficiency risk cluster — highly prevalent in Indian urban population); Option E → FRAX smoking factor applied; Option F → FRAX alcohol factor applied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FRAX smoking and alcohol factors; IOF Q2 (dairy), Q3 (Vitamin D / sun); OSTA lifestyle items; IOF calcium intake assessment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Q2.2  — Physical Activity &amp; Falls Risk</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would you describe your physical activity level and your risk of falling?"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do regular weight-bearing exercise (walking, running, dancing, strength training) at least 3 times per week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moderately active — some walking or light activity but no structured exercise programme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largely sedentary — minimal daily physical activity beyond household tasks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had one or more falls in the past 12 months — even if no injury resulted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feel unsteady on my feet, have poor balance, or use a walking aid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 +1 modifier; Options D or E → set FALLS_RISK flag; FALLS_RISK + HIGH RISK tier → output must include falls prevention CTA prominently; Options D/E with age &gt; 60 → adds critical falls prevention note to all output tiers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Garvan falls risk items; FRAX exercise factor (indirect); NOF exercise guidelines for bone health; IOF Q6 (falls)</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3 — Symptom &amp; Functional Signals  (Scored — Secondary Weight)</w:t>
            </w:r>
          </w:p>
          <w:p>
            <w:pPr>
              <w:spacing w:before="80" w:after="80"/>
              <w:jc w:val="left"/>
            </w:pPr>
            <w:r>
              <w:rPr>
                <w:rFonts w:ascii="Arial" w:cs="Arial" w:eastAsia="Arial" w:hAnsi="Arial"/>
                <w:i/>
                <w:iCs/>
                <w:color w:val="7F8C8D"/>
                <w:sz w:val="20"/>
                <w:szCs w:val="20"/>
              </w:rPr>
              <w:t xml:space="preserve">For osteoporosis, these questions serve as corroborating signals rather than primary scoring drivers. Their weight is approximately 30% of total score vs 70% from risk factor layers.</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Q3.1  — Height Loss &amp; Postural Change</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noticed any of the following changes in your body over the past few years?"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appear to have lost height — family or friends have commented, or I have noticed when measured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developed a noticeable forward stoop or rounded upper back (kyphosis) that was not there before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clothes seem to fit differently around the torso — waist appears shorter or clothes bunch around the middle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or B → Hard floor MODERATE RISK; height loss / kyphosis = strong vertebral compression fracture signal — requires investigation regardless of risk factor score; adds Height Loss / Postural Change tag to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IOF One-Minute Test Q8 (stooped posture), Q9 (height loss); NICE CG146 vertebral fracture recognition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Q3.2  — Body Build &amp; Current Back or Hip Pain Context</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of the following best describes your body build and any current symptoms?"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a small or slim body frame and have always been on the lighter side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lost significant weight (more than 10% of body weight) in the past 2 years without trying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currently have back pain that is worse when I am upright and better when I lie 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persistent mid-back or thoracic spine pain that has not been explained by a muscle or disc condition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 low BMI signal (OSTA and FRAX weight factor); Option B → unexplained weight loss adds malignancy flag — output to recommend medical review for weight loss in addition to bone health; Option C or D → vertebral fracture symptom pattern — adds Vertebral Symptom tag to output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FRAX body weight factor; OSTA (age + weight formula); IOF Q4 (underweight); NICE vertebral fracture pain pattern recognition</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5.  Risk Stratification Matrix</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5.1  Scoring Architecture</w:t>
      </w:r>
    </w:p>
    <w:p>
      <w:pPr>
        <w:spacing w:before="80" w:after="80"/>
        <w:jc w:val="left"/>
      </w:pPr>
      <w:r>
        <w:rPr>
          <w:rFonts w:ascii="Arial" w:cs="Arial" w:eastAsia="Arial" w:hAnsi="Arial"/>
          <w:b w:val="false"/>
          <w:bCs w:val="false"/>
          <w:color w:val="1A1A1A"/>
          <w:sz w:val="22"/>
          <w:szCs w:val="22"/>
        </w:rPr>
        <w:t xml:space="preserve">The Osteoporosis QuickScan scoring engine weights risk factors (Layers 1–2) more heavily than symptom signals (Layer 3), reflecting the clinical reality that bone health risk is determined by accumulation of biological, medical, and lifestyle factors, not by symptom severity.</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Component</w:t>
            </w:r>
          </w:p>
        </w:tc>
        <w:tc>
          <w:tcPr>
            <w:tcW w:type="dxa" w:w="4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Max Points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Red Flag Screen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Non-scored gate</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Q1.1 Demographic &amp; Hormonal Risk</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pts (+ 1 modifier for combined flags)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Q1.2 Medical History &amp; Secondary Causes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8 pts (multi-select)</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Q1.3 Family History &amp; Prior Fracture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5 pts (multi-select)</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Q2.1 Nutrition, Sun &amp; Lifestyle Risks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7 pts (multi-select)</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Q2.2 Physical Activity &amp; Falls Risk</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4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Q3.1 Height Loss &amp; Postural Change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4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Q3.2 Body Build &amp; Back/Hip Pain</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4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TOTAL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~35 possible (risk factor-dominant model)</w:t>
            </w:r>
          </w:p>
        </w:tc>
      </w:tr>
    </w:tbl>
    <w:p>
      <w:pPr>
        <w:spacing w:before="120" w:after="120"/>
      </w:pPr>
    </w:p>
    <w:p>
      <w:pPr>
        <w:pStyle w:val="Heading3"/>
        <w:spacing w:before="240" w:after="80"/>
      </w:pPr>
      <w:r>
        <w:rPr>
          <w:rFonts w:ascii="Arial" w:cs="Arial" w:eastAsia="Arial" w:hAnsi="Arial"/>
          <w:b/>
          <w:bCs/>
          <w:color w:val="2C3E50"/>
          <w:sz w:val="22"/>
          <w:szCs w:val="22"/>
        </w:rPr>
        <w:t xml:space="preserve">5.2  Risk Tier Definitions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Risk Tier</w:t>
            </w:r>
          </w:p>
        </w:tc>
        <w:tc>
          <w:tcPr>
            <w:tcW w:type="dxa" w:w="1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Range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 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Few or no risk factors present. Likely adequate bone health for age. Focus on maintaining bone-protective lifestyle — calcium, Vitamin D, weight-bearing exercise. No DEXA scan currently indicated unless clinical decision made by physician. Re-scan recommended in 12 months or at next life-stage transition (e.g., menopause).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7 – 14</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Meaningful accumulation of risk factors. Likely subclinical bone density reduction. DEXA scan discussion with physician strongly recommended. Lifestyle optimisation interventions are clinically impactful at this stage. May benefit from clinical assessment of calcium and Vitamin D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15+  OR  any hard flag*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High risk factor burden. Clinical investigation strongly indicated — DEXA scan, Vitamin D and calcium blood levels, and specialist assessment recommended without delay. If hard flags present (prior fragility fracture, height loss, vertebral symptoms), urgent clinical evaluation required.</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Hard Flag Rules  (*)</w:t>
            </w:r>
          </w:p>
          <w:p>
            <w:pPr>
              <w:pStyle w:val="ListParagraph"/>
              <w:numPr>
                <w:ilvl w:val="0"/>
                <w:numId w:val="2"/>
              </w:numPr>
              <w:spacing w:before="60" w:after="60"/>
            </w:pPr>
            <w:r>
              <w:rPr>
                <w:rFonts w:ascii="Arial" w:cs="Arial" w:eastAsia="Arial" w:hAnsi="Arial"/>
                <w:b/>
                <w:bCs/>
                <w:color w:val="1A1A1A"/>
                <w:sz w:val="22"/>
                <w:szCs w:val="22"/>
              </w:rPr>
              <w:t xml:space="preserve">Q1.3 Option C (prior fragility fracture)</w:t>
            </w:r>
            <w:r>
              <w:rPr>
                <w:rFonts w:ascii="Arial" w:cs="Arial" w:eastAsia="Arial" w:hAnsi="Arial"/>
                <w:b w:val="false"/>
                <w:bCs w:val="false"/>
                <w:color w:val="1A1A1A"/>
                <w:sz w:val="20"/>
                <w:szCs w:val="20"/>
              </w:rPr>
              <w:t xml:space="preserve"> → hard floor MODERATE RISK — highest single clinical predictor</w:t>
            </w:r>
          </w:p>
          <w:p>
            <w:pPr>
              <w:pStyle w:val="ListParagraph"/>
              <w:numPr>
                <w:ilvl w:val="0"/>
                <w:numId w:val="2"/>
              </w:numPr>
              <w:spacing w:before="60" w:after="60"/>
            </w:pPr>
            <w:r>
              <w:rPr>
                <w:rFonts w:ascii="Arial" w:cs="Arial" w:eastAsia="Arial" w:hAnsi="Arial"/>
                <w:b/>
                <w:bCs/>
                <w:color w:val="1A1A1A"/>
                <w:sz w:val="22"/>
                <w:szCs w:val="22"/>
              </w:rPr>
              <w:t xml:space="preserve">Q3.1 Option A or B (height loss or kyphosis)</w:t>
            </w:r>
            <w:r>
              <w:rPr>
                <w:rFonts w:ascii="Arial" w:cs="Arial" w:eastAsia="Arial" w:hAnsi="Arial"/>
                <w:b w:val="false"/>
                <w:bCs w:val="false"/>
                <w:color w:val="1A1A1A"/>
                <w:sz w:val="20"/>
                <w:szCs w:val="20"/>
              </w:rPr>
              <w:t xml:space="preserve"> → hard floor MODERATE RISK — vertebral compression signal</w:t>
            </w:r>
          </w:p>
          <w:p>
            <w:pPr>
              <w:pStyle w:val="ListParagraph"/>
              <w:numPr>
                <w:ilvl w:val="0"/>
                <w:numId w:val="2"/>
              </w:numPr>
              <w:spacing w:before="60" w:after="60"/>
            </w:pPr>
            <w:r>
              <w:rPr>
                <w:rFonts w:ascii="Arial" w:cs="Arial" w:eastAsia="Arial" w:hAnsi="Arial"/>
                <w:b/>
                <w:bCs/>
                <w:color w:val="1A1A1A"/>
                <w:sz w:val="22"/>
                <w:szCs w:val="22"/>
              </w:rPr>
              <w:t xml:space="preserve">Q1.2 Option B (long-term steroid use)  +  Q1.1 Option A or B (post-menopausal or elderly male)</w:t>
            </w:r>
            <w:r>
              <w:rPr>
                <w:rFonts w:ascii="Arial" w:cs="Arial" w:eastAsia="Arial" w:hAnsi="Arial"/>
                <w:b w:val="false"/>
                <w:bCs w:val="false"/>
                <w:color w:val="1A1A1A"/>
                <w:sz w:val="20"/>
                <w:szCs w:val="20"/>
              </w:rPr>
              <w:t xml:space="preserve"> → hard floor HIGH RISK</w:t>
            </w:r>
          </w:p>
          <w:p>
            <w:pPr>
              <w:pStyle w:val="ListParagraph"/>
              <w:numPr>
                <w:ilvl w:val="0"/>
                <w:numId w:val="2"/>
              </w:numPr>
              <w:spacing w:before="60" w:after="60"/>
            </w:pPr>
            <w:r>
              <w:rPr>
                <w:rFonts w:ascii="Arial" w:cs="Arial" w:eastAsia="Arial" w:hAnsi="Arial"/>
                <w:b/>
                <w:bCs/>
                <w:color w:val="1A1A1A"/>
                <w:sz w:val="22"/>
                <w:szCs w:val="22"/>
              </w:rPr>
              <w:t xml:space="preserve">Q3.2 Option B (unexplained weight loss)</w:t>
            </w:r>
            <w:r>
              <w:rPr>
                <w:rFonts w:ascii="Arial" w:cs="Arial" w:eastAsia="Arial" w:hAnsi="Arial"/>
                <w:b w:val="false"/>
                <w:bCs w:val="false"/>
                <w:color w:val="1A1A1A"/>
                <w:sz w:val="20"/>
                <w:szCs w:val="20"/>
              </w:rPr>
              <w:t xml:space="preserve"> → adds malignancy flag; DEXA + general medical review both recommended in output</w:t>
            </w:r>
          </w:p>
          <w:p>
            <w:pPr>
              <w:pStyle w:val="ListParagraph"/>
              <w:numPr>
                <w:ilvl w:val="0"/>
                <w:numId w:val="2"/>
              </w:numPr>
              <w:spacing w:before="60" w:after="60"/>
            </w:pPr>
            <w:r>
              <w:rPr>
                <w:rFonts w:ascii="Arial" w:cs="Arial" w:eastAsia="Arial" w:hAnsi="Arial"/>
                <w:b/>
                <w:bCs/>
                <w:color w:val="1A1A1A"/>
                <w:sz w:val="22"/>
                <w:szCs w:val="22"/>
              </w:rPr>
              <w:t xml:space="preserve">FALLS_RISK flag  +  any MODERATE or HIGH score</w:t>
            </w:r>
            <w:r>
              <w:rPr>
                <w:rFonts w:ascii="Arial" w:cs="Arial" w:eastAsia="Arial" w:hAnsi="Arial"/>
                <w:b w:val="false"/>
                <w:bCs w:val="false"/>
                <w:color w:val="1A1A1A"/>
                <w:sz w:val="20"/>
                <w:szCs w:val="20"/>
              </w:rPr>
              <w:t xml:space="preserve"> → falls prevention component mandatory in all output and routing</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6.  Severity Routing Engine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Osteoporosis routing is unique in the series because the primary clinical action — a DEXA scan — is external to the Kriya product ecosystem. The routing engine must therefore balance between internal product engagement (Kriya Play, Kriya Care) and external clinical referral (DEXA, specialist) in a way that feels coherent and not self-serving. The DEXA recommendation must always lead at HIGH RISK, not compete with it.</w:t>
      </w:r>
    </w:p>
    <w:p>
      <w:pPr>
        <w:spacing w:before="120" w:after="120"/>
      </w:pPr>
    </w:p>
    <w:p>
      <w:pPr>
        <w:pStyle w:val="Heading3"/>
        <w:spacing w:before="240" w:after="80"/>
      </w:pPr>
      <w:r>
        <w:rPr>
          <w:rFonts w:ascii="Arial" w:cs="Arial" w:eastAsia="Arial" w:hAnsi="Arial"/>
          <w:b/>
          <w:bCs/>
          <w:color w:val="2C3E50"/>
          <w:sz w:val="22"/>
          <w:szCs w:val="22"/>
        </w:rPr>
        <w:t xml:space="preserve">6.1  Routing Logic Overview</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Tier</w:t>
            </w:r>
          </w:p>
        </w:tc>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w:t>
            </w:r>
          </w:p>
        </w:tc>
        <w:tc>
          <w:tcPr>
            <w:tcW w:type="dxa" w:w="2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Primary Route</w:t>
            </w:r>
          </w:p>
        </w:tc>
        <w:tc>
          <w:tcPr>
            <w:tcW w:type="dxa" w:w="2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Secondary Route</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22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0–6</w:t>
            </w:r>
          </w:p>
        </w:tc>
        <w:tc>
          <w:tcPr>
            <w:tcW w:type="dxa" w:w="2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Play — Muscle Age &amp; Muscle Memory (weight-bearing activity focus)</w:t>
            </w:r>
          </w:p>
        </w:tc>
        <w:tc>
          <w:tcPr>
            <w:tcW w:type="dxa" w:w="25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Calcium &amp; Vitamin D education card; re-scan in 12 months</w:t>
            </w:r>
          </w:p>
        </w:tc>
      </w:tr>
      <w:tr>
        <w:tc>
          <w:tcPr>
            <w:tcW w:type="dxa" w:w="20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22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7–14</w:t>
            </w:r>
          </w:p>
        </w:tc>
        <w:tc>
          <w:tcPr>
            <w:tcW w:type="dxa" w:w="26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 Bone Health programme (exercise + lifestyle) + DEXA scan discussion prompt</w:t>
            </w:r>
          </w:p>
        </w:tc>
        <w:tc>
          <w:tcPr>
            <w:tcW w:type="dxa" w:w="256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for bone health Q&amp;A + DeepScan invitation</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22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15+ or Hard Flag</w:t>
            </w:r>
          </w:p>
        </w:tc>
        <w:tc>
          <w:tcPr>
            <w:tcW w:type="dxa" w:w="2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DEXA scan referral (primary CTA) + Kriya Care — Bone Health programme</w:t>
            </w:r>
          </w:p>
        </w:tc>
        <w:tc>
          <w:tcPr>
            <w:tcW w:type="dxa" w:w="2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Specialist referral (physician / endocrinologist / rheumatologist) + Myo AI</w:t>
            </w:r>
          </w:p>
        </w:tc>
      </w:tr>
      <w:tr>
        <w:tc>
          <w:tcPr>
            <w:tcW w:type="dxa" w:w="20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RED FLAG</w:t>
            </w:r>
          </w:p>
        </w:tc>
        <w:tc>
          <w:tcPr>
            <w:tcW w:type="dxa" w:w="22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positive</w:t>
            </w:r>
          </w:p>
        </w:tc>
        <w:tc>
          <w:tcPr>
            <w:tcW w:type="dxa" w:w="26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Fragility Fracture Emergency Screen</w:t>
            </w:r>
            <w:r>
              <w:rPr>
                <w:rFonts w:ascii="Arial" w:cs="Arial" w:eastAsia="Arial" w:hAnsi="Arial"/>
                <w:b w:val="false"/>
                <w:bCs w:val="false"/>
                <w:color w:val="1A1A1A"/>
                <w:sz w:val="20"/>
                <w:szCs w:val="20"/>
              </w:rPr>
              <w:t xml:space="preserve"> — scan halted; urgent or emergency medical evaluation</w:t>
            </w:r>
          </w:p>
        </w:tc>
        <w:tc>
          <w:tcPr>
            <w:tcW w:type="dxa" w:w="256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screen variants: Fragility Fracture Emergency + Vertebral Fracture Urgent</w:t>
            </w:r>
          </w:p>
        </w:tc>
      </w:tr>
    </w:tbl>
    <w:p>
      <w:pPr>
        <w:spacing w:before="120" w:after="120"/>
      </w:pPr>
    </w:p>
    <w:p>
      <w:pPr>
        <w:pStyle w:val="Heading3"/>
        <w:spacing w:before="240" w:after="80"/>
      </w:pPr>
      <w:r>
        <w:rPr>
          <w:rFonts w:ascii="Arial" w:cs="Arial" w:eastAsia="Arial" w:hAnsi="Arial"/>
          <w:b/>
          <w:bCs/>
          <w:color w:val="2C3E50"/>
          <w:sz w:val="22"/>
          <w:szCs w:val="22"/>
        </w:rPr>
        <w:t xml:space="preserve">6.2  DEXA Scan Referral — Design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DEXA Referral Output Language — Critical Design Requirements</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MODERATE RISK — DEXA Discussion Prompt:</w:t>
            </w:r>
            <w:r>
              <w:rPr>
                <w:rFonts w:ascii="Arial" w:cs="Arial" w:eastAsia="Arial" w:hAnsi="Arial"/>
                <w:b w:val="false"/>
                <w:bCs w:val="false"/>
                <w:color w:val="1A1A1A"/>
                <w:sz w:val="20"/>
                <w:szCs w:val="20"/>
              </w:rPr>
              <w:t xml:space="preserve">  "Based on your risk signal profile, it would be worth discussing a bone density scan (DEXA) with your doctor. This is a simple, painless scan that gives a definitive picture of your bone health. Your GP can advise whether it is indicated for you."</w:t>
            </w:r>
          </w:p>
          <w:p>
            <w:pPr>
              <w:pStyle w:val="ListParagraph"/>
              <w:numPr>
                <w:ilvl w:val="0"/>
                <w:numId w:val="2"/>
              </w:numPr>
              <w:spacing w:before="60" w:after="60"/>
            </w:pPr>
            <w:r>
              <w:rPr>
                <w:rFonts w:ascii="Arial" w:cs="Arial" w:eastAsia="Arial" w:hAnsi="Arial"/>
                <w:b/>
                <w:bCs/>
                <w:color w:val="1A1A1A"/>
                <w:sz w:val="22"/>
                <w:szCs w:val="22"/>
              </w:rPr>
              <w:t xml:space="preserve">HIGH RISK — DEXA Referral CTA:</w:t>
            </w:r>
            <w:r>
              <w:rPr>
                <w:rFonts w:ascii="Arial" w:cs="Arial" w:eastAsia="Arial" w:hAnsi="Arial"/>
                <w:b w:val="false"/>
                <w:bCs w:val="false"/>
                <w:color w:val="1A1A1A"/>
                <w:sz w:val="20"/>
                <w:szCs w:val="20"/>
              </w:rPr>
              <w:t xml:space="preserve">  "Your risk factor profile indicates that a bone density scan (DEXA) is strongly recommended. Please speak to your doctor about arranging this — it is the only way to know your actual bone density and plan appropriate care."</w:t>
            </w:r>
          </w:p>
          <w:p>
            <w:pPr>
              <w:pStyle w:val="ListParagraph"/>
              <w:numPr>
                <w:ilvl w:val="0"/>
                <w:numId w:val="2"/>
              </w:numPr>
              <w:spacing w:before="60" w:after="60"/>
            </w:pPr>
            <w:r>
              <w:rPr>
                <w:rFonts w:ascii="Arial" w:cs="Arial" w:eastAsia="Arial" w:hAnsi="Arial"/>
                <w:b/>
                <w:bCs/>
                <w:color w:val="1A1A1A"/>
                <w:sz w:val="22"/>
                <w:szCs w:val="22"/>
              </w:rPr>
              <w:t xml:space="preserve">Never prescribe treatment:</w:t>
            </w:r>
            <w:r>
              <w:rPr>
                <w:rFonts w:ascii="Arial" w:cs="Arial" w:eastAsia="Arial" w:hAnsi="Arial"/>
                <w:b w:val="false"/>
                <w:bCs w:val="false"/>
                <w:color w:val="1A1A1A"/>
                <w:sz w:val="20"/>
                <w:szCs w:val="20"/>
              </w:rPr>
              <w:t xml:space="preserve">  Output must never mention bisphosphonates, HRT, or any other osteoporosis treatment by name. Route to specialist for treatment decisions.</w:t>
            </w:r>
          </w:p>
          <w:p>
            <w:pPr>
              <w:pStyle w:val="ListParagraph"/>
              <w:numPr>
                <w:ilvl w:val="0"/>
                <w:numId w:val="2"/>
              </w:numPr>
              <w:spacing w:before="60" w:after="60"/>
            </w:pPr>
            <w:r>
              <w:rPr>
                <w:rFonts w:ascii="Arial" w:cs="Arial" w:eastAsia="Arial" w:hAnsi="Arial"/>
                <w:b/>
                <w:bCs/>
                <w:color w:val="1A1A1A"/>
                <w:sz w:val="22"/>
                <w:szCs w:val="22"/>
              </w:rPr>
              <w:t xml:space="preserve">DEXA availability in India:</w:t>
            </w:r>
            <w:r>
              <w:rPr>
                <w:rFonts w:ascii="Arial" w:cs="Arial" w:eastAsia="Arial" w:hAnsi="Arial"/>
                <w:b w:val="false"/>
                <w:bCs w:val="false"/>
                <w:color w:val="1A1A1A"/>
                <w:sz w:val="20"/>
                <w:szCs w:val="20"/>
              </w:rPr>
              <w:t xml:space="preserve">  Output to acknowledge that DEXA scans are available at most tertiary hospitals, major diagnostic centres, and many urban clinics. A helpful locator or partner network integration is a v1.1 enhancement opportunity.</w:t>
            </w:r>
          </w:p>
        </w:tc>
      </w:tr>
    </w:tbl>
    <w:p>
      <w:pPr>
        <w:spacing w:before="120" w:after="120"/>
      </w:pPr>
    </w:p>
    <w:p>
      <w:pPr>
        <w:pStyle w:val="Heading3"/>
        <w:spacing w:before="240" w:after="80"/>
      </w:pPr>
      <w:r>
        <w:rPr>
          <w:rFonts w:ascii="Arial" w:cs="Arial" w:eastAsia="Arial" w:hAnsi="Arial"/>
          <w:b/>
          <w:bCs/>
          <w:color w:val="2C3E50"/>
          <w:sz w:val="22"/>
          <w:szCs w:val="22"/>
        </w:rPr>
        <w:t xml:space="preserve">6.3  Falls Prevention Routing (FALLS_RISK Flag)</w:t>
      </w:r>
    </w:p>
    <w:p>
      <w:pPr>
        <w:pStyle w:val="ListParagraph"/>
        <w:numPr>
          <w:ilvl w:val="0"/>
          <w:numId w:val="2"/>
        </w:numPr>
        <w:spacing w:before="60" w:after="60"/>
      </w:pPr>
      <w:r>
        <w:rPr>
          <w:rFonts w:ascii="Arial" w:cs="Arial" w:eastAsia="Arial" w:hAnsi="Arial"/>
          <w:b/>
          <w:bCs/>
          <w:color w:val="1A1A1A"/>
          <w:sz w:val="22"/>
          <w:szCs w:val="22"/>
        </w:rPr>
        <w:t xml:space="preserve">If FALLS_RISK flag is set at any risk tier:</w:t>
      </w:r>
      <w:r>
        <w:rPr>
          <w:rFonts w:ascii="Arial" w:cs="Arial" w:eastAsia="Arial" w:hAnsi="Arial"/>
          <w:b w:val="false"/>
          <w:bCs w:val="false"/>
          <w:color w:val="1A1A1A"/>
          <w:sz w:val="22"/>
          <w:szCs w:val="22"/>
        </w:rPr>
        <w:t xml:space="preserve">  A falls prevention card is added to the output — "Bone strength and fall prevention work together. Strong muscles and good balance significantly reduce your fracture risk."</w:t>
      </w:r>
    </w:p>
    <w:p>
      <w:pPr>
        <w:pStyle w:val="ListParagraph"/>
        <w:numPr>
          <w:ilvl w:val="0"/>
          <w:numId w:val="2"/>
        </w:numPr>
        <w:spacing w:before="60" w:after="60"/>
      </w:pPr>
      <w:r>
        <w:rPr>
          <w:rFonts w:ascii="Arial" w:cs="Arial" w:eastAsia="Arial" w:hAnsi="Arial"/>
          <w:b/>
          <w:bCs/>
          <w:color w:val="1A1A1A"/>
          <w:sz w:val="22"/>
          <w:szCs w:val="22"/>
        </w:rPr>
        <w:t xml:space="preserve">CTA — falls prevention:</w:t>
      </w:r>
      <w:r>
        <w:rPr>
          <w:rFonts w:ascii="Arial" w:cs="Arial" w:eastAsia="Arial" w:hAnsi="Arial"/>
          <w:b w:val="false"/>
          <w:bCs w:val="false"/>
          <w:color w:val="1A1A1A"/>
          <w:sz w:val="22"/>
          <w:szCs w:val="22"/>
        </w:rPr>
        <w:t xml:space="preserve">  Deep link to Kriya Play Balance module (single-leg stance, coordination games) — the most directly relevant Kriya Play feature for osteoporosis risk reduction</w:t>
      </w:r>
    </w:p>
    <w:p>
      <w:pPr>
        <w:pStyle w:val="ListParagraph"/>
        <w:numPr>
          <w:ilvl w:val="0"/>
          <w:numId w:val="2"/>
        </w:numPr>
        <w:spacing w:before="60" w:after="60"/>
      </w:pPr>
      <w:r>
        <w:rPr>
          <w:rFonts w:ascii="Arial" w:cs="Arial" w:eastAsia="Arial" w:hAnsi="Arial"/>
          <w:b/>
          <w:bCs/>
          <w:color w:val="1A1A1A"/>
          <w:sz w:val="22"/>
          <w:szCs w:val="22"/>
        </w:rPr>
        <w:t xml:space="preserve">For HIGH RISK + FALLS_RISK:</w:t>
      </w:r>
      <w:r>
        <w:rPr>
          <w:rFonts w:ascii="Arial" w:cs="Arial" w:eastAsia="Arial" w:hAnsi="Arial"/>
          <w:b w:val="false"/>
          <w:bCs w:val="false"/>
          <w:color w:val="1A1A1A"/>
          <w:sz w:val="22"/>
          <w:szCs w:val="22"/>
        </w:rPr>
        <w:t xml:space="preserve">  Output includes: "A physiotherapy or occupational therapy assessment for fall prevention is as important as your DEXA scan — please discuss both with your doctor."</w:t>
      </w:r>
    </w:p>
    <w:p>
      <w:pPr>
        <w:spacing w:before="120" w:after="120"/>
      </w:pPr>
    </w:p>
    <w:p>
      <w:pPr>
        <w:pStyle w:val="Heading3"/>
        <w:spacing w:before="240" w:after="80"/>
      </w:pPr>
      <w:r>
        <w:rPr>
          <w:rFonts w:ascii="Arial" w:cs="Arial" w:eastAsia="Arial" w:hAnsi="Arial"/>
          <w:b/>
          <w:bCs/>
          <w:color w:val="2C3E50"/>
          <w:sz w:val="22"/>
          <w:szCs w:val="22"/>
        </w:rPr>
        <w:t xml:space="preserve">6.4  Cross-Scan Recommendations</w:t>
      </w:r>
    </w:p>
    <w:p>
      <w:pPr>
        <w:pStyle w:val="ListParagraph"/>
        <w:numPr>
          <w:ilvl w:val="0"/>
          <w:numId w:val="2"/>
        </w:numPr>
        <w:spacing w:before="60" w:after="60"/>
      </w:pPr>
      <w:r>
        <w:rPr>
          <w:rFonts w:ascii="Arial" w:cs="Arial" w:eastAsia="Arial" w:hAnsi="Arial"/>
          <w:b/>
          <w:bCs/>
          <w:color w:val="1A1A1A"/>
          <w:sz w:val="22"/>
          <w:szCs w:val="22"/>
        </w:rPr>
        <w:t xml:space="preserve">Recommend Low Back Pain QuickScan:</w:t>
      </w:r>
      <w:r>
        <w:rPr>
          <w:rFonts w:ascii="Arial" w:cs="Arial" w:eastAsia="Arial" w:hAnsi="Arial"/>
          <w:b w:val="false"/>
          <w:bCs w:val="false"/>
          <w:color w:val="1A1A1A"/>
          <w:sz w:val="22"/>
          <w:szCs w:val="22"/>
        </w:rPr>
        <w:t xml:space="preserve">  If Q3.2 Options C or D (back pain pattern suggesting vertebral involvement) — "Your back pain pattern is worth assessing — complete the Low Back Pain QuickScan for a fuller picture."</w:t>
      </w:r>
    </w:p>
    <w:p>
      <w:pPr>
        <w:pStyle w:val="ListParagraph"/>
        <w:numPr>
          <w:ilvl w:val="0"/>
          <w:numId w:val="2"/>
        </w:numPr>
        <w:spacing w:before="60" w:after="60"/>
      </w:pPr>
      <w:r>
        <w:rPr>
          <w:rFonts w:ascii="Arial" w:cs="Arial" w:eastAsia="Arial" w:hAnsi="Arial"/>
          <w:b/>
          <w:bCs/>
          <w:color w:val="1A1A1A"/>
          <w:sz w:val="22"/>
          <w:szCs w:val="22"/>
        </w:rPr>
        <w:t xml:space="preserve">Recommend Heel &amp; Foot QuickScan:</w:t>
      </w:r>
      <w:r>
        <w:rPr>
          <w:rFonts w:ascii="Arial" w:cs="Arial" w:eastAsia="Arial" w:hAnsi="Arial"/>
          <w:b w:val="false"/>
          <w:bCs w:val="false"/>
          <w:color w:val="1A1A1A"/>
          <w:sz w:val="22"/>
          <w:szCs w:val="22"/>
        </w:rPr>
        <w:t xml:space="preserve">  If FALLS_RISK flag — "Your balance and foot stability also affect your fracture risk. Complete the Heel &amp; Foot Pain QuickScan to assess your foundation."</w:t>
      </w:r>
    </w:p>
    <w:p>
      <w:pPr>
        <w:pStyle w:val="ListParagraph"/>
        <w:numPr>
          <w:ilvl w:val="0"/>
          <w:numId w:val="2"/>
        </w:numPr>
        <w:spacing w:before="60" w:after="60"/>
      </w:pPr>
      <w:r>
        <w:rPr>
          <w:rFonts w:ascii="Arial" w:cs="Arial" w:eastAsia="Arial" w:hAnsi="Arial"/>
          <w:b/>
          <w:bCs/>
          <w:color w:val="1A1A1A"/>
          <w:sz w:val="22"/>
          <w:szCs w:val="22"/>
        </w:rPr>
        <w:t xml:space="preserve">Receive input from Neck / Low Back QuickScans:</w:t>
      </w:r>
      <w:r>
        <w:rPr>
          <w:rFonts w:ascii="Arial" w:cs="Arial" w:eastAsia="Arial" w:hAnsi="Arial"/>
          <w:b w:val="false"/>
          <w:bCs w:val="false"/>
          <w:color w:val="1A1A1A"/>
          <w:sz w:val="22"/>
          <w:szCs w:val="22"/>
        </w:rPr>
        <w:t xml:space="preserve">  If user completed Neck or Low Back Pain QuickScan and was flagged for age-related degenerative changes or height loss — Osteoporosis scan should be pre-recommended as a companion assessment.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7.  Output Design Specification</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7.1  Results Screen Architecture</w:t>
      </w:r>
    </w:p>
    <w:p>
      <w:pPr>
        <w:spacing w:before="80" w:after="80"/>
        <w:jc w:val="left"/>
      </w:pPr>
      <w:r>
        <w:rPr>
          <w:rFonts w:ascii="Arial" w:cs="Arial" w:eastAsia="Arial" w:hAnsi="Arial"/>
          <w:b w:val="false"/>
          <w:bCs w:val="false"/>
          <w:color w:val="1A1A1A"/>
          <w:sz w:val="22"/>
          <w:szCs w:val="22"/>
        </w:rPr>
        <w:t xml:space="preserve">The Osteoporosis results screen has a different visual emphasis from location modules — the risk arc is supplemented by a </w:t>
      </w:r>
      <w:r>
        <w:rPr>
          <w:rFonts w:ascii="Arial" w:cs="Arial" w:eastAsia="Arial" w:hAnsi="Arial"/>
          <w:b/>
          <w:bCs/>
          <w:color w:val="1A1A1A"/>
          <w:sz w:val="22"/>
          <w:szCs w:val="22"/>
        </w:rPr>
        <w:t xml:space="preserve">Risk Factor Summary</w:t>
      </w:r>
      <w:r>
        <w:rPr>
          <w:rFonts w:ascii="Arial" w:cs="Arial" w:eastAsia="Arial" w:hAnsi="Arial"/>
          <w:b w:val="false"/>
          <w:bCs w:val="false"/>
          <w:color w:val="1A1A1A"/>
          <w:sz w:val="22"/>
          <w:szCs w:val="22"/>
        </w:rPr>
        <w:t xml:space="preserve"> panel that lists the user's identified risk factors in plain language, making the basis for the risk signal transparent and credible.</w:t>
      </w:r>
    </w:p>
    <w:p>
      <w:pPr>
        <w:spacing w:before="80" w:after="120"/>
      </w:pPr>
    </w:p>
    <w:p>
      <w:pPr>
        <w:pStyle w:val="ListParagraph"/>
        <w:numPr>
          <w:ilvl w:val="0"/>
          <w:numId w:val="3"/>
        </w:numPr>
        <w:spacing w:before="60" w:after="60"/>
      </w:pPr>
      <w:r>
        <w:rPr>
          <w:rFonts w:ascii="Arial" w:cs="Arial" w:eastAsia="Arial" w:hAnsi="Arial"/>
          <w:b/>
          <w:bCs/>
          <w:color w:val="1A1A1A"/>
          <w:sz w:val="22"/>
          <w:szCs w:val="22"/>
        </w:rPr>
        <w:t xml:space="preserve">Bone Health Risk Signal Header</w:t>
      </w:r>
      <w:r>
        <w:rPr>
          <w:rFonts w:ascii="Arial" w:cs="Arial" w:eastAsia="Arial" w:hAnsi="Arial"/>
          <w:b w:val="false"/>
          <w:bCs w:val="false"/>
          <w:color w:val="1A1A1A"/>
          <w:sz w:val="22"/>
          <w:szCs w:val="22"/>
        </w:rPr>
        <w:t xml:space="preserve"> — Tier + colour arc + label: "Your Bone Health Risk Signal"</w:t>
      </w:r>
    </w:p>
    <w:p>
      <w:pPr>
        <w:pStyle w:val="ListParagraph"/>
        <w:numPr>
          <w:ilvl w:val="0"/>
          <w:numId w:val="3"/>
        </w:numPr>
        <w:spacing w:before="60" w:after="60"/>
      </w:pPr>
      <w:r>
        <w:rPr>
          <w:rFonts w:ascii="Arial" w:cs="Arial" w:eastAsia="Arial" w:hAnsi="Arial"/>
          <w:b/>
          <w:bCs/>
          <w:color w:val="1A1A1A"/>
          <w:sz w:val="22"/>
          <w:szCs w:val="22"/>
        </w:rPr>
        <w:t xml:space="preserve">Disclaimer Strip</w:t>
      </w:r>
      <w:r>
        <w:rPr>
          <w:rFonts w:ascii="Arial" w:cs="Arial" w:eastAsia="Arial" w:hAnsi="Arial"/>
          <w:b w:val="false"/>
          <w:bCs w:val="false"/>
          <w:color w:val="1A1A1A"/>
          <w:sz w:val="22"/>
          <w:szCs w:val="22"/>
        </w:rPr>
        <w:t xml:space="preserve"> — Standard + bone health / DEXA addendum</w:t>
      </w:r>
    </w:p>
    <w:p>
      <w:pPr>
        <w:pStyle w:val="ListParagraph"/>
        <w:numPr>
          <w:ilvl w:val="0"/>
          <w:numId w:val="3"/>
        </w:numPr>
        <w:spacing w:before="60" w:after="60"/>
      </w:pPr>
      <w:r>
        <w:rPr>
          <w:rFonts w:ascii="Arial" w:cs="Arial" w:eastAsia="Arial" w:hAnsi="Arial"/>
          <w:b/>
          <w:bCs/>
          <w:color w:val="1A1A1A"/>
          <w:sz w:val="22"/>
          <w:szCs w:val="22"/>
        </w:rPr>
        <w:t xml:space="preserve">Your Risk Factor Summary</w:t>
      </w:r>
      <w:r>
        <w:rPr>
          <w:rFonts w:ascii="Arial" w:cs="Arial" w:eastAsia="Arial" w:hAnsi="Arial"/>
          <w:b w:val="false"/>
          <w:bCs w:val="false"/>
          <w:color w:val="1A1A1A"/>
          <w:sz w:val="22"/>
          <w:szCs w:val="22"/>
        </w:rPr>
        <w:t xml:space="preserve"> — Listed risk factors identified from responses in plain language (e.g., "Post-menopausal", "Low dairy intake", "Family history of hip fracture", "Long-term steroid use") — unique to Scan by Condition modules</w:t>
      </w:r>
    </w:p>
    <w:p>
      <w:pPr>
        <w:pStyle w:val="ListParagraph"/>
        <w:numPr>
          <w:ilvl w:val="0"/>
          <w:numId w:val="3"/>
        </w:numPr>
        <w:spacing w:before="60" w:after="60"/>
      </w:pPr>
      <w:r>
        <w:rPr>
          <w:rFonts w:ascii="Arial" w:cs="Arial" w:eastAsia="Arial" w:hAnsi="Arial"/>
          <w:b/>
          <w:bCs/>
          <w:color w:val="1A1A1A"/>
          <w:sz w:val="22"/>
          <w:szCs w:val="22"/>
        </w:rPr>
        <w:t xml:space="preserve">Your Risk Signal Summary</w:t>
      </w:r>
      <w:r>
        <w:rPr>
          <w:rFonts w:ascii="Arial" w:cs="Arial" w:eastAsia="Arial" w:hAnsi="Arial"/>
          <w:b w:val="false"/>
          <w:bCs w:val="false"/>
          <w:color w:val="1A1A1A"/>
          <w:sz w:val="22"/>
          <w:szCs w:val="22"/>
        </w:rPr>
        <w:t xml:space="preserve"> — 2–3 sentence personalised interpretation tying risk factors to clinical significance</w:t>
      </w:r>
    </w:p>
    <w:p>
      <w:pPr>
        <w:pStyle w:val="ListParagraph"/>
        <w:numPr>
          <w:ilvl w:val="0"/>
          <w:numId w:val="3"/>
        </w:numPr>
        <w:spacing w:before="60" w:after="60"/>
      </w:pPr>
      <w:r>
        <w:rPr>
          <w:rFonts w:ascii="Arial" w:cs="Arial" w:eastAsia="Arial" w:hAnsi="Arial"/>
          <w:b/>
          <w:bCs/>
          <w:color w:val="1A1A1A"/>
          <w:sz w:val="22"/>
          <w:szCs w:val="22"/>
        </w:rPr>
        <w:t xml:space="preserve">What This Means For You</w:t>
      </w:r>
      <w:r>
        <w:rPr>
          <w:rFonts w:ascii="Arial" w:cs="Arial" w:eastAsia="Arial" w:hAnsi="Arial"/>
          <w:b w:val="false"/>
          <w:bCs w:val="false"/>
          <w:color w:val="1A1A1A"/>
          <w:sz w:val="22"/>
          <w:szCs w:val="22"/>
        </w:rPr>
        <w:t xml:space="preserve"> — Age and gender-contextualised interpretation</w:t>
      </w:r>
    </w:p>
    <w:p>
      <w:pPr>
        <w:pStyle w:val="ListParagraph"/>
        <w:numPr>
          <w:ilvl w:val="0"/>
          <w:numId w:val="3"/>
        </w:numPr>
        <w:spacing w:before="60" w:after="60"/>
      </w:pPr>
      <w:r>
        <w:rPr>
          <w:rFonts w:ascii="Arial" w:cs="Arial" w:eastAsia="Arial" w:hAnsi="Arial"/>
          <w:b/>
          <w:bCs/>
          <w:color w:val="1A1A1A"/>
          <w:sz w:val="22"/>
          <w:szCs w:val="22"/>
        </w:rPr>
        <w:t xml:space="preserve">Your Next Steps</w:t>
      </w:r>
      <w:r>
        <w:rPr>
          <w:rFonts w:ascii="Arial" w:cs="Arial" w:eastAsia="Arial" w:hAnsi="Arial"/>
          <w:b w:val="false"/>
          <w:bCs w:val="false"/>
          <w:color w:val="1A1A1A"/>
          <w:sz w:val="22"/>
          <w:szCs w:val="22"/>
        </w:rPr>
        <w:t xml:space="preserve"> — Primary CTA (DEXA prompt at Moderate/High; Play at Low) + Secondary CTAs</w:t>
      </w:r>
    </w:p>
    <w:p>
      <w:pPr>
        <w:pStyle w:val="ListParagraph"/>
        <w:numPr>
          <w:ilvl w:val="0"/>
          <w:numId w:val="3"/>
        </w:numPr>
        <w:spacing w:before="60" w:after="60"/>
      </w:pPr>
      <w:r>
        <w:rPr>
          <w:rFonts w:ascii="Arial" w:cs="Arial" w:eastAsia="Arial" w:hAnsi="Arial"/>
          <w:b/>
          <w:bCs/>
          <w:color w:val="1A1A1A"/>
          <w:sz w:val="22"/>
          <w:szCs w:val="22"/>
        </w:rPr>
        <w:t xml:space="preserve">Falls Prevention Card</w:t>
      </w:r>
      <w:r>
        <w:rPr>
          <w:rFonts w:ascii="Arial" w:cs="Arial" w:eastAsia="Arial" w:hAnsi="Arial"/>
          <w:b w:val="false"/>
          <w:bCs w:val="false"/>
          <w:color w:val="1A1A1A"/>
          <w:sz w:val="22"/>
          <w:szCs w:val="22"/>
        </w:rPr>
        <w:t xml:space="preserve"> — If FALLS_RISK flag: shown at all tiers</w:t>
      </w:r>
    </w:p>
    <w:p>
      <w:pPr>
        <w:pStyle w:val="ListParagraph"/>
        <w:numPr>
          <w:ilvl w:val="0"/>
          <w:numId w:val="3"/>
        </w:numPr>
        <w:spacing w:before="60" w:after="60"/>
      </w:pPr>
      <w:r>
        <w:rPr>
          <w:rFonts w:ascii="Arial" w:cs="Arial" w:eastAsia="Arial" w:hAnsi="Arial"/>
          <w:b/>
          <w:bCs/>
          <w:color w:val="1A1A1A"/>
          <w:sz w:val="22"/>
          <w:szCs w:val="22"/>
        </w:rPr>
        <w:t xml:space="preserve">Calcium &amp; Vitamin D Education Card</w:t>
      </w:r>
      <w:r>
        <w:rPr>
          <w:rFonts w:ascii="Arial" w:cs="Arial" w:eastAsia="Arial" w:hAnsi="Arial"/>
          <w:b w:val="false"/>
          <w:bCs w:val="false"/>
          <w:color w:val="1A1A1A"/>
          <w:sz w:val="22"/>
          <w:szCs w:val="22"/>
        </w:rPr>
        <w:t xml:space="preserve"> — Shown at all tiers; content calibrated to risk level</w:t>
      </w:r>
    </w:p>
    <w:p>
      <w:pPr>
        <w:pStyle w:val="ListParagraph"/>
        <w:numPr>
          <w:ilvl w:val="0"/>
          <w:numId w:val="3"/>
        </w:numPr>
        <w:spacing w:before="60" w:after="60"/>
      </w:pPr>
      <w:r>
        <w:rPr>
          <w:rFonts w:ascii="Arial" w:cs="Arial" w:eastAsia="Arial" w:hAnsi="Arial"/>
          <w:b/>
          <w:bCs/>
          <w:color w:val="1A1A1A"/>
          <w:sz w:val="22"/>
          <w:szCs w:val="22"/>
        </w:rPr>
        <w:t xml:space="preserve">Cross-Scan Recommendation</w:t>
      </w:r>
      <w:r>
        <w:rPr>
          <w:rFonts w:ascii="Arial" w:cs="Arial" w:eastAsia="Arial" w:hAnsi="Arial"/>
          <w:b w:val="false"/>
          <w:bCs w:val="false"/>
          <w:color w:val="1A1A1A"/>
          <w:sz w:val="22"/>
          <w:szCs w:val="22"/>
        </w:rPr>
        <w:t xml:space="preserve"> — If vertebral or falls signals: Low Back Pain / Heel &amp; Foot QuickScan CTAs</w:t>
      </w:r>
    </w:p>
    <w:p>
      <w:pPr>
        <w:pStyle w:val="ListParagraph"/>
        <w:numPr>
          <w:ilvl w:val="0"/>
          <w:numId w:val="3"/>
        </w:numPr>
        <w:spacing w:before="60" w:after="60"/>
      </w:pPr>
      <w:r>
        <w:rPr>
          <w:rFonts w:ascii="Arial" w:cs="Arial" w:eastAsia="Arial" w:hAnsi="Arial"/>
          <w:b/>
          <w:bCs/>
          <w:color w:val="1A1A1A"/>
          <w:sz w:val="22"/>
          <w:szCs w:val="22"/>
        </w:rPr>
        <w:t xml:space="preserve">Share &amp; Save</w:t>
      </w:r>
      <w:r>
        <w:rPr>
          <w:rFonts w:ascii="Arial" w:cs="Arial" w:eastAsia="Arial" w:hAnsi="Arial"/>
          <w:b w:val="false"/>
          <w:bCs w:val="false"/>
          <w:color w:val="1A1A1A"/>
          <w:sz w:val="22"/>
          <w:szCs w:val="22"/>
        </w:rPr>
        <w:t xml:space="preserve"> — PDF with full disclaimer and risk factor summary</w:t>
      </w:r>
    </w:p>
    <w:p>
      <w:pPr>
        <w:spacing w:before="120" w:after="120"/>
      </w:pPr>
    </w:p>
    <w:p>
      <w:pPr>
        <w:pStyle w:val="Heading3"/>
        <w:spacing w:before="240" w:after="80"/>
      </w:pPr>
      <w:r>
        <w:rPr>
          <w:rFonts w:ascii="Arial" w:cs="Arial" w:eastAsia="Arial" w:hAnsi="Arial"/>
          <w:b/>
          <w:bCs/>
          <w:color w:val="2C3E50"/>
          <w:sz w:val="22"/>
          <w:szCs w:val="22"/>
        </w:rPr>
        <w:t xml:space="preserve">7.2  Language Guardrails — Osteoporosis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Never Use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Always Use Instead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osteoporosis"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risk factor profile suggests elevated bone health risk worth investigating"</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osteopenia"</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Never use clinical bone density categories — only "bone health risk signals"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bones are weak"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responses include several factors associated with reduced bone strength over time"</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need a DEXA scan" (prescriptive)</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bone density scan (DEXA) would be a worthwhile next step to discuss with your doctor"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Any T-score or Z-score reference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Never reference clinical bone density measurements</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"Start bisphosphonates / HRT"</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Never reference any treatment — route to specialist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Minimising falls risk in older users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Falls prevention must be prominent for any user with FALLS_RISK flag — fracture consequence is severe</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Alarming language for HIGH RISK</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Empathetic and action-oriented: "This is a very manageable risk with the right attention"</w:t>
            </w:r>
          </w:p>
        </w:tc>
      </w:tr>
    </w:tbl>
    <w:p>
      <w:pPr>
        <w:spacing w:before="120" w:after="120"/>
      </w:pPr>
    </w:p>
    <w:p>
      <w:pPr>
        <w:pStyle w:val="Heading3"/>
        <w:spacing w:before="240" w:after="80"/>
      </w:pPr>
      <w:r>
        <w:rPr>
          <w:rFonts w:ascii="Arial" w:cs="Arial" w:eastAsia="Arial" w:hAnsi="Arial"/>
          <w:b/>
          <w:bCs/>
          <w:color w:val="2C3E50"/>
          <w:sz w:val="22"/>
          <w:szCs w:val="22"/>
        </w:rPr>
        <w:t xml:space="preserve">7.3  Condition Tags for Output Personalisation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Condition Tag</w:t>
            </w:r>
          </w:p>
        </w:tc>
        <w:tc>
          <w:tcPr>
            <w:tcW w:type="dxa" w:w="5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Trigger Condition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Post-menopausal High Risk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Q1.1 Option A + Q1.2 multiple selections</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Steroid-Induced Risk</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 B (long-term steroid use)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Secondary Osteoporosis Risk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Options A, C, D, E, or F</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Family History Risk</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Q1.3 Options A or B</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Prior Fragility Fracture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Q1.3 Option C — hard floor MODERATE</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Calcium &amp; Vitamin D Deficiency Risk</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 Options A + B + C + D combined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Physical Activity Risk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Q2.2 Option C</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Falls Risk</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Q2.2 Options D or 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Height Loss / Vertebral Signal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Q3.1 Options A or B — hard floor MODERATE</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Vertebral Pain Pattern</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Q3.2 Options C or 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BMI Signal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Q3.2 Option A</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Unexplained Weight Loss Flag</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Q3.2 Option B — medical review recommended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Young High-Risk Profile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User age &lt; 45 + multiple risk factors (preventive intervention window)</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8.  Data &amp; Analytics Requirements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8.1  Data Points to Capture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Data Point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User ID (anonymous or authenticated)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Longitudinal tracking and re-scan comparison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timestamp</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Engagement cadence — 12-month re-scan cycle tracking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All question responses (raw)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Model refinement; FRAX factor accumulation analysis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Computed risk score (internal only)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Analytics; not surfaced to user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assigned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Cohort segmentation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Red flag type triggered (fracture / vertebral)</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Safety audit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Hard flags triggered (Y/N +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signal quality review</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Falls risk flag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Falls prevention cohort — separate programme tracking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DEXA prompt shown and CTA clicked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DEXA referral conversion rate — key external outcome metric</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tags generated</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DeepScan seeding; Myo AI context; Kriya Care programme matching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recommended (Y/N + which scan)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pipeline conversion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factor count per user</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Population-level risk factor prevalence; calcium/Vitamin D deficiency mapping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Hormonal risk flag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Post-menopausal cohort tracking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Steroid use flag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Secondary osteoporosis cohort</w:t>
            </w:r>
          </w:p>
        </w:tc>
      </w:tr>
    </w:tbl>
    <w:p>
      <w:pPr>
        <w:spacing w:before="120" w:after="120"/>
      </w:pPr>
    </w:p>
    <w:p>
      <w:pPr>
        <w:pStyle w:val="Heading3"/>
        <w:spacing w:before="240" w:after="80"/>
      </w:pPr>
      <w:r>
        <w:rPr>
          <w:rFonts w:ascii="Arial" w:cs="Arial" w:eastAsia="Arial" w:hAnsi="Arial"/>
          <w:b/>
          <w:bCs/>
          <w:color w:val="2C3E50"/>
          <w:sz w:val="22"/>
          <w:szCs w:val="22"/>
        </w:rPr>
        <w:t xml:space="preserve">8.2  Cross-Condition Intelligence — Osteoporosis Interactions</w:t>
      </w:r>
    </w:p>
    <w:p>
      <w:pPr>
        <w:pStyle w:val="ListParagraph"/>
        <w:numPr>
          <w:ilvl w:val="0"/>
          <w:numId w:val="2"/>
        </w:numPr>
        <w:spacing w:before="60" w:after="60"/>
      </w:pPr>
      <w:r>
        <w:rPr>
          <w:rFonts w:ascii="Arial" w:cs="Arial" w:eastAsia="Arial" w:hAnsi="Arial"/>
          <w:b/>
          <w:bCs/>
          <w:color w:val="1A1A1A"/>
          <w:sz w:val="22"/>
          <w:szCs w:val="22"/>
        </w:rPr>
        <w:t xml:space="preserve">Osteoporosis + RA:</w:t>
      </w:r>
      <w:r>
        <w:rPr>
          <w:rFonts w:ascii="Arial" w:cs="Arial" w:eastAsia="Arial" w:hAnsi="Arial"/>
          <w:b w:val="false"/>
          <w:bCs w:val="false"/>
          <w:color w:val="1A1A1A"/>
          <w:sz w:val="22"/>
          <w:szCs w:val="22"/>
        </w:rPr>
        <w:t xml:space="preserve">  Users who select RA in Q1.2 and also complete the forthcoming RA Scan by Condition module — combined signal significantly elevates bone health and joint destruction risk profile. Cross-tag coordination between modules required.</w:t>
      </w:r>
    </w:p>
    <w:p>
      <w:pPr>
        <w:pStyle w:val="ListParagraph"/>
        <w:numPr>
          <w:ilvl w:val="0"/>
          <w:numId w:val="2"/>
        </w:numPr>
        <w:spacing w:before="60" w:after="60"/>
      </w:pPr>
      <w:r>
        <w:rPr>
          <w:rFonts w:ascii="Arial" w:cs="Arial" w:eastAsia="Arial" w:hAnsi="Arial"/>
          <w:b/>
          <w:bCs/>
          <w:color w:val="1A1A1A"/>
          <w:sz w:val="22"/>
          <w:szCs w:val="22"/>
        </w:rPr>
        <w:t xml:space="preserve">Osteoporosis + Low Back Pain QuickScan:</w:t>
      </w:r>
      <w:r>
        <w:rPr>
          <w:rFonts w:ascii="Arial" w:cs="Arial" w:eastAsia="Arial" w:hAnsi="Arial"/>
          <w:b w:val="false"/>
          <w:bCs w:val="false"/>
          <w:color w:val="1A1A1A"/>
          <w:sz w:val="22"/>
          <w:szCs w:val="22"/>
        </w:rPr>
        <w:t xml:space="preserve">  Vertebral compression fracture is the most common osteoporotic fracture. Users with both a high Osteoporosis risk signal and a chronic/degenerative Low Back Pain pattern should be cross-flagged for combined vertebral investigation.</w:t>
      </w:r>
    </w:p>
    <w:p>
      <w:pPr>
        <w:pStyle w:val="ListParagraph"/>
        <w:numPr>
          <w:ilvl w:val="0"/>
          <w:numId w:val="2"/>
        </w:numPr>
        <w:spacing w:before="60" w:after="60"/>
      </w:pPr>
      <w:r>
        <w:rPr>
          <w:rFonts w:ascii="Arial" w:cs="Arial" w:eastAsia="Arial" w:hAnsi="Arial"/>
          <w:b/>
          <w:bCs/>
          <w:color w:val="1A1A1A"/>
          <w:sz w:val="22"/>
          <w:szCs w:val="22"/>
        </w:rPr>
        <w:t xml:space="preserve">Osteoporosis + Heel &amp; Foot QuickScan:</w:t>
      </w:r>
      <w:r>
        <w:rPr>
          <w:rFonts w:ascii="Arial" w:cs="Arial" w:eastAsia="Arial" w:hAnsi="Arial"/>
          <w:b w:val="false"/>
          <w:bCs w:val="false"/>
          <w:color w:val="1A1A1A"/>
          <w:sz w:val="22"/>
          <w:szCs w:val="22"/>
        </w:rPr>
        <w:t xml:space="preserve">  Falls risk from balance impairment and foot instability is the primary fracture mechanism. Balance module data from Kriya Play feeds directly into falls risk reduction programme relevance.</w:t>
      </w:r>
    </w:p>
    <w:p>
      <w:pPr>
        <w:spacing w:before="120" w:after="120"/>
      </w:pPr>
    </w:p>
    <w:p>
      <w:pPr>
        <w:pStyle w:val="Heading3"/>
        <w:spacing w:before="240" w:after="80"/>
      </w:pPr>
      <w:r>
        <w:rPr>
          <w:rFonts w:ascii="Arial" w:cs="Arial" w:eastAsia="Arial" w:hAnsi="Arial"/>
          <w:b/>
          <w:bCs/>
          <w:color w:val="2C3E50"/>
          <w:sz w:val="22"/>
          <w:szCs w:val="22"/>
        </w:rPr>
        <w:t xml:space="preserve">8.3  Privacy &amp; Data Governance</w:t>
      </w:r>
    </w:p>
    <w:p>
      <w:pPr>
        <w:pStyle w:val="ListParagraph"/>
        <w:numPr>
          <w:ilvl w:val="0"/>
          <w:numId w:val="2"/>
        </w:numPr>
        <w:spacing w:before="60" w:after="60"/>
      </w:pPr>
      <w:r>
        <w:rPr>
          <w:rFonts w:ascii="Arial" w:cs="Arial" w:eastAsia="Arial" w:hAnsi="Arial"/>
          <w:b/>
          <w:bCs/>
          <w:color w:val="1A1A1A"/>
          <w:sz w:val="22"/>
          <w:szCs w:val="22"/>
        </w:rPr>
        <w:t xml:space="preserve">DPDP Act 2023 compliance</w:t>
      </w:r>
      <w:r>
        <w:rPr>
          <w:rFonts w:ascii="Arial" w:cs="Arial" w:eastAsia="Arial" w:hAnsi="Arial"/>
          <w:b w:val="false"/>
          <w:bCs w:val="false"/>
          <w:color w:val="1A1A1A"/>
          <w:sz w:val="22"/>
          <w:szCs w:val="22"/>
        </w:rPr>
        <w:t xml:space="preserve"> — all health data classified as Sensitive Personal Data</w:t>
      </w:r>
    </w:p>
    <w:p>
      <w:pPr>
        <w:pStyle w:val="ListParagraph"/>
        <w:numPr>
          <w:ilvl w:val="0"/>
          <w:numId w:val="2"/>
        </w:numPr>
        <w:spacing w:before="60" w:after="60"/>
      </w:pPr>
      <w:r>
        <w:rPr>
          <w:rFonts w:ascii="Arial" w:cs="Arial" w:eastAsia="Arial" w:hAnsi="Arial"/>
          <w:b/>
          <w:bCs/>
          <w:color w:val="1A1A1A"/>
          <w:sz w:val="22"/>
          <w:szCs w:val="22"/>
        </w:rPr>
        <w:t xml:space="preserve">Hormonal and reproductive history data</w:t>
      </w:r>
      <w:r>
        <w:rPr>
          <w:rFonts w:ascii="Arial" w:cs="Arial" w:eastAsia="Arial" w:hAnsi="Arial"/>
          <w:b w:val="false"/>
          <w:bCs w:val="false"/>
          <w:color w:val="1A1A1A"/>
          <w:sz w:val="22"/>
          <w:szCs w:val="22"/>
        </w:rPr>
        <w:t xml:space="preserve"> (menopause, oophorectomy, menstrual irregularity) — highest sensitivity category requiring additional access controls</w:t>
      </w:r>
    </w:p>
    <w:p>
      <w:pPr>
        <w:pStyle w:val="ListParagraph"/>
        <w:numPr>
          <w:ilvl w:val="0"/>
          <w:numId w:val="2"/>
        </w:numPr>
        <w:spacing w:before="60" w:after="60"/>
      </w:pPr>
      <w:r>
        <w:rPr>
          <w:rFonts w:ascii="Arial" w:cs="Arial" w:eastAsia="Arial" w:hAnsi="Arial"/>
          <w:b/>
          <w:bCs/>
          <w:color w:val="1A1A1A"/>
          <w:sz w:val="22"/>
          <w:szCs w:val="22"/>
        </w:rPr>
        <w:t xml:space="preserve">Medical history data</w:t>
      </w:r>
      <w:r>
        <w:rPr>
          <w:rFonts w:ascii="Arial" w:cs="Arial" w:eastAsia="Arial" w:hAnsi="Arial"/>
          <w:b w:val="false"/>
          <w:bCs w:val="false"/>
          <w:color w:val="1A1A1A"/>
          <w:sz w:val="22"/>
          <w:szCs w:val="22"/>
        </w:rPr>
        <w:t xml:space="preserve"> (steroid use, RA, diabetes) — must be stored with encryption at rest and restricted access</w:t>
      </w:r>
    </w:p>
    <w:p>
      <w:pPr>
        <w:pStyle w:val="ListParagraph"/>
        <w:numPr>
          <w:ilvl w:val="0"/>
          <w:numId w:val="2"/>
        </w:numPr>
        <w:spacing w:before="60" w:after="60"/>
      </w:pPr>
      <w:r>
        <w:rPr>
          <w:rFonts w:ascii="Arial" w:cs="Arial" w:eastAsia="Arial" w:hAnsi="Arial"/>
          <w:b/>
          <w:bCs/>
          <w:color w:val="1A1A1A"/>
          <w:sz w:val="22"/>
          <w:szCs w:val="22"/>
        </w:rPr>
        <w:t xml:space="preserve">Data retention:</w:t>
      </w:r>
      <w:r>
        <w:rPr>
          <w:rFonts w:ascii="Arial" w:cs="Arial" w:eastAsia="Arial" w:hAnsi="Arial"/>
          <w:b w:val="false"/>
          <w:bCs w:val="false"/>
          <w:color w:val="1A1A1A"/>
          <w:sz w:val="22"/>
          <w:szCs w:val="22"/>
        </w:rPr>
        <w:t xml:space="preserve">  24 months from last activity; deletable on user request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9.  Scan by Condition Design Framework — Series Reference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As the first Scan by Condition module, Osteoporosis establishes several design precedents that will govern all 9 subsequent condition modules. These are documented here as the canonical reference for the series.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Design Dimension</w:t>
            </w:r>
          </w:p>
        </w:tc>
        <w:tc>
          <w:tcPr>
            <w:tcW w:type="dxa" w:w="3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Scan by Location Approach</w:t>
            </w:r>
          </w:p>
        </w:tc>
        <w:tc>
          <w:tcPr>
            <w:tcW w:type="dxa" w:w="3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Scan by Condition Approach (established by Osteoporosis)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Entry intent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in a specific body region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Suspicion of or known risk for a specific condition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content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 character and pain profile</w:t>
            </w:r>
          </w:p>
        </w:tc>
        <w:tc>
          <w:tcPr>
            <w:tcW w:type="dxa" w:w="3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factor accumulation (biological, medical, lifestyle)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scoring driver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 severity and functional limitation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factor count and severity weighting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content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Adaptive lifestyle/psychosocial modifiers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 and functional signals (secondary corroboration)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Output primary panel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Signal Summary + Contributing Factors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Factor Summary (listed) + Risk Signal Summary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external CTA</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specialist / physiotherapy referral</w:t>
            </w:r>
          </w:p>
        </w:tc>
        <w:tc>
          <w:tcPr>
            <w:tcW w:type="dxa" w:w="3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DEXA / diagnostic investigation referral (condition-specific)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logic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Cross-location (e.g., neck → shoulder)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Cross-condition + cross-location (bidirectional)</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Re-scan cadence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2–4 weeks (symptom monitoring)</w:t>
            </w:r>
          </w:p>
        </w:tc>
        <w:tc>
          <w:tcPr>
            <w:tcW w:type="dxa" w:w="3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3–12 months (risk factor monitoring)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Pathology-specific (e.g., plantar fasciitis)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Risk-factor clusters (e.g., post-menopausal high risk)</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Architectural inversion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Symptoms first, modifiers second</w:t>
            </w:r>
          </w:p>
        </w:tc>
        <w:tc>
          <w:tcPr>
            <w:tcW w:type="dxa" w:w="3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factors first, symptoms second</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10.  Open Items &amp; Next Steps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10.1  Items Requiring Clinical Advisory Board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Item</w:t>
            </w:r>
          </w:p>
        </w:tc>
        <w:tc>
          <w:tcPr>
            <w:tcW w:type="dxa" w:w="3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Priority</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FRAX factor adaptation — confirm self-report versions are clinically faithful to original FRAX risk factors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Full question bank review vs IOF One-Minute Test, OSTA, NICE CG146</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calibration — 0–6 / 7–14 / 15+ thresholds for risk-factor-dominant scoring 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Hard flag rule validation — prior fragility fracture as MODERATE hard floor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DEXA referral output language — clinical accuracy and appropriate urgency calibration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 B steroid use wording — confirm 3-month threshold and drug name list accuracy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Q2.2 falls risk question — sensitivity calibration for one-item falls history screen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Hormonal history questions (Q1.1) — cultural sensitivity review for Indian population context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Unexplained weight loss flag (Q3.2 Option B) — output language for dual malignancy + bone health routing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bl>
    <w:p>
      <w:pPr>
        <w:spacing w:before="120" w:after="120"/>
      </w:pPr>
    </w:p>
    <w:p>
      <w:pPr>
        <w:pStyle w:val="Heading3"/>
        <w:spacing w:before="240" w:after="80"/>
      </w:pPr>
      <w:r>
        <w:rPr>
          <w:rFonts w:ascii="Arial" w:cs="Arial" w:eastAsia="Arial" w:hAnsi="Arial"/>
          <w:b/>
          <w:bCs/>
          <w:color w:val="2C3E50"/>
          <w:sz w:val="22"/>
          <w:szCs w:val="22"/>
        </w:rPr>
        <w:t xml:space="preserve">10.2  Next Modules in Scan by Condition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Condition</w:t>
            </w:r>
          </w:p>
        </w:tc>
        <w:tc>
          <w:tcPr>
            <w:tcW w:type="dxa" w:w="6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Priority 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Osteoarthritis (next)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Highest cross-reference density from Knee and Low Back QuickScans; largest chronic MSK condition cohort in India</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Sciatica</w:t>
            </w:r>
          </w:p>
        </w:tc>
        <w:tc>
          <w:tcPr>
            <w:tcW w:type="dxa" w:w="6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Directly seeded from approved Low Back Pain QuickScan; high urban prevalence; strong DeepScan pipeline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Disc Bulge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Closely related to Sciatica; shares clinical framework; often co-diagnosed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Spondylosis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and lumbar variants; cross-references Neck and Low Back QuickScans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Rheumatoid Arthritis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Systemic inflammatory; cross-references Osteoporosis (secondary cause) and Shoulder/Knee QuickScans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Plantar Fasciitis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Directly seeded from Heel &amp; Foot QuickScan condition tags; highest single-condition prevalence in foot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Rotator Cuff Injury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Directly seeded from Shoulder QuickScan; high corporate wellness relevance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Carpal Tunnel Syndrome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location module yet; standalone framework; high urban office worker prevalence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Scoliosis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Structural deformity; distinct clinical profile; high value for younger users and parents</w:t>
            </w:r>
          </w:p>
        </w:tc>
      </w:tr>
    </w:tbl>
    <w:p>
      <w:pPr>
        <w:spacing w:before="120" w:after="120"/>
      </w:pPr>
    </w:p>
    <w:p>
      <w:pPr>
        <w:pStyle w:val="Heading3"/>
        <w:spacing w:before="240" w:after="80"/>
      </w:pPr>
      <w:r>
        <w:rPr>
          <w:rFonts w:ascii="Arial" w:cs="Arial" w:eastAsia="Arial" w:hAnsi="Arial"/>
          <w:b/>
          <w:bCs/>
          <w:color w:val="2C3E50"/>
          <w:sz w:val="22"/>
          <w:szCs w:val="22"/>
        </w:rPr>
        <w:t xml:space="preserve">10.3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Action</w:t>
            </w:r>
          </w:p>
        </w:tc>
        <w:tc>
          <w:tcPr>
            <w:tcW w:type="dxa" w:w="3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Owner</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Advisory Board review — FRAX adaptation and risk tier calibration are the priority items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review — DEXA referral language and hormonal history question sensitivity</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 Compliance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UX wireframe — Risk Factor Summary panel (new component unique to Scan by Condition)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Design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Engineering review — FRAX factor weighting logic and cross-scan pre-population from Location modules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Lead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DEXA partner network — identify diagnostic imaging partners for referral CTA integration (v1.1)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Business / Clinical Partnerships</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Begin Osteoarthritis Scan by Condition PRD</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bl>
    <w:p>
      <w:pPr>
        <w:spacing w:before="200" w:after="120"/>
      </w:pPr>
    </w:p>
    <w:p>
      <w:pPr>
        <w:pBdr>
          <w:bottom w:val="single" w:color="0D7377" w:sz="8" w:space="1"/>
        </w:pBdr>
        <w:spacing w:before="0" w:after="16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Document Control</w:t>
            </w:r>
          </w:p>
          <w:p>
            <w:pPr>
              <w:spacing w:before="80" w:after="80"/>
              <w:jc w:val="left"/>
            </w:pPr>
            <w:r>
              <w:rPr>
                <w:rFonts w:ascii="Arial" w:cs="Arial" w:eastAsia="Arial" w:hAnsi="Arial"/>
                <w:b w:val="false"/>
                <w:bCs w:val="false"/>
                <w:color w:val="1A1A1A"/>
                <w:sz w:val="20"/>
                <w:szCs w:val="20"/>
              </w:rPr>
              <w:t xml:space="preserve">This is v1.0 of the QuickScan — Osteoporosis PRD. It is the first document in the Scan by Condition series under Project Lotus — Bravo (Kriya Scan), and establishes the design framework template for all subsequent condition modules. All clinical frameworks, FRAX-inspired risk factor questions, scoring thresholds, and DEXA referral language require validation by the Kriya Clinical Advisory Board before production implementation.</w:t>
            </w:r>
          </w:p>
          <w:p>
            <w:pPr>
              <w:spacing w:before="60" w:after="120"/>
            </w:pPr>
          </w:p>
          <w:p>
            <w:pPr>
              <w:spacing w:before="80" w:after="80"/>
              <w:jc w:val="left"/>
            </w:pPr>
            <w:r>
              <w:rPr>
                <w:rFonts w:ascii="Arial" w:cs="Arial" w:eastAsia="Arial" w:hAnsi="Arial"/>
                <w:b w:val="false"/>
                <w:bCs w:val="false"/>
                <w:color w:val="7F8C8D"/>
                <w:sz w:val="20"/>
                <w:szCs w:val="20"/>
              </w:rPr>
              <w:t xml:space="preserve">Next review milestone: Clinical Advisory Board session → v1.1 with validated FRAX adaptation, confirmed risk tier thresholds, and DEXA referral language sign-off.</w:t>
            </w:r>
          </w:p>
          <w:p>
            <w:pPr>
              <w:spacing w:before="60" w:after="120"/>
            </w:pPr>
          </w:p>
          <w:p>
            <w:pPr>
              <w:spacing w:before="80" w:after="80"/>
              <w:jc w:val="left"/>
            </w:pPr>
            <w:r>
              <w:rPr>
                <w:rFonts w:ascii="Arial" w:cs="Arial" w:eastAsia="Arial" w:hAnsi="Arial"/>
                <w:b w:val="false"/>
                <w:bCs w:val="false"/>
                <w:color w:val="0D7377"/>
                <w:sz w:val="20"/>
                <w:szCs w:val="20"/>
              </w:rPr>
              <w:t xml:space="preserve">Scan by Condition PRD series status: Osteoporosis — pending approval  |  Osteoarthritis — next  |  8 further conditions pending</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spacing w:before="160"/>
    </w:pPr>
    <w:r>
      <w:rPr>
        <w:rFonts w:ascii="Arial" w:cs="Arial" w:eastAsia="Arial" w:hAnsi="Arial"/>
        <w:b w:val="false"/>
        <w:bCs w:val="false"/>
        <w:color w:val="7F8C8D"/>
        <w:sz w:val="18"/>
        <w:szCs w:val="18"/>
      </w:rPr>
      <w:t xml:space="preserve">Project Lotus — Bravo (Kriya Scan)  |  Scan by Condition  |  v1.0 Draft    |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b w:val="false"/>
        <w:bCs w:val="false"/>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spacing w:after="200"/>
    </w:pPr>
    <w:r>
      <w:rPr>
        <w:rFonts w:ascii="Arial" w:cs="Arial" w:eastAsia="Arial" w:hAnsi="Arial"/>
        <w:b/>
        <w:bCs/>
        <w:color w:val="0D7377"/>
        <w:sz w:val="18"/>
        <w:szCs w:val="18"/>
      </w:rPr>
      <w:t xml:space="preserve">KRIYA  |  QUICKSCAN PRD</w:t>
    </w:r>
    <w:r>
      <w:rPr>
        <w:rFonts w:ascii="Arial" w:cs="Arial" w:eastAsia="Arial" w:hAnsi="Arial"/>
        <w:color w:val="7F8C8D"/>
        <w:sz w:val="18"/>
        <w:szCs w:val="18"/>
      </w:rPr>
      <w:t xml:space="preserve">        Scan by Condition — Osteoporosis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7377"/>
      <w:sz w:val="32"/>
      <w:szCs w:val="32"/>
    </w:rPr>
  </w:style>
  <w:style w:type="paragraph" w:styleId="Heading3">
    <w:name w:val="Heading 3"/>
    <w:basedOn w:val="Normal"/>
    <w:next w:val="Normal"/>
    <w:qFormat/>
    <w:pPr>
      <w:spacing w:before="24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2026-03-21T15:57:18.812Z</dcterms:created>
  <dcterms:modified xsi:type="dcterms:W3CDTF">2026-03-21T15:57:18.815Z</dcterms:modified>
</cp:coreProperties>
</file>

<file path=docProps/custom.xml><?xml version="1.0" encoding="utf-8"?>
<Properties xmlns="http://schemas.openxmlformats.org/officeDocument/2006/custom-properties" xmlns:vt="http://schemas.openxmlformats.org/officeDocument/2006/docPropsVTypes"/>
</file>