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120"/>
      </w:pPr>
    </w:p>
    <w:p>
      <w:pPr>
        <w:spacing w:after="60"/>
        <w:jc w:val="center"/>
      </w:pPr>
      <w:r>
        <w:rPr>
          <w:rFonts w:ascii="Arial" w:cs="Arial" w:eastAsia="Arial" w:hAnsi="Arial"/>
          <w:b/>
          <w:bCs/>
          <w:color w:val="0D7377"/>
          <w:sz w:val="64"/>
          <w:szCs w:val="64"/>
        </w:rPr>
        <w:t xml:space="preserve">KRIYA</w:t>
      </w:r>
    </w:p>
    <w:p>
      <w:pPr>
        <w:spacing w:after="400"/>
        <w:jc w:val="center"/>
      </w:pPr>
      <w:r>
        <w:rPr>
          <w:rFonts w:ascii="Arial" w:cs="Arial" w:eastAsia="Arial" w:hAnsi="Arial"/>
          <w:b w:val="false"/>
          <w:bCs w:val="false"/>
          <w:color w:val="7F8C8D"/>
          <w:sz w:val="26"/>
          <w:szCs w:val="26"/>
        </w:rPr>
        <w:t xml:space="preserve">Integrated Muscle Intelligence Platform</w:t>
      </w:r>
    </w:p>
    <w:p>
      <w:pPr>
        <w:pBdr>
          <w:bottom w:val="single" w:color="0D7377" w:sz="8" w:space="1"/>
        </w:pBdr>
        <w:spacing w:before="0" w:after="160"/>
      </w:pPr>
    </w:p>
    <w:p>
      <w:pPr>
        <w:spacing w:before="160" w:after="120"/>
      </w:pPr>
    </w:p>
    <w:p>
      <w:pPr>
        <w:spacing w:after="100"/>
        <w:jc w:val="center"/>
      </w:pPr>
      <w:r>
        <w:rPr>
          <w:rFonts w:ascii="Arial" w:cs="Arial" w:eastAsia="Arial" w:hAnsi="Arial"/>
          <w:b/>
          <w:bCs/>
          <w:color w:val="2C3E50"/>
          <w:sz w:val="28"/>
          <w:szCs w:val="28"/>
        </w:rPr>
        <w:t xml:space="preserve">PRODUCT REQUIREMENT DOCUMENT</w:t>
      </w:r>
    </w:p>
    <w:p>
      <w:pPr>
        <w:spacing w:after="80"/>
        <w:jc w:val="center"/>
      </w:pPr>
      <w:r>
        <w:rPr>
          <w:rFonts w:ascii="Arial" w:cs="Arial" w:eastAsia="Arial" w:hAnsi="Arial"/>
          <w:b/>
          <w:bCs/>
          <w:color w:val="0D7377"/>
          <w:sz w:val="32"/>
          <w:szCs w:val="32"/>
        </w:rPr>
        <w:t xml:space="preserve">QuickScan — Scan by Condition</w:t>
      </w:r>
    </w:p>
    <w:p>
      <w:pPr>
        <w:spacing w:after="80"/>
        <w:jc w:val="center"/>
      </w:pPr>
      <w:r>
        <w:rPr>
          <w:rFonts w:ascii="Arial" w:cs="Arial" w:eastAsia="Arial" w:hAnsi="Arial"/>
          <w:b/>
          <w:bCs/>
          <w:color w:val="0D7377"/>
          <w:sz w:val="36"/>
          <w:szCs w:val="36"/>
        </w:rPr>
        <w:t xml:space="preserve">Rheumatoid Arthritis</w:t>
      </w:r>
    </w:p>
    <w:p>
      <w:pPr>
        <w:spacing w:after="280"/>
        <w:jc w:val="center"/>
      </w:pPr>
      <w:r>
        <w:rPr>
          <w:rFonts w:ascii="Arial" w:cs="Arial" w:eastAsia="Arial" w:hAnsi="Arial"/>
          <w:i/>
          <w:iCs/>
          <w:color w:val="7F8C8D"/>
          <w:sz w:val="22"/>
          <w:szCs w:val="22"/>
        </w:rPr>
        <w:t xml:space="preserve">Condition 6 of 10  |  Scan by Condition Series</w:t>
      </w:r>
    </w:p>
    <w:p>
      <w:pPr>
        <w:pBdr>
          <w:bottom w:val="single" w:color="0D7377" w:sz="8" w:space="1"/>
        </w:pBdr>
        <w:spacing w:before="0" w:after="160"/>
      </w:pPr>
    </w:p>
    <w:p>
      <w:pPr>
        <w:spacing w:before="20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0D7377" w:sz="1"/>
              <w:left w:val="single" w:color="0D7377" w:sz="1"/>
              <w:bottom w:val="single" w:color="0D7377" w:sz="1"/>
              <w:right w:val="single" w:color="0D7377" w:sz="1"/>
            </w:tcBorders>
            <w:shd w:fill="2C3E50"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Document Details</w:t>
            </w:r>
          </w:p>
        </w:tc>
        <w:tc>
          <w:tcPr>
            <w:tcW w:type="dxa" w:w="5760"/>
            <w:tcBorders>
              <w:top w:val="single" w:color="0D7377" w:sz="1"/>
              <w:left w:val="single" w:color="0D7377" w:sz="1"/>
              <w:bottom w:val="single" w:color="0D7377" w:sz="1"/>
              <w:right w:val="single" w:color="0D7377" w:sz="1"/>
            </w:tcBorders>
            <w:shd w:fill="2C3E50"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Product Area</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Kriya Scan  (Project Lotus — Bravo)</w:t>
            </w:r>
          </w:p>
        </w:tc>
      </w:tr>
      <w:tr>
        <w:tc>
          <w:tcPr>
            <w:tcW w:type="dxa" w:w="3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Stream</w:t>
            </w:r>
          </w:p>
        </w:tc>
        <w:tc>
          <w:tcPr>
            <w:tcW w:type="dxa" w:w="57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QuickScan › Scan by Condition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Condition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Rheumatoid Arthritis (RA)</w:t>
            </w:r>
          </w:p>
        </w:tc>
      </w:tr>
      <w:tr>
        <w:tc>
          <w:tcPr>
            <w:tcW w:type="dxa" w:w="3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Series Position</w:t>
            </w:r>
          </w:p>
        </w:tc>
        <w:tc>
          <w:tcPr>
            <w:tcW w:type="dxa" w:w="57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6 of 10 — Sixth module; first systemic inflammatory condition in the series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Framework Reference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Osteoporosis PRD v1.0 — risk-factor dominant architecture  |  Osteoarthritis PRD v1.0 — RA Differentiation Alert (inbound referral source)</w:t>
            </w:r>
          </w:p>
        </w:tc>
      </w:tr>
      <w:tr>
        <w:tc>
          <w:tcPr>
            <w:tcW w:type="dxa" w:w="3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Document Version</w:t>
            </w:r>
          </w:p>
        </w:tc>
        <w:tc>
          <w:tcPr>
            <w:tcW w:type="dxa" w:w="57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v1.0 — Draft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Status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For Clinical Advisory Board Review</w:t>
            </w:r>
          </w:p>
        </w:tc>
      </w:tr>
      <w:tr>
        <w:tc>
          <w:tcPr>
            <w:tcW w:type="dxa" w:w="3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Deployment Channel</w:t>
            </w:r>
          </w:p>
        </w:tc>
        <w:tc>
          <w:tcPr>
            <w:tcW w:type="dxa" w:w="57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Web Platform (Mobile-responsive)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Compliance Framework</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Risk Signal (non-diagnostic), CDSCO SaMD awareness</w:t>
            </w:r>
          </w:p>
        </w:tc>
      </w:tr>
    </w:tbl>
    <w:p>
      <w:pPr>
        <w:spacing w:before="30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377" w:sz="1"/>
              <w:left w:val="single" w:color="0D7377" w:sz="1"/>
              <w:bottom w:val="single" w:color="0D7377" w:sz="1"/>
              <w:right w:val="single" w:color="0D7377" w:sz="1"/>
            </w:tcBorders>
            <w:shd w:fill="E6F4F4" w:val="clear"/>
            <w:tcMar>
              <w:top w:type="dxa" w:w="160"/>
              <w:left w:type="dxa" w:w="240"/>
              <w:bottom w:type="dxa" w:w="160"/>
              <w:right w:type="dxa" w:w="240"/>
            </w:tcMar>
          </w:tcPr>
          <w:p>
            <w:pPr>
              <w:spacing w:before="80" w:after="80"/>
              <w:jc w:val="left"/>
            </w:pPr>
            <w:r>
              <w:rPr>
                <w:rFonts w:ascii="Arial" w:cs="Arial" w:eastAsia="Arial" w:hAnsi="Arial"/>
                <w:b/>
                <w:bCs/>
                <w:color w:val="0D7377"/>
                <w:sz w:val="20"/>
                <w:szCs w:val="20"/>
              </w:rPr>
              <w:t xml:space="preserve">Architecture Classification — Inflammatory + Systemic Hybrid (60% inflammatory markers / 40% functional burden)</w:t>
            </w:r>
          </w:p>
          <w:p>
            <w:pPr>
              <w:spacing w:before="80" w:after="80"/>
              <w:jc w:val="left"/>
            </w:pPr>
            <w:r>
              <w:rPr>
                <w:rFonts w:ascii="Arial" w:cs="Arial" w:eastAsia="Arial" w:hAnsi="Arial"/>
                <w:b w:val="false"/>
                <w:bCs w:val="false"/>
                <w:color w:val="1A1A1A"/>
                <w:sz w:val="20"/>
                <w:szCs w:val="20"/>
              </w:rPr>
              <w:t xml:space="preserve">Rheumatoid Arthritis is the most fundamentally distinct condition in the Scan by Condition series. It is an </w:t>
            </w:r>
            <w:r>
              <w:rPr>
                <w:rFonts w:ascii="Arial" w:cs="Arial" w:eastAsia="Arial" w:hAnsi="Arial"/>
                <w:b/>
                <w:bCs/>
                <w:color w:val="1A1A1A"/>
                <w:sz w:val="20"/>
                <w:szCs w:val="20"/>
              </w:rPr>
              <w:t xml:space="preserve">autoimmune systemic disease</w:t>
            </w:r>
            <w:r>
              <w:rPr>
                <w:rFonts w:ascii="Arial" w:cs="Arial" w:eastAsia="Arial" w:hAnsi="Arial"/>
                <w:b w:val="false"/>
                <w:bCs w:val="false"/>
                <w:color w:val="1A1A1A"/>
                <w:sz w:val="20"/>
                <w:szCs w:val="20"/>
              </w:rPr>
              <w:t xml:space="preserve">, not a mechanical, degenerative, or structural condition. This drives a radically different scoring architecture: Layer 1 is built entirely around </w:t>
            </w:r>
            <w:r>
              <w:rPr>
                <w:rFonts w:ascii="Arial" w:cs="Arial" w:eastAsia="Arial" w:hAnsi="Arial"/>
                <w:b/>
                <w:bCs/>
                <w:color w:val="1A1A1A"/>
                <w:sz w:val="20"/>
                <w:szCs w:val="20"/>
              </w:rPr>
              <w:t xml:space="preserve">inflammatory pattern recognition</w:t>
            </w:r>
            <w:r>
              <w:rPr>
                <w:rFonts w:ascii="Arial" w:cs="Arial" w:eastAsia="Arial" w:hAnsi="Arial"/>
                <w:b w:val="false"/>
                <w:bCs w:val="false"/>
                <w:color w:val="1A1A1A"/>
                <w:sz w:val="20"/>
                <w:szCs w:val="20"/>
              </w:rPr>
              <w:t xml:space="preserve"> — joint distribution symmetry, morning stiffness duration, systemic constitutional symptoms, and seropositivity history — rather than imaging findings, biomechanical load, or anatomical location. Layer 2 captures </w:t>
            </w:r>
            <w:r>
              <w:rPr>
                <w:rFonts w:ascii="Arial" w:cs="Arial" w:eastAsia="Arial" w:hAnsi="Arial"/>
                <w:b/>
                <w:bCs/>
                <w:color w:val="1A1A1A"/>
                <w:sz w:val="20"/>
                <w:szCs w:val="20"/>
              </w:rPr>
              <w:t xml:space="preserve">extra-articular manifestations</w:t>
            </w:r>
            <w:r>
              <w:rPr>
                <w:rFonts w:ascii="Arial" w:cs="Arial" w:eastAsia="Arial" w:hAnsi="Arial"/>
                <w:b w:val="false"/>
                <w:bCs w:val="false"/>
                <w:color w:val="1A1A1A"/>
                <w:sz w:val="20"/>
                <w:szCs w:val="20"/>
              </w:rPr>
              <w:t xml:space="preserve"> (the systemic features that distinguish RA from all other conditions in the series). Layer 3 captures functional impact and the substantial psychosocial burden of a chronic autoimmune diagnosis. Weight distribution: 60% inflammatory pattern, 40% functional and systemic burden.</w:t>
            </w:r>
          </w:p>
        </w:tc>
      </w:tr>
    </w:tbl>
    <w:p>
      <w:pPr>
        <w:spacing w:before="16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377" w:sz="1"/>
              <w:left w:val="single" w:color="0D7377" w:sz="1"/>
              <w:bottom w:val="single" w:color="0D7377" w:sz="1"/>
              <w:right w:val="single" w:color="0D7377" w:sz="1"/>
            </w:tcBorders>
            <w:shd w:fill="E6F4F4" w:val="clear"/>
            <w:tcMar>
              <w:top w:type="dxa" w:w="160"/>
              <w:left w:type="dxa" w:w="240"/>
              <w:bottom w:type="dxa" w:w="160"/>
              <w:right w:type="dxa" w:w="240"/>
            </w:tcMar>
          </w:tcPr>
          <w:p>
            <w:pPr>
              <w:spacing w:before="80" w:after="80"/>
              <w:jc w:val="left"/>
            </w:pPr>
            <w:r>
              <w:rPr>
                <w:rFonts w:ascii="Arial" w:cs="Arial" w:eastAsia="Arial" w:hAnsi="Arial"/>
                <w:b/>
                <w:bCs/>
                <w:color w:val="0D7377"/>
                <w:sz w:val="20"/>
                <w:szCs w:val="20"/>
              </w:rPr>
              <w:t xml:space="preserve">Confidentiality Notice</w:t>
            </w:r>
          </w:p>
          <w:p>
            <w:pPr>
              <w:spacing w:before="80" w:after="80"/>
              <w:jc w:val="left"/>
            </w:pPr>
            <w:r>
              <w:rPr>
                <w:rFonts w:ascii="Arial" w:cs="Arial" w:eastAsia="Arial" w:hAnsi="Arial"/>
                <w:b w:val="false"/>
                <w:bCs w:val="false"/>
                <w:color w:val="1A1A1A"/>
                <w:sz w:val="20"/>
                <w:szCs w:val="20"/>
              </w:rPr>
              <w:t xml:space="preserve">This document is strictly confidential and intended for internal use within the Kriya product and clinical advisory team only.</w:t>
            </w:r>
          </w:p>
        </w:tc>
      </w:tr>
    </w:tbl>
    <w:p>
      <w:pPr>
        <w:spacing w:before="200" w:after="120"/>
      </w:pPr>
    </w:p>
    <w:p>
      <w:r>
        <w:br w:type="page"/>
      </w:r>
    </w:p>
    <w:p>
      <w:pPr>
        <w:pStyle w:val="Heading1"/>
        <w:spacing w:before="400" w:after="160"/>
      </w:pPr>
      <w:r>
        <w:rPr>
          <w:rFonts w:ascii="Arial" w:cs="Arial" w:eastAsia="Arial" w:hAnsi="Arial"/>
          <w:b/>
          <w:bCs/>
          <w:color w:val="0D7377"/>
          <w:sz w:val="32"/>
          <w:szCs w:val="32"/>
        </w:rPr>
        <w:t xml:space="preserve">1.  Document Purpose &amp; Scope</w:t>
      </w:r>
    </w:p>
    <w:p>
      <w:pPr>
        <w:pBdr>
          <w:bottom w:val="single" w:color="0D7377" w:sz="8" w:space="1"/>
        </w:pBdr>
        <w:spacing w:before="0" w:after="160"/>
      </w:pPr>
    </w:p>
    <w:p>
      <w:pPr>
        <w:spacing w:before="80" w:after="80"/>
        <w:jc w:val="left"/>
      </w:pPr>
      <w:r>
        <w:rPr>
          <w:rFonts w:ascii="Arial" w:cs="Arial" w:eastAsia="Arial" w:hAnsi="Arial"/>
          <w:b w:val="false"/>
          <w:bCs w:val="false"/>
          <w:color w:val="1A1A1A"/>
          <w:sz w:val="22"/>
          <w:szCs w:val="22"/>
        </w:rPr>
        <w:t xml:space="preserve">This PRD defines the product, clinical, and UX requirements for the </w:t>
      </w:r>
      <w:r>
        <w:rPr>
          <w:rFonts w:ascii="Arial" w:cs="Arial" w:eastAsia="Arial" w:hAnsi="Arial"/>
          <w:b/>
          <w:bCs/>
          <w:color w:val="1A1A1A"/>
          <w:sz w:val="22"/>
          <w:szCs w:val="22"/>
        </w:rPr>
        <w:t xml:space="preserve">QuickScan — Rheumatoid Arthritis</w:t>
      </w:r>
      <w:r>
        <w:rPr>
          <w:rFonts w:ascii="Arial" w:cs="Arial" w:eastAsia="Arial" w:hAnsi="Arial"/>
          <w:b w:val="false"/>
          <w:bCs w:val="false"/>
          <w:color w:val="1A1A1A"/>
          <w:sz w:val="22"/>
          <w:szCs w:val="22"/>
        </w:rPr>
        <w:t xml:space="preserve"> module under Kriya Scan (Bravo), Scan by Condition stream. It is the sixth document in the series and the first module addressing a systemic autoimmune inflammatory condition — representing a significant architectural departure from all five preceding modules.</w:t>
      </w:r>
    </w:p>
    <w:p>
      <w:pPr>
        <w:spacing w:before="120" w:after="120"/>
      </w:pPr>
    </w:p>
    <w:p>
      <w:pPr>
        <w:spacing w:before="80" w:after="80"/>
        <w:jc w:val="left"/>
      </w:pPr>
      <w:r>
        <w:rPr>
          <w:rFonts w:ascii="Arial" w:cs="Arial" w:eastAsia="Arial" w:hAnsi="Arial"/>
          <w:b w:val="false"/>
          <w:bCs w:val="false"/>
          <w:color w:val="1A1A1A"/>
          <w:sz w:val="22"/>
          <w:szCs w:val="22"/>
        </w:rPr>
        <w:t xml:space="preserve">Rheumatoid Arthritis affects an estimated </w:t>
      </w:r>
      <w:r>
        <w:rPr>
          <w:rFonts w:ascii="Arial" w:cs="Arial" w:eastAsia="Arial" w:hAnsi="Arial"/>
          <w:b/>
          <w:bCs/>
          <w:color w:val="1A1A1A"/>
          <w:sz w:val="22"/>
          <w:szCs w:val="22"/>
        </w:rPr>
        <w:t xml:space="preserve">10 million Indians</w:t>
      </w:r>
      <w:r>
        <w:rPr>
          <w:rFonts w:ascii="Arial" w:cs="Arial" w:eastAsia="Arial" w:hAnsi="Arial"/>
          <w:b w:val="false"/>
          <w:bCs w:val="false"/>
          <w:color w:val="1A1A1A"/>
          <w:sz w:val="22"/>
          <w:szCs w:val="22"/>
        </w:rPr>
        <w:t xml:space="preserve">, with a female-to-male ratio of approximately 3:1. It is a leading cause of disability and severely impacts quality of life, employment, and independence. Critically, </w:t>
      </w:r>
      <w:r>
        <w:rPr>
          <w:rFonts w:ascii="Arial" w:cs="Arial" w:eastAsia="Arial" w:hAnsi="Arial"/>
          <w:b/>
          <w:bCs/>
          <w:color w:val="1A1A1A"/>
          <w:sz w:val="22"/>
          <w:szCs w:val="22"/>
        </w:rPr>
        <w:t xml:space="preserve">early diagnosis and treatment initiation is the single most important determinant of long-term outcomes</w:t>
      </w:r>
      <w:r>
        <w:rPr>
          <w:rFonts w:ascii="Arial" w:cs="Arial" w:eastAsia="Arial" w:hAnsi="Arial"/>
          <w:b w:val="false"/>
          <w:bCs w:val="false"/>
          <w:color w:val="1A1A1A"/>
          <w:sz w:val="22"/>
          <w:szCs w:val="22"/>
        </w:rPr>
        <w:t xml:space="preserve"> in RA — treatment within the first 12 weeks of symptom onset (the 'window of opportunity') can induce sustained remission in a significant proportion of patients. The Kriya QuickScan for RA therefore has an unusually high clinical impact potential: by identifying users who match the RA symptom pattern early and routing them to rheumatology promptly, the platform can directly improve long-term disease outcomes for a population that is chronically under-diagnosed in the Indian primary care context.</w:t>
      </w:r>
    </w:p>
    <w:p>
      <w:pPr>
        <w:spacing w:before="120" w:after="120"/>
      </w:pPr>
    </w:p>
    <w:p>
      <w:pPr>
        <w:pStyle w:val="Heading3"/>
        <w:spacing w:before="240" w:after="80"/>
      </w:pPr>
      <w:r>
        <w:rPr>
          <w:rFonts w:ascii="Arial" w:cs="Arial" w:eastAsia="Arial" w:hAnsi="Arial"/>
          <w:b/>
          <w:bCs/>
          <w:color w:val="2C3E50"/>
          <w:sz w:val="22"/>
          <w:szCs w:val="22"/>
        </w:rPr>
        <w:t xml:space="preserve">1.1  RA — Clinical Context for Product Team</w:t>
      </w:r>
    </w:p>
    <w:p>
      <w:pPr>
        <w:pStyle w:val="ListParagraph"/>
        <w:numPr>
          <w:ilvl w:val="0"/>
          <w:numId w:val="2"/>
        </w:numPr>
        <w:spacing w:before="60" w:after="60"/>
      </w:pPr>
      <w:r>
        <w:rPr>
          <w:rFonts w:ascii="Arial" w:cs="Arial" w:eastAsia="Arial" w:hAnsi="Arial"/>
          <w:b/>
          <w:bCs/>
          <w:color w:val="1A1A1A"/>
          <w:sz w:val="22"/>
          <w:szCs w:val="22"/>
        </w:rPr>
        <w:t xml:space="preserve">RA is a clinical diagnosis, not an imaging or blood test diagnosis:</w:t>
      </w:r>
      <w:r>
        <w:rPr>
          <w:rFonts w:ascii="Arial" w:cs="Arial" w:eastAsia="Arial" w:hAnsi="Arial"/>
          <w:b w:val="false"/>
          <w:bCs w:val="false"/>
          <w:color w:val="1A1A1A"/>
          <w:sz w:val="22"/>
          <w:szCs w:val="22"/>
        </w:rPr>
        <w:t xml:space="preserve">  The 2010 ACR/EULAR RA classification criteria — the global standard — are based on joint involvement pattern, serology, acute phase reactants, and symptom duration. The QuickScan adapts these criteria into a self-report format, making it the most directly evidence-anchored scoring instrument in the series.</w:t>
      </w:r>
    </w:p>
    <w:p>
      <w:pPr>
        <w:pStyle w:val="ListParagraph"/>
        <w:numPr>
          <w:ilvl w:val="0"/>
          <w:numId w:val="2"/>
        </w:numPr>
        <w:spacing w:before="60" w:after="60"/>
      </w:pPr>
      <w:r>
        <w:rPr>
          <w:rFonts w:ascii="Arial" w:cs="Arial" w:eastAsia="Arial" w:hAnsi="Arial"/>
          <w:b/>
          <w:bCs/>
          <w:color w:val="1A1A1A"/>
          <w:sz w:val="22"/>
          <w:szCs w:val="22"/>
        </w:rPr>
        <w:t xml:space="preserve">Morning stiffness &gt; 60 minutes is the cardinal differentiating feature:</w:t>
      </w:r>
      <w:r>
        <w:rPr>
          <w:rFonts w:ascii="Arial" w:cs="Arial" w:eastAsia="Arial" w:hAnsi="Arial"/>
          <w:b w:val="false"/>
          <w:bCs w:val="false"/>
          <w:color w:val="1A1A1A"/>
          <w:sz w:val="22"/>
          <w:szCs w:val="22"/>
        </w:rPr>
        <w:t xml:space="preserve">  This was established as a differentiating item in the OA module (RA Differentiation Alert) and in the Spondylosis module (AS Differentiation Gate). In this module it becomes the primary Layer 1 discriminator — not a gate question but a scored item with the highest individual weight in the entire question bank.</w:t>
      </w:r>
    </w:p>
    <w:p>
      <w:pPr>
        <w:pStyle w:val="ListParagraph"/>
        <w:numPr>
          <w:ilvl w:val="0"/>
          <w:numId w:val="2"/>
        </w:numPr>
        <w:spacing w:before="60" w:after="60"/>
      </w:pPr>
      <w:r>
        <w:rPr>
          <w:rFonts w:ascii="Arial" w:cs="Arial" w:eastAsia="Arial" w:hAnsi="Arial"/>
          <w:b/>
          <w:bCs/>
          <w:color w:val="1A1A1A"/>
          <w:sz w:val="22"/>
          <w:szCs w:val="22"/>
        </w:rPr>
        <w:t xml:space="preserve">Symmetrical small joint involvement is pathognomonic:</w:t>
      </w:r>
      <w:r>
        <w:rPr>
          <w:rFonts w:ascii="Arial" w:cs="Arial" w:eastAsia="Arial" w:hAnsi="Arial"/>
          <w:b w:val="false"/>
          <w:bCs w:val="false"/>
          <w:color w:val="1A1A1A"/>
          <w:sz w:val="22"/>
          <w:szCs w:val="22"/>
        </w:rPr>
        <w:t xml:space="preserve">  RA characteristically affects the small joints of the hands (MCP, PIP joints — the knuckles), wrists, and feet (MTP joints — the ball of the foot) in a symmetrical bilateral pattern. This is the most diagnostically specific self-report feature and must be captured with anatomical precision.</w:t>
      </w:r>
    </w:p>
    <w:p>
      <w:pPr>
        <w:pStyle w:val="ListParagraph"/>
        <w:numPr>
          <w:ilvl w:val="0"/>
          <w:numId w:val="2"/>
        </w:numPr>
        <w:spacing w:before="60" w:after="60"/>
      </w:pPr>
      <w:r>
        <w:rPr>
          <w:rFonts w:ascii="Arial" w:cs="Arial" w:eastAsia="Arial" w:hAnsi="Arial"/>
          <w:b/>
          <w:bCs/>
          <w:color w:val="1A1A1A"/>
          <w:sz w:val="22"/>
          <w:szCs w:val="22"/>
        </w:rPr>
        <w:t xml:space="preserve">Extra-articular manifestations are clinically significant:</w:t>
      </w:r>
      <w:r>
        <w:rPr>
          <w:rFonts w:ascii="Arial" w:cs="Arial" w:eastAsia="Arial" w:hAnsi="Arial"/>
          <w:b w:val="false"/>
          <w:bCs w:val="false"/>
          <w:color w:val="1A1A1A"/>
          <w:sz w:val="22"/>
          <w:szCs w:val="22"/>
        </w:rPr>
        <w:t xml:space="preserve">  RA is a systemic disease — it causes fatigue (often severe and disproportionate to joint activity), rheumatoid nodules, anaemia, eye inflammation (scleritis, uveitis), lung involvement, and cardiovascular risk elevation. These systemic features both confirm the RA pattern and determine disease severity.</w:t>
      </w:r>
    </w:p>
    <w:p>
      <w:pPr>
        <w:pStyle w:val="ListParagraph"/>
        <w:numPr>
          <w:ilvl w:val="0"/>
          <w:numId w:val="2"/>
        </w:numPr>
        <w:spacing w:before="60" w:after="60"/>
      </w:pPr>
      <w:r>
        <w:rPr>
          <w:rFonts w:ascii="Arial" w:cs="Arial" w:eastAsia="Arial" w:hAnsi="Arial"/>
          <w:b/>
          <w:bCs/>
          <w:color w:val="1A1A1A"/>
          <w:sz w:val="22"/>
          <w:szCs w:val="22"/>
        </w:rPr>
        <w:t xml:space="preserve">Seropositivity is a key risk and severity modifier:</w:t>
      </w:r>
      <w:r>
        <w:rPr>
          <w:rFonts w:ascii="Arial" w:cs="Arial" w:eastAsia="Arial" w:hAnsi="Arial"/>
          <w:b w:val="false"/>
          <w:bCs w:val="false"/>
          <w:color w:val="1A1A1A"/>
          <w:sz w:val="22"/>
          <w:szCs w:val="22"/>
        </w:rPr>
        <w:t xml:space="preserve">  Rheumatoid Factor (RF) and Anti-CCP antibodies are the two primary RA serological markers. Users who have been tested are asked to report results. Seropositivity — especially anti-CCP positivity — correlates with more aggressive disease and worse long-term joint outcomes, making it an important risk modifier in the scoring model.</w:t>
      </w:r>
    </w:p>
    <w:p>
      <w:pPr>
        <w:pStyle w:val="ListParagraph"/>
        <w:numPr>
          <w:ilvl w:val="0"/>
          <w:numId w:val="2"/>
        </w:numPr>
        <w:spacing w:before="60" w:after="60"/>
      </w:pPr>
      <w:r>
        <w:rPr>
          <w:rFonts w:ascii="Arial" w:cs="Arial" w:eastAsia="Arial" w:hAnsi="Arial"/>
          <w:b/>
          <w:bCs/>
          <w:color w:val="1A1A1A"/>
          <w:sz w:val="22"/>
          <w:szCs w:val="22"/>
        </w:rPr>
        <w:t xml:space="preserve">RA carries unique medication-related risks:</w:t>
      </w:r>
      <w:r>
        <w:rPr>
          <w:rFonts w:ascii="Arial" w:cs="Arial" w:eastAsia="Arial" w:hAnsi="Arial"/>
          <w:b w:val="false"/>
          <w:bCs w:val="false"/>
          <w:color w:val="1A1A1A"/>
          <w:sz w:val="22"/>
          <w:szCs w:val="22"/>
        </w:rPr>
        <w:t xml:space="preserve">  Many RA patients are on or will be placed on DMARDs (Disease-Modifying Anti-Rheumatic Drugs), biologic agents, or steroids. The platform must be aware of medication history as a contextual modifier but must never comment on specific medications. Steroid use as a secondary osteoporosis cause was already flagged in the Osteoporosis module — this cross-condition connection must be maintained.</w:t>
      </w:r>
    </w:p>
    <w:p>
      <w:pPr>
        <w:spacing w:before="120" w:after="120"/>
      </w:pPr>
    </w:p>
    <w:p>
      <w:pPr>
        <w:pStyle w:val="Heading3"/>
        <w:spacing w:before="240" w:after="80"/>
      </w:pPr>
      <w:r>
        <w:rPr>
          <w:rFonts w:ascii="Arial" w:cs="Arial" w:eastAsia="Arial" w:hAnsi="Arial"/>
          <w:b/>
          <w:bCs/>
          <w:color w:val="2C3E50"/>
          <w:sz w:val="22"/>
          <w:szCs w:val="22"/>
        </w:rPr>
        <w:t xml:space="preserve">1.2  Cross-Module Relationships — RA as the Inflammatory Hub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377" w:sz="1"/>
              <w:left w:val="single" w:color="0D7377" w:sz="1"/>
              <w:bottom w:val="single" w:color="0D7377" w:sz="1"/>
              <w:right w:val="single" w:color="0D7377" w:sz="1"/>
            </w:tcBorders>
            <w:shd w:fill="E6F4F4" w:val="clear"/>
            <w:tcMar>
              <w:top w:type="dxa" w:w="160"/>
              <w:left w:type="dxa" w:w="240"/>
              <w:bottom w:type="dxa" w:w="160"/>
              <w:right w:type="dxa" w:w="240"/>
            </w:tcMar>
          </w:tcPr>
          <w:p>
            <w:pPr>
              <w:spacing w:before="80" w:after="80"/>
              <w:jc w:val="left"/>
            </w:pPr>
            <w:r>
              <w:rPr>
                <w:rFonts w:ascii="Arial" w:cs="Arial" w:eastAsia="Arial" w:hAnsi="Arial"/>
                <w:b/>
                <w:bCs/>
                <w:color w:val="0D7377"/>
                <w:sz w:val="20"/>
                <w:szCs w:val="20"/>
              </w:rPr>
              <w:t xml:space="preserve">RA as the Systemic Inflammatory Hub of the Condition Series</w:t>
            </w:r>
          </w:p>
          <w:p>
            <w:pPr>
              <w:spacing w:before="60" w:after="120"/>
            </w:pPr>
          </w:p>
          <w:p>
            <w:pPr>
              <w:pStyle w:val="ListParagraph"/>
              <w:numPr>
                <w:ilvl w:val="0"/>
                <w:numId w:val="2"/>
              </w:numPr>
              <w:spacing w:before="60" w:after="60"/>
            </w:pPr>
            <w:r>
              <w:rPr>
                <w:rFonts w:ascii="Arial" w:cs="Arial" w:eastAsia="Arial" w:hAnsi="Arial"/>
                <w:b/>
                <w:bCs/>
                <w:color w:val="1A1A1A"/>
                <w:sz w:val="22"/>
                <w:szCs w:val="22"/>
              </w:rPr>
              <w:t xml:space="preserve">Inbound from OA module (Module 2):</w:t>
            </w:r>
            <w:r>
              <w:rPr>
                <w:rFonts w:ascii="Arial" w:cs="Arial" w:eastAsia="Arial" w:hAnsi="Arial"/>
                <w:b w:val="false"/>
                <w:bCs w:val="false"/>
                <w:color w:val="1A1A1A"/>
                <w:sz w:val="20"/>
                <w:szCs w:val="20"/>
              </w:rPr>
              <w:t xml:space="preserve">  Users who triggered the RA Differentiation Alert in the OA scan (prolonged morning stiffness + symmetrical joints) are the primary inbound cross-scan population. Their OA scan data — joint distribution, stiffness duration, functional limitation — pre-populates relevant RA scan questions.</w:t>
            </w:r>
          </w:p>
          <w:p>
            <w:pPr>
              <w:pStyle w:val="ListParagraph"/>
              <w:numPr>
                <w:ilvl w:val="0"/>
                <w:numId w:val="2"/>
              </w:numPr>
              <w:spacing w:before="60" w:after="60"/>
            </w:pPr>
            <w:r>
              <w:rPr>
                <w:rFonts w:ascii="Arial" w:cs="Arial" w:eastAsia="Arial" w:hAnsi="Arial"/>
                <w:b/>
                <w:bCs/>
                <w:color w:val="1A1A1A"/>
                <w:sz w:val="22"/>
                <w:szCs w:val="22"/>
              </w:rPr>
              <w:t xml:space="preserve">Inbound from Spondylosis module (Module 5):</w:t>
            </w:r>
            <w:r>
              <w:rPr>
                <w:rFonts w:ascii="Arial" w:cs="Arial" w:eastAsia="Arial" w:hAnsi="Arial"/>
                <w:b w:val="false"/>
                <w:bCs w:val="false"/>
                <w:color w:val="1A1A1A"/>
                <w:sz w:val="20"/>
                <w:szCs w:val="20"/>
              </w:rPr>
              <w:t xml:space="preserve">  The AS Differentiation Gate may occasionally flag users who are better assessed for RA than AS (overlap conditions). These users should be directed to this RA module alongside rheumatology referral.</w:t>
            </w:r>
          </w:p>
          <w:p>
            <w:pPr>
              <w:pStyle w:val="ListParagraph"/>
              <w:numPr>
                <w:ilvl w:val="0"/>
                <w:numId w:val="2"/>
              </w:numPr>
              <w:spacing w:before="60" w:after="60"/>
            </w:pPr>
            <w:r>
              <w:rPr>
                <w:rFonts w:ascii="Arial" w:cs="Arial" w:eastAsia="Arial" w:hAnsi="Arial"/>
                <w:b/>
                <w:bCs/>
                <w:color w:val="1A1A1A"/>
                <w:sz w:val="22"/>
                <w:szCs w:val="22"/>
              </w:rPr>
              <w:t xml:space="preserve">Outbound to Osteoporosis module (Module 1):</w:t>
            </w:r>
            <w:r>
              <w:rPr>
                <w:rFonts w:ascii="Arial" w:cs="Arial" w:eastAsia="Arial" w:hAnsi="Arial"/>
                <w:b w:val="false"/>
                <w:bCs w:val="false"/>
                <w:color w:val="1A1A1A"/>
                <w:sz w:val="20"/>
                <w:szCs w:val="20"/>
              </w:rPr>
              <w:t xml:space="preserve">  RA is a significant secondary cause of osteoporosis — through both the inflammatory process itself and steroid use. HIGH RISK RA users should be cross-recommended to the Osteoporosis scan, particularly post-menopausal women.</w:t>
            </w:r>
          </w:p>
          <w:p>
            <w:pPr>
              <w:pStyle w:val="ListParagraph"/>
              <w:numPr>
                <w:ilvl w:val="0"/>
                <w:numId w:val="2"/>
              </w:numPr>
              <w:spacing w:before="60" w:after="60"/>
            </w:pPr>
            <w:r>
              <w:rPr>
                <w:rFonts w:ascii="Arial" w:cs="Arial" w:eastAsia="Arial" w:hAnsi="Arial"/>
                <w:b/>
                <w:bCs/>
                <w:color w:val="1A1A1A"/>
                <w:sz w:val="22"/>
                <w:szCs w:val="22"/>
              </w:rPr>
              <w:t xml:space="preserve">Outbound to OA module (Module 2):</w:t>
            </w:r>
            <w:r>
              <w:rPr>
                <w:rFonts w:ascii="Arial" w:cs="Arial" w:eastAsia="Arial" w:hAnsi="Arial"/>
                <w:b w:val="false"/>
                <w:bCs w:val="false"/>
                <w:color w:val="1A1A1A"/>
                <w:sz w:val="20"/>
                <w:szCs w:val="20"/>
              </w:rPr>
              <w:t xml:space="preserve">  Long-standing RA produces secondary joint damage that may mimic OA. Users with chronic RA and secondary joint changes should be cross-recommended to the OA module for functional burden assessment.</w:t>
            </w:r>
          </w:p>
        </w:tc>
      </w:tr>
    </w:tbl>
    <w:p>
      <w:pPr>
        <w:spacing w:before="120" w:after="120"/>
      </w:pPr>
    </w:p>
    <w:p>
      <w:pPr>
        <w:pStyle w:val="Heading3"/>
        <w:spacing w:before="240" w:after="80"/>
      </w:pPr>
      <w:r>
        <w:rPr>
          <w:rFonts w:ascii="Arial" w:cs="Arial" w:eastAsia="Arial" w:hAnsi="Arial"/>
          <w:b/>
          <w:bCs/>
          <w:color w:val="2C3E50"/>
          <w:sz w:val="22"/>
          <w:szCs w:val="22"/>
        </w:rPr>
        <w:t xml:space="preserve">1.3  Out of Scope for v1.0</w:t>
      </w:r>
    </w:p>
    <w:p>
      <w:pPr>
        <w:pStyle w:val="ListParagraph"/>
        <w:numPr>
          <w:ilvl w:val="0"/>
          <w:numId w:val="2"/>
        </w:numPr>
        <w:spacing w:before="60" w:after="60"/>
      </w:pPr>
      <w:r>
        <w:rPr>
          <w:rFonts w:ascii="Arial" w:cs="Arial" w:eastAsia="Arial" w:hAnsi="Arial"/>
          <w:b w:val="false"/>
          <w:bCs w:val="false"/>
          <w:color w:val="1A1A1A"/>
          <w:sz w:val="22"/>
          <w:szCs w:val="22"/>
        </w:rPr>
        <w:t xml:space="preserve">Other inflammatory arthropathies — Psoriatic Arthritis, Reactive Arthritis, Lupus (SLE), Gout — require separate modules</w:t>
      </w:r>
    </w:p>
    <w:p>
      <w:pPr>
        <w:pStyle w:val="ListParagraph"/>
        <w:numPr>
          <w:ilvl w:val="0"/>
          <w:numId w:val="2"/>
        </w:numPr>
        <w:spacing w:before="60" w:after="60"/>
      </w:pPr>
      <w:r>
        <w:rPr>
          <w:rFonts w:ascii="Arial" w:cs="Arial" w:eastAsia="Arial" w:hAnsi="Arial"/>
          <w:b w:val="false"/>
          <w:bCs w:val="false"/>
          <w:color w:val="1A1A1A"/>
          <w:sz w:val="22"/>
          <w:szCs w:val="22"/>
        </w:rPr>
        <w:t xml:space="preserve">Medication review or DMARD management guidance — strictly clinical territory</w:t>
      </w:r>
    </w:p>
    <w:p>
      <w:pPr>
        <w:pStyle w:val="ListParagraph"/>
        <w:numPr>
          <w:ilvl w:val="0"/>
          <w:numId w:val="2"/>
        </w:numPr>
        <w:spacing w:before="60" w:after="60"/>
      </w:pPr>
      <w:r>
        <w:rPr>
          <w:rFonts w:ascii="Arial" w:cs="Arial" w:eastAsia="Arial" w:hAnsi="Arial"/>
          <w:b w:val="false"/>
          <w:bCs w:val="false"/>
          <w:color w:val="1A1A1A"/>
          <w:sz w:val="22"/>
          <w:szCs w:val="22"/>
        </w:rPr>
        <w:t xml:space="preserve">Disease Activity Score (DAS28) calculation — requires clinical examination findings</w:t>
      </w:r>
    </w:p>
    <w:p>
      <w:pPr>
        <w:pStyle w:val="ListParagraph"/>
        <w:numPr>
          <w:ilvl w:val="0"/>
          <w:numId w:val="2"/>
        </w:numPr>
        <w:spacing w:before="60" w:after="60"/>
      </w:pPr>
      <w:r>
        <w:rPr>
          <w:rFonts w:ascii="Arial" w:cs="Arial" w:eastAsia="Arial" w:hAnsi="Arial"/>
          <w:b w:val="false"/>
          <w:bCs w:val="false"/>
          <w:color w:val="1A1A1A"/>
          <w:sz w:val="22"/>
          <w:szCs w:val="22"/>
        </w:rPr>
        <w:t xml:space="preserve">Juvenile Idiopathic Arthritis (JIA) — paediatric population; separate module</w:t>
      </w:r>
    </w:p>
    <w:p>
      <w:pPr>
        <w:pStyle w:val="ListParagraph"/>
        <w:numPr>
          <w:ilvl w:val="0"/>
          <w:numId w:val="2"/>
        </w:numPr>
        <w:spacing w:before="60" w:after="60"/>
      </w:pPr>
      <w:r>
        <w:rPr>
          <w:rFonts w:ascii="Arial" w:cs="Arial" w:eastAsia="Arial" w:hAnsi="Arial"/>
          <w:b w:val="false"/>
          <w:bCs w:val="false"/>
          <w:color w:val="1A1A1A"/>
          <w:sz w:val="22"/>
          <w:szCs w:val="22"/>
        </w:rPr>
        <w:t xml:space="preserve">DeepScan — Rheumatoid Arthritis (separate PRD)</w:t>
      </w:r>
    </w:p>
    <w:p>
      <w:pPr>
        <w:pStyle w:val="ListParagraph"/>
        <w:numPr>
          <w:ilvl w:val="0"/>
          <w:numId w:val="2"/>
        </w:numPr>
        <w:spacing w:before="60" w:after="60"/>
      </w:pPr>
      <w:r>
        <w:rPr>
          <w:rFonts w:ascii="Arial" w:cs="Arial" w:eastAsia="Arial" w:hAnsi="Arial"/>
          <w:b w:val="false"/>
          <w:bCs w:val="false"/>
          <w:color w:val="1A1A1A"/>
          <w:sz w:val="22"/>
          <w:szCs w:val="22"/>
        </w:rPr>
        <w:t xml:space="preserve">Native mobile app deployment</w:t>
      </w:r>
    </w:p>
    <w:p>
      <w:pPr>
        <w:spacing w:before="200" w:after="120"/>
      </w:pPr>
    </w:p>
    <w:p>
      <w:r>
        <w:br w:type="page"/>
      </w:r>
    </w:p>
    <w:p>
      <w:pPr>
        <w:pStyle w:val="Heading1"/>
        <w:spacing w:before="400" w:after="160"/>
      </w:pPr>
      <w:r>
        <w:rPr>
          <w:rFonts w:ascii="Arial" w:cs="Arial" w:eastAsia="Arial" w:hAnsi="Arial"/>
          <w:b/>
          <w:bCs/>
          <w:color w:val="0D7377"/>
          <w:sz w:val="32"/>
          <w:szCs w:val="32"/>
        </w:rPr>
        <w:t xml:space="preserve">2.  Regulatory &amp; Compliance Framework</w:t>
      </w:r>
    </w:p>
    <w:p>
      <w:pPr>
        <w:pBdr>
          <w:bottom w:val="single" w:color="0D7377" w:sz="8" w:space="1"/>
        </w:pBd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377" w:sz="1"/>
              <w:left w:val="single" w:color="0D7377" w:sz="1"/>
              <w:bottom w:val="single" w:color="0D7377" w:sz="1"/>
              <w:right w:val="single" w:color="0D7377" w:sz="1"/>
            </w:tcBorders>
            <w:shd w:fill="E6F4F4" w:val="clear"/>
            <w:tcMar>
              <w:top w:type="dxa" w:w="160"/>
              <w:left w:type="dxa" w:w="240"/>
              <w:bottom w:type="dxa" w:w="160"/>
              <w:right w:type="dxa" w:w="240"/>
            </w:tcMar>
          </w:tcPr>
          <w:p>
            <w:pPr>
              <w:spacing w:before="80" w:after="80"/>
              <w:jc w:val="left"/>
            </w:pPr>
            <w:r>
              <w:rPr>
                <w:rFonts w:ascii="Arial" w:cs="Arial" w:eastAsia="Arial" w:hAnsi="Arial"/>
                <w:b/>
                <w:bCs/>
                <w:color w:val="0D7377"/>
                <w:sz w:val="20"/>
                <w:szCs w:val="20"/>
              </w:rPr>
              <w:t xml:space="preserve">Governing Principle</w:t>
            </w:r>
          </w:p>
          <w:p>
            <w:pPr>
              <w:spacing w:before="80" w:after="80"/>
              <w:jc w:val="left"/>
            </w:pPr>
            <w:r>
              <w:rPr>
                <w:rFonts w:ascii="Arial" w:cs="Arial" w:eastAsia="Arial" w:hAnsi="Arial"/>
                <w:b w:val="false"/>
                <w:bCs w:val="false"/>
                <w:color w:val="1A1A1A"/>
                <w:sz w:val="20"/>
                <w:szCs w:val="20"/>
              </w:rPr>
              <w:t xml:space="preserve">Kriya QuickScan — Rheumatoid Arthritis is an </w:t>
            </w:r>
            <w:r>
              <w:rPr>
                <w:rFonts w:ascii="Arial" w:cs="Arial" w:eastAsia="Arial" w:hAnsi="Arial"/>
                <w:b/>
                <w:bCs/>
                <w:color w:val="1A1A1A"/>
                <w:sz w:val="20"/>
                <w:szCs w:val="20"/>
              </w:rPr>
              <w:t xml:space="preserve">inflammatory joint pattern risk signal tool</w:t>
            </w:r>
            <w:r>
              <w:rPr>
                <w:rFonts w:ascii="Arial" w:cs="Arial" w:eastAsia="Arial" w:hAnsi="Arial"/>
                <w:b w:val="false"/>
                <w:bCs w:val="false"/>
                <w:color w:val="1A1A1A"/>
                <w:sz w:val="20"/>
                <w:szCs w:val="20"/>
              </w:rPr>
              <w:t xml:space="preserve">, not a diagnostic instrument. It identifies self-reported symptom patterns consistent with RA based on the ACR/EULAR 2010 classification criteria framework and stratifies users by inflammatory pattern strength and functional burden — without performing blood tests, imaging, or clinical examination that are required for definitive diagnosis.</w:t>
            </w:r>
          </w:p>
        </w:tc>
      </w:tr>
    </w:tbl>
    <w:p>
      <w:pPr>
        <w:spacing w:before="120" w:after="120"/>
      </w:pPr>
    </w:p>
    <w:p>
      <w:pPr>
        <w:pStyle w:val="Heading3"/>
        <w:spacing w:before="240" w:after="80"/>
      </w:pPr>
      <w:r>
        <w:rPr>
          <w:rFonts w:ascii="Arial" w:cs="Arial" w:eastAsia="Arial" w:hAnsi="Arial"/>
          <w:b/>
          <w:bCs/>
          <w:color w:val="2C3E50"/>
          <w:sz w:val="22"/>
          <w:szCs w:val="22"/>
        </w:rPr>
        <w:t xml:space="preserve">2.1  RA-Specific Regulatory Considerations</w:t>
      </w:r>
    </w:p>
    <w:p>
      <w:pPr>
        <w:pStyle w:val="ListParagraph"/>
        <w:numPr>
          <w:ilvl w:val="0"/>
          <w:numId w:val="2"/>
        </w:numPr>
        <w:spacing w:before="60" w:after="60"/>
      </w:pPr>
      <w:r>
        <w:rPr>
          <w:rFonts w:ascii="Arial" w:cs="Arial" w:eastAsia="Arial" w:hAnsi="Arial"/>
          <w:b/>
          <w:bCs/>
          <w:color w:val="1A1A1A"/>
          <w:sz w:val="22"/>
          <w:szCs w:val="22"/>
        </w:rPr>
        <w:t xml:space="preserve">The 'window of opportunity' urgency:</w:t>
      </w:r>
      <w:r>
        <w:rPr>
          <w:rFonts w:ascii="Arial" w:cs="Arial" w:eastAsia="Arial" w:hAnsi="Arial"/>
          <w:b w:val="false"/>
          <w:bCs w:val="false"/>
          <w:color w:val="1A1A1A"/>
          <w:sz w:val="22"/>
          <w:szCs w:val="22"/>
        </w:rPr>
        <w:t xml:space="preserve">  Early RA diagnosis and treatment has exceptional clinical impact. The platform's output language at HIGH RISK must clearly communicate the importance of prompt rheumatology evaluation — without creating alarm. The clinical urgency framing is higher here than in any degenerative condition module.</w:t>
      </w:r>
    </w:p>
    <w:p>
      <w:pPr>
        <w:pStyle w:val="ListParagraph"/>
        <w:numPr>
          <w:ilvl w:val="0"/>
          <w:numId w:val="2"/>
        </w:numPr>
        <w:spacing w:before="60" w:after="60"/>
      </w:pPr>
      <w:r>
        <w:rPr>
          <w:rFonts w:ascii="Arial" w:cs="Arial" w:eastAsia="Arial" w:hAnsi="Arial"/>
          <w:b/>
          <w:bCs/>
          <w:color w:val="1A1A1A"/>
          <w:sz w:val="22"/>
          <w:szCs w:val="22"/>
        </w:rPr>
        <w:t xml:space="preserve">ACR/EULAR criteria adaptation:</w:t>
      </w:r>
      <w:r>
        <w:rPr>
          <w:rFonts w:ascii="Arial" w:cs="Arial" w:eastAsia="Arial" w:hAnsi="Arial"/>
          <w:b w:val="false"/>
          <w:bCs w:val="false"/>
          <w:color w:val="1A1A1A"/>
          <w:sz w:val="22"/>
          <w:szCs w:val="22"/>
        </w:rPr>
        <w:t xml:space="preserve">  The scoring model is inspired by the 2010 ACR/EULAR classification criteria but does not claim to replicate them. Output language must never reference ACR/EULAR scores or classification thresholds — only self-described inflammatory pattern risk signals.</w:t>
      </w:r>
    </w:p>
    <w:p>
      <w:pPr>
        <w:pStyle w:val="ListParagraph"/>
        <w:numPr>
          <w:ilvl w:val="0"/>
          <w:numId w:val="2"/>
        </w:numPr>
        <w:spacing w:before="60" w:after="60"/>
      </w:pPr>
      <w:r>
        <w:rPr>
          <w:rFonts w:ascii="Arial" w:cs="Arial" w:eastAsia="Arial" w:hAnsi="Arial"/>
          <w:b/>
          <w:bCs/>
          <w:color w:val="1A1A1A"/>
          <w:sz w:val="22"/>
          <w:szCs w:val="22"/>
        </w:rPr>
        <w:t xml:space="preserve">No blood test recommendations:</w:t>
      </w:r>
      <w:r>
        <w:rPr>
          <w:rFonts w:ascii="Arial" w:cs="Arial" w:eastAsia="Arial" w:hAnsi="Arial"/>
          <w:b w:val="false"/>
          <w:bCs w:val="false"/>
          <w:color w:val="1A1A1A"/>
          <w:sz w:val="22"/>
          <w:szCs w:val="22"/>
        </w:rPr>
        <w:t xml:space="preserve">  The platform must not direct users to get specific blood tests (RF, anti-CCP, ESR, CRP). It routes to rheumatology specialists who will order appropriate investigations.</w:t>
      </w:r>
    </w:p>
    <w:p>
      <w:pPr>
        <w:pStyle w:val="ListParagraph"/>
        <w:numPr>
          <w:ilvl w:val="0"/>
          <w:numId w:val="2"/>
        </w:numPr>
        <w:spacing w:before="60" w:after="60"/>
      </w:pPr>
      <w:r>
        <w:rPr>
          <w:rFonts w:ascii="Arial" w:cs="Arial" w:eastAsia="Arial" w:hAnsi="Arial"/>
          <w:b/>
          <w:bCs/>
          <w:color w:val="1A1A1A"/>
          <w:sz w:val="22"/>
          <w:szCs w:val="22"/>
        </w:rPr>
        <w:t xml:space="preserve">No DMARD or medication references:</w:t>
      </w:r>
      <w:r>
        <w:rPr>
          <w:rFonts w:ascii="Arial" w:cs="Arial" w:eastAsia="Arial" w:hAnsi="Arial"/>
          <w:b w:val="false"/>
          <w:bCs w:val="false"/>
          <w:color w:val="1A1A1A"/>
          <w:sz w:val="22"/>
          <w:szCs w:val="22"/>
        </w:rPr>
        <w:t xml:space="preserve">  Output must never mention specific RA medications — methotrexate, hydroxychloroquine, biologics, JAK inhibitors, steroids — by name.</w:t>
      </w:r>
    </w:p>
    <w:p>
      <w:pPr>
        <w:pStyle w:val="ListParagraph"/>
        <w:numPr>
          <w:ilvl w:val="0"/>
          <w:numId w:val="2"/>
        </w:numPr>
        <w:spacing w:before="60" w:after="60"/>
      </w:pPr>
      <w:r>
        <w:rPr>
          <w:rFonts w:ascii="Arial" w:cs="Arial" w:eastAsia="Arial" w:hAnsi="Arial"/>
          <w:b/>
          <w:bCs/>
          <w:color w:val="1A1A1A"/>
          <w:sz w:val="22"/>
          <w:szCs w:val="22"/>
        </w:rPr>
        <w:t xml:space="preserve">Distinguishing RA from other inflammatory arthropathies:</w:t>
      </w:r>
      <w:r>
        <w:rPr>
          <w:rFonts w:ascii="Arial" w:cs="Arial" w:eastAsia="Arial" w:hAnsi="Arial"/>
          <w:b w:val="false"/>
          <w:bCs w:val="false"/>
          <w:color w:val="1A1A1A"/>
          <w:sz w:val="22"/>
          <w:szCs w:val="22"/>
        </w:rPr>
        <w:t xml:space="preserve">  The platform identifies RA-pattern signals but must acknowledge that other inflammatory arthropathies (psoriatic arthritis, lupus, gout) can present similarly. Output must recommend specialist evaluation for definitive differentiation — not label the user as having RA.</w:t>
      </w:r>
    </w:p>
    <w:p>
      <w:pPr>
        <w:pStyle w:val="ListParagraph"/>
        <w:numPr>
          <w:ilvl w:val="0"/>
          <w:numId w:val="2"/>
        </w:numPr>
        <w:spacing w:before="60" w:after="60"/>
      </w:pPr>
      <w:r>
        <w:rPr>
          <w:rFonts w:ascii="Arial" w:cs="Arial" w:eastAsia="Arial" w:hAnsi="Arial"/>
          <w:b/>
          <w:bCs/>
          <w:color w:val="1A1A1A"/>
          <w:sz w:val="22"/>
          <w:szCs w:val="22"/>
        </w:rPr>
        <w:t xml:space="preserve">No ICD-10 codes surfaced</w:t>
      </w:r>
      <w:r>
        <w:rPr>
          <w:rFonts w:ascii="Arial" w:cs="Arial" w:eastAsia="Arial" w:hAnsi="Arial"/>
          <w:b w:val="false"/>
          <w:bCs w:val="false"/>
          <w:color w:val="1A1A1A"/>
          <w:sz w:val="22"/>
          <w:szCs w:val="22"/>
        </w:rPr>
        <w:t xml:space="preserve"> (M05 Seropositive RA, M06 Seronegative RA, M08 JIA)</w:t>
      </w:r>
    </w:p>
    <w:p>
      <w:pPr>
        <w:spacing w:before="120" w:after="120"/>
      </w:pPr>
    </w:p>
    <w:p>
      <w:pPr>
        <w:pStyle w:val="Heading3"/>
        <w:spacing w:before="240" w:after="80"/>
      </w:pPr>
      <w:r>
        <w:rPr>
          <w:rFonts w:ascii="Arial" w:cs="Arial" w:eastAsia="Arial" w:hAnsi="Arial"/>
          <w:b/>
          <w:bCs/>
          <w:color w:val="2C3E50"/>
          <w:sz w:val="22"/>
          <w:szCs w:val="22"/>
        </w:rPr>
        <w:t xml:space="preserve">2.2  Mandatory Disclaimer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1"/>
              <w:left w:val="single" w:color="C0392B" w:sz="1"/>
              <w:bottom w:val="single" w:color="C0392B" w:sz="1"/>
              <w:right w:val="single" w:color="C0392B" w:sz="1"/>
            </w:tcBorders>
            <w:shd w:fill="FDECEA" w:val="clear"/>
            <w:tcMar>
              <w:top w:type="dxa" w:w="160"/>
              <w:left w:type="dxa" w:w="240"/>
              <w:bottom w:type="dxa" w:w="160"/>
              <w:right w:type="dxa" w:w="240"/>
            </w:tcMar>
          </w:tcPr>
          <w:p>
            <w:pPr>
              <w:spacing w:before="80" w:after="80"/>
              <w:jc w:val="left"/>
            </w:pPr>
            <w:r>
              <w:rPr>
                <w:rFonts w:ascii="Arial" w:cs="Arial" w:eastAsia="Arial" w:hAnsi="Arial"/>
                <w:b/>
                <w:bCs/>
                <w:color w:val="C0392B"/>
                <w:sz w:val="20"/>
                <w:szCs w:val="20"/>
              </w:rPr>
              <w:t xml:space="preserve">Standard Disclaimer + Autoimmune Condition Addendum</w:t>
            </w:r>
          </w:p>
          <w:p>
            <w:pPr>
              <w:spacing w:before="80" w:after="80"/>
              <w:jc w:val="left"/>
            </w:pPr>
            <w:r>
              <w:rPr>
                <w:rFonts w:ascii="Arial" w:cs="Arial" w:eastAsia="Arial" w:hAnsi="Arial"/>
                <w:i/>
                <w:iCs/>
                <w:color w:val="2C3E50"/>
                <w:sz w:val="20"/>
                <w:szCs w:val="20"/>
              </w:rPr>
              <w:t xml:space="preserve">"Kriya QuickScan is a self-reported wellness risk tool and does not constitute a medical diagnosis. The risk signals generated are based on your responses and are intended to guide general awareness only. Please consult a qualified healthcare professional for clinical assessment, diagnosis, or treatment."</w:t>
            </w:r>
          </w:p>
          <w:p>
            <w:pPr>
              <w:spacing w:before="60" w:after="120"/>
            </w:pPr>
          </w:p>
          <w:p>
            <w:pPr>
              <w:spacing w:before="80" w:after="80"/>
              <w:jc w:val="left"/>
            </w:pPr>
            <w:r>
              <w:rPr>
                <w:rFonts w:ascii="Arial" w:cs="Arial" w:eastAsia="Arial" w:hAnsi="Arial"/>
                <w:i/>
                <w:iCs/>
                <w:color w:val="C0392B"/>
                <w:sz w:val="20"/>
                <w:szCs w:val="20"/>
              </w:rPr>
              <w:t xml:space="preserve">"This scan cannot diagnose Rheumatoid Arthritis or other inflammatory joint conditions. A diagnosis of RA requires clinical examination, blood tests (including Rheumatoid Factor and Anti-CCP antibody tests), and imaging assessment by a qualified rheumatologist or physician. If your symptom pattern is consistent with RA, prompt clinical evaluation is strongly recommended."</w:t>
            </w:r>
          </w:p>
        </w:tc>
      </w:tr>
    </w:tbl>
    <w:p>
      <w:pPr>
        <w:spacing w:before="120" w:after="120"/>
      </w:pPr>
    </w:p>
    <w:p>
      <w:pPr>
        <w:pStyle w:val="Heading3"/>
        <w:spacing w:before="240" w:after="80"/>
      </w:pPr>
      <w:r>
        <w:rPr>
          <w:rFonts w:ascii="Arial" w:cs="Arial" w:eastAsia="Arial" w:hAnsi="Arial"/>
          <w:b/>
          <w:bCs/>
          <w:color w:val="2C3E50"/>
          <w:sz w:val="22"/>
          <w:szCs w:val="22"/>
        </w:rPr>
        <w:t xml:space="preserve">2.3  Red Flag Protocol — Rheumatoid Arthritis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tcBorders>
              <w:top w:val="single" w:color="0D7377" w:sz="1"/>
              <w:left w:val="single" w:color="0D7377" w:sz="1"/>
              <w:bottom w:val="single" w:color="0D7377" w:sz="1"/>
              <w:right w:val="single" w:color="0D7377" w:sz="1"/>
            </w:tcBorders>
            <w:shd w:fill="C0392B"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Red Flag Symptom</w:t>
            </w:r>
          </w:p>
        </w:tc>
        <w:tc>
          <w:tcPr>
            <w:tcW w:type="dxa" w:w="3200"/>
            <w:tcBorders>
              <w:top w:val="single" w:color="0D7377" w:sz="1"/>
              <w:left w:val="single" w:color="0D7377" w:sz="1"/>
              <w:bottom w:val="single" w:color="0D7377" w:sz="1"/>
              <w:right w:val="single" w:color="0D7377" w:sz="1"/>
            </w:tcBorders>
            <w:shd w:fill="C0392B"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Clinical Concern</w:t>
            </w:r>
          </w:p>
        </w:tc>
        <w:tc>
          <w:tcPr>
            <w:tcW w:type="dxa" w:w="2960"/>
            <w:tcBorders>
              <w:top w:val="single" w:color="0D7377" w:sz="1"/>
              <w:left w:val="single" w:color="0D7377" w:sz="1"/>
              <w:bottom w:val="single" w:color="0D7377" w:sz="1"/>
              <w:right w:val="single" w:color="0D7377" w:sz="1"/>
            </w:tcBorders>
            <w:shd w:fill="C0392B"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Required Action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Acutely swollen, hot, red joint with fever — sudden onset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Septic arthritis (joint infection — medical emergency); or acute severe RA flare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Immediate A&amp;E referral</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New RA-pattern symptoms in a user on immunosuppressants with fever or infection signs</w:t>
            </w:r>
          </w:p>
        </w:tc>
        <w:tc>
          <w:tcPr>
            <w:tcW w:type="dxa" w:w="3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Opportunistic infection in immunocompromised patient</w:t>
            </w:r>
          </w:p>
        </w:tc>
        <w:tc>
          <w:tcPr>
            <w:tcW w:type="dxa" w:w="29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Immediate A&amp;E / rheumatology emergency line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Sudden onset of visual disturbance, red eye, or eye pain in RA patient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Scleritis or uveitis — extra-articular RA complication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Urgent ophthalmology referral within 24–48 hrs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Chest pain or shortness of breath in a user with known or suspected RA</w:t>
            </w:r>
          </w:p>
        </w:tc>
        <w:tc>
          <w:tcPr>
            <w:tcW w:type="dxa" w:w="3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RA-related pericarditis or pleuritis; or cardiovascular risk elevation</w:t>
            </w:r>
          </w:p>
        </w:tc>
        <w:tc>
          <w:tcPr>
            <w:tcW w:type="dxa" w:w="29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Urgent cardiac/medical evaluation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Rapidly progressive joint destruction — increasing deformity over weeks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Aggressive erosive RA — requires urgent DMARD initiation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Urgent rheumatology referral within 1–2 weeks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Newly suspected RA — symptom duration less than 12 weeks</w:t>
            </w:r>
          </w:p>
        </w:tc>
        <w:tc>
          <w:tcPr>
            <w:tcW w:type="dxa" w:w="3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Window of opportunity — early intervention dramatically improves outcomes</w:t>
            </w:r>
          </w:p>
        </w:tc>
        <w:tc>
          <w:tcPr>
            <w:tcW w:type="dxa" w:w="29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Urgent rheumatology referral within 2–4 weeks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RA patient with unexplained significant weight loss &gt; 5 kg or persistent fever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Systemic complication, lymphoma risk (RA-associated), or infection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Urgent medical evaluation</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1"/>
              <w:left w:val="single" w:color="C0392B" w:sz="1"/>
              <w:bottom w:val="single" w:color="C0392B" w:sz="1"/>
              <w:right w:val="single" w:color="C0392B" w:sz="1"/>
            </w:tcBorders>
            <w:shd w:fill="FDECEA" w:val="clear"/>
            <w:tcMar>
              <w:top w:type="dxa" w:w="160"/>
              <w:left w:type="dxa" w:w="240"/>
              <w:bottom w:type="dxa" w:w="160"/>
              <w:right w:type="dxa" w:w="240"/>
            </w:tcMar>
          </w:tcPr>
          <w:p>
            <w:pPr>
              <w:spacing w:before="80" w:after="80"/>
              <w:jc w:val="left"/>
            </w:pPr>
            <w:r>
              <w:rPr>
                <w:rFonts w:ascii="Arial" w:cs="Arial" w:eastAsia="Arial" w:hAnsi="Arial"/>
                <w:b/>
                <w:bCs/>
                <w:color w:val="C0392B"/>
                <w:sz w:val="20"/>
                <w:szCs w:val="20"/>
              </w:rPr>
              <w:t xml:space="preserve">Window of Opportunity Alert — Design Requirement</w:t>
            </w:r>
          </w:p>
          <w:p>
            <w:pPr>
              <w:spacing w:before="80" w:after="80"/>
              <w:jc w:val="left"/>
            </w:pPr>
            <w:r>
              <w:rPr>
                <w:rFonts w:ascii="Arial" w:cs="Arial" w:eastAsia="Arial" w:hAnsi="Arial"/>
                <w:b w:val="false"/>
                <w:bCs w:val="false"/>
                <w:color w:val="1A1A1A"/>
                <w:sz w:val="20"/>
                <w:szCs w:val="20"/>
              </w:rPr>
              <w:t xml:space="preserve">Users whose symptom duration is less than 12 weeks AND who score HIGH RISK must trigger a special 'Window of Opportunity' alert — distinct from the standard emergency red flags. This is not a safety emergency but a clinical urgency: early rheumatology referral within 2–4 weeks can dramatically alter long-term outcomes. The output for this profile must communicate urgency without alarm: 'Your symptom profile and its recent onset make prompt rheumatology evaluation particularly important — early treatment for inflammatory arthritis is significantly more effective than delayed treatment.'</w:t>
            </w:r>
          </w:p>
        </w:tc>
      </w:tr>
    </w:tbl>
    <w:p>
      <w:pPr>
        <w:spacing w:before="200" w:after="120"/>
      </w:pPr>
    </w:p>
    <w:p>
      <w:r>
        <w:br w:type="page"/>
      </w:r>
    </w:p>
    <w:p>
      <w:pPr>
        <w:pStyle w:val="Heading1"/>
        <w:spacing w:before="400" w:after="160"/>
      </w:pPr>
      <w:r>
        <w:rPr>
          <w:rFonts w:ascii="Arial" w:cs="Arial" w:eastAsia="Arial" w:hAnsi="Arial"/>
          <w:b/>
          <w:bCs/>
          <w:color w:val="0D7377"/>
          <w:sz w:val="32"/>
          <w:szCs w:val="32"/>
        </w:rPr>
        <w:t xml:space="preserve">3.  Persona Definitions</w:t>
      </w:r>
    </w:p>
    <w:p>
      <w:pPr>
        <w:pBdr>
          <w:bottom w:val="single" w:color="0D7377" w:sz="8" w:space="1"/>
        </w:pBdr>
        <w:spacing w:before="0" w:after="160"/>
      </w:pPr>
    </w:p>
    <w:p>
      <w:pPr>
        <w:spacing w:before="80" w:after="80"/>
        <w:jc w:val="left"/>
      </w:pPr>
      <w:r>
        <w:rPr>
          <w:rFonts w:ascii="Arial" w:cs="Arial" w:eastAsia="Arial" w:hAnsi="Arial"/>
          <w:b w:val="false"/>
          <w:bCs w:val="false"/>
          <w:color w:val="1A1A1A"/>
          <w:sz w:val="22"/>
          <w:szCs w:val="22"/>
        </w:rPr>
        <w:t xml:space="preserve">Three personas spanning the early undiagnosed, established managed, and OA-referral populations are defined.</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377" w:sz="1"/>
              <w:left w:val="single" w:color="0D7377" w:sz="1"/>
              <w:bottom w:val="single" w:color="0D7377" w:sz="1"/>
              <w:right w:val="single" w:color="0D7377" w:sz="1"/>
            </w:tcBorders>
            <w:shd w:fill="E6F4F4" w:val="clear"/>
            <w:tcMar>
              <w:top w:type="dxa" w:w="160"/>
              <w:left w:type="dxa" w:w="240"/>
              <w:bottom w:type="dxa" w:w="160"/>
              <w:right w:type="dxa" w:w="240"/>
            </w:tcMar>
          </w:tcPr>
          <w:p>
            <w:pPr>
              <w:spacing w:before="80" w:after="80"/>
              <w:jc w:val="left"/>
            </w:pPr>
            <w:r>
              <w:rPr>
                <w:rFonts w:ascii="Arial" w:cs="Arial" w:eastAsia="Arial" w:hAnsi="Arial"/>
                <w:b/>
                <w:bCs/>
                <w:color w:val="0D7377"/>
                <w:sz w:val="22"/>
                <w:szCs w:val="22"/>
              </w:rPr>
              <w:t xml:space="preserve">Persona 1 — Lakshmi, 42  |  The Undiagnosed Early RA Suspect</w:t>
            </w:r>
          </w:p>
          <w:p>
            <w:pPr>
              <w:spacing w:before="60" w:after="120"/>
            </w:pPr>
          </w:p>
          <w:p>
            <w:pPr>
              <w:spacing w:before="80" w:after="80"/>
              <w:jc w:val="left"/>
            </w:pPr>
            <w:r>
              <w:rPr>
                <w:rFonts w:ascii="Arial" w:cs="Arial" w:eastAsia="Arial" w:hAnsi="Arial"/>
                <w:b/>
                <w:bCs/>
                <w:color w:val="1A1A1A"/>
                <w:sz w:val="20"/>
                <w:szCs w:val="20"/>
              </w:rPr>
              <w:t xml:space="preserve">Profile:</w:t>
            </w:r>
            <w:r>
              <w:rPr>
                <w:rFonts w:ascii="Arial" w:cs="Arial" w:eastAsia="Arial" w:hAnsi="Arial"/>
                <w:b w:val="false"/>
                <w:bCs w:val="false"/>
                <w:color w:val="1A1A1A"/>
                <w:sz w:val="20"/>
                <w:szCs w:val="20"/>
              </w:rPr>
              <w:t xml:space="preserve">  School principal, Mysuru. For the past 8 weeks has had swollen, tender, and stiff small joints in both hands — particularly the knuckles and middle finger joints. Morning stiffness lasting 90+ minutes. Significant fatigue that she attributes to stress and overwork. Has self-medicated with ibuprofen. Family doctor said it was 'likely muscle pain' and suggested rest.</w:t>
            </w:r>
          </w:p>
          <w:p>
            <w:pPr>
              <w:spacing w:before="80" w:after="80"/>
              <w:jc w:val="left"/>
            </w:pPr>
            <w:r>
              <w:rPr>
                <w:rFonts w:ascii="Arial" w:cs="Arial" w:eastAsia="Arial" w:hAnsi="Arial"/>
                <w:b/>
                <w:bCs/>
                <w:color w:val="1A1A1A"/>
                <w:sz w:val="20"/>
                <w:szCs w:val="20"/>
              </w:rPr>
              <w:t xml:space="preserve">Entry Point:</w:t>
            </w:r>
            <w:r>
              <w:rPr>
                <w:rFonts w:ascii="Arial" w:cs="Arial" w:eastAsia="Arial" w:hAnsi="Arial"/>
                <w:b w:val="false"/>
                <w:bCs w:val="false"/>
                <w:color w:val="1A1A1A"/>
                <w:sz w:val="20"/>
                <w:szCs w:val="20"/>
              </w:rPr>
              <w:t xml:space="preserve">  Searched for symptoms online; found Kriya via arthritis awareness content. Moderate digital literacy. Growing concern that something systemic is wrong.</w:t>
            </w:r>
          </w:p>
          <w:p>
            <w:pPr>
              <w:spacing w:before="80" w:after="80"/>
              <w:jc w:val="left"/>
            </w:pPr>
            <w:r>
              <w:rPr>
                <w:rFonts w:ascii="Arial" w:cs="Arial" w:eastAsia="Arial" w:hAnsi="Arial"/>
                <w:b/>
                <w:bCs/>
                <w:color w:val="1A1A1A"/>
                <w:sz w:val="20"/>
                <w:szCs w:val="20"/>
              </w:rPr>
              <w:t xml:space="preserve">Primary Motivation:</w:t>
            </w:r>
            <w:r>
              <w:rPr>
                <w:rFonts w:ascii="Arial" w:cs="Arial" w:eastAsia="Arial" w:hAnsi="Arial"/>
                <w:b w:val="false"/>
                <w:bCs w:val="false"/>
                <w:color w:val="1A1A1A"/>
                <w:sz w:val="20"/>
                <w:szCs w:val="20"/>
              </w:rPr>
              <w:t xml:space="preserve">  Wants to know if her symptoms are serious and whether she needs to see a specialist.</w:t>
            </w:r>
          </w:p>
          <w:p>
            <w:pPr>
              <w:spacing w:before="80" w:after="80"/>
              <w:jc w:val="left"/>
            </w:pPr>
            <w:r>
              <w:rPr>
                <w:rFonts w:ascii="Arial" w:cs="Arial" w:eastAsia="Arial" w:hAnsi="Arial"/>
                <w:b/>
                <w:bCs/>
                <w:color w:val="1A1A1A"/>
                <w:sz w:val="20"/>
                <w:szCs w:val="20"/>
              </w:rPr>
              <w:t xml:space="preserve">Risk Expectation:</w:t>
            </w:r>
            <w:r>
              <w:rPr>
                <w:rFonts w:ascii="Arial" w:cs="Arial" w:eastAsia="Arial" w:hAnsi="Arial"/>
                <w:b w:val="false"/>
                <w:bCs w:val="false"/>
                <w:color w:val="1A1A1A"/>
                <w:sz w:val="20"/>
                <w:szCs w:val="20"/>
              </w:rPr>
              <w:t xml:space="preserve">  HIGH. Classic early RA presentation — symmetrical small joint swelling, prolonged morning stiffness, fatigue. 8-week duration = within the window of opportunity. Urgent rheumatology referral is the critical output.</w:t>
            </w:r>
          </w:p>
          <w:p>
            <w:pPr>
              <w:spacing w:before="80" w:after="80"/>
              <w:jc w:val="left"/>
            </w:pPr>
            <w:r>
              <w:rPr>
                <w:rFonts w:ascii="Arial" w:cs="Arial" w:eastAsia="Arial" w:hAnsi="Arial"/>
                <w:b/>
                <w:bCs/>
                <w:color w:val="1A1A1A"/>
                <w:sz w:val="20"/>
                <w:szCs w:val="20"/>
              </w:rPr>
              <w:t xml:space="preserve">UX Implication:</w:t>
            </w:r>
            <w:r>
              <w:rPr>
                <w:rFonts w:ascii="Arial" w:cs="Arial" w:eastAsia="Arial" w:hAnsi="Arial"/>
                <w:b w:val="false"/>
                <w:bCs w:val="false"/>
                <w:color w:val="1A1A1A"/>
                <w:sz w:val="20"/>
                <w:szCs w:val="20"/>
              </w:rPr>
              <w:t xml:space="preserve">  This is the highest-stakes persona in the module. Output must be clear, urgent, and empowering — not alarming. 'Window of Opportunity' alert must be prominent. Language must validate her experience (her doctor's dismissal) while providing actionable next steps.</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39C12" w:sz="1"/>
              <w:left w:val="single" w:color="F39C12" w:sz="1"/>
              <w:bottom w:val="single" w:color="F39C12" w:sz="1"/>
              <w:right w:val="single" w:color="F39C12" w:sz="1"/>
            </w:tcBorders>
            <w:shd w:fill="FEF9EC" w:val="clear"/>
            <w:tcMar>
              <w:top w:type="dxa" w:w="160"/>
              <w:left w:type="dxa" w:w="240"/>
              <w:bottom w:type="dxa" w:w="160"/>
              <w:right w:type="dxa" w:w="240"/>
            </w:tcMar>
          </w:tcPr>
          <w:p>
            <w:pPr>
              <w:spacing w:before="80" w:after="80"/>
              <w:jc w:val="left"/>
            </w:pPr>
            <w:r>
              <w:rPr>
                <w:rFonts w:ascii="Arial" w:cs="Arial" w:eastAsia="Arial" w:hAnsi="Arial"/>
                <w:b/>
                <w:bCs/>
                <w:color w:val="F39C12"/>
                <w:sz w:val="22"/>
                <w:szCs w:val="22"/>
              </w:rPr>
              <w:t xml:space="preserve">Persona 2 — Meena, 58  |  The Established RA Patient Monitoring Flare</w:t>
            </w:r>
          </w:p>
          <w:p>
            <w:pPr>
              <w:spacing w:before="60" w:after="120"/>
            </w:pPr>
          </w:p>
          <w:p>
            <w:pPr>
              <w:spacing w:before="80" w:after="80"/>
              <w:jc w:val="left"/>
            </w:pPr>
            <w:r>
              <w:rPr>
                <w:rFonts w:ascii="Arial" w:cs="Arial" w:eastAsia="Arial" w:hAnsi="Arial"/>
                <w:b/>
                <w:bCs/>
                <w:color w:val="1A1A1A"/>
                <w:sz w:val="20"/>
                <w:szCs w:val="20"/>
              </w:rPr>
              <w:t xml:space="preserve">Profile:</w:t>
            </w:r>
            <w:r>
              <w:rPr>
                <w:rFonts w:ascii="Arial" w:cs="Arial" w:eastAsia="Arial" w:hAnsi="Arial"/>
                <w:b w:val="false"/>
                <w:bCs w:val="false"/>
                <w:color w:val="1A1A1A"/>
                <w:sz w:val="20"/>
                <w:szCs w:val="20"/>
              </w:rPr>
              <w:t xml:space="preserve">  Retired civil servant, Kolkata. Diagnosed with seropositive RA 9 years ago. On methotrexate and hydroxychloroquine with reasonably good control. Over the past 3 weeks has noticed increased morning stiffness (back to 75 minutes), new swelling in both wrists, and fatigue returning. Concerned this may be a flare and wondering whether to contact her rheumatologist.</w:t>
            </w:r>
          </w:p>
          <w:p>
            <w:pPr>
              <w:spacing w:before="80" w:after="80"/>
              <w:jc w:val="left"/>
            </w:pPr>
            <w:r>
              <w:rPr>
                <w:rFonts w:ascii="Arial" w:cs="Arial" w:eastAsia="Arial" w:hAnsi="Arial"/>
                <w:b/>
                <w:bCs/>
                <w:color w:val="1A1A1A"/>
                <w:sz w:val="20"/>
                <w:szCs w:val="20"/>
              </w:rPr>
              <w:t xml:space="preserve">Entry Point:</w:t>
            </w:r>
            <w:r>
              <w:rPr>
                <w:rFonts w:ascii="Arial" w:cs="Arial" w:eastAsia="Arial" w:hAnsi="Arial"/>
                <w:b w:val="false"/>
                <w:bCs w:val="false"/>
                <w:color w:val="1A1A1A"/>
                <w:sz w:val="20"/>
                <w:szCs w:val="20"/>
              </w:rPr>
              <w:t xml:space="preserve">  Uses Kriya between rheumatology appointments as a monitoring tool. Moderate-to-high health literacy given 9-year disease history.</w:t>
            </w:r>
          </w:p>
          <w:p>
            <w:pPr>
              <w:spacing w:before="80" w:after="80"/>
              <w:jc w:val="left"/>
            </w:pPr>
            <w:r>
              <w:rPr>
                <w:rFonts w:ascii="Arial" w:cs="Arial" w:eastAsia="Arial" w:hAnsi="Arial"/>
                <w:b/>
                <w:bCs/>
                <w:color w:val="1A1A1A"/>
                <w:sz w:val="20"/>
                <w:szCs w:val="20"/>
              </w:rPr>
              <w:t xml:space="preserve">Primary Motivation:</w:t>
            </w:r>
            <w:r>
              <w:rPr>
                <w:rFonts w:ascii="Arial" w:cs="Arial" w:eastAsia="Arial" w:hAnsi="Arial"/>
                <w:b w:val="false"/>
                <w:bCs w:val="false"/>
                <w:color w:val="1A1A1A"/>
                <w:sz w:val="20"/>
                <w:szCs w:val="20"/>
              </w:rPr>
              <w:t xml:space="preserve">  Wants to know whether her current symptom changes warrant contacting her rheumatologist or whether this is within expected variation.</w:t>
            </w:r>
          </w:p>
          <w:p>
            <w:pPr>
              <w:spacing w:before="80" w:after="80"/>
              <w:jc w:val="left"/>
            </w:pPr>
            <w:r>
              <w:rPr>
                <w:rFonts w:ascii="Arial" w:cs="Arial" w:eastAsia="Arial" w:hAnsi="Arial"/>
                <w:b/>
                <w:bCs/>
                <w:color w:val="1A1A1A"/>
                <w:sz w:val="20"/>
                <w:szCs w:val="20"/>
              </w:rPr>
              <w:t xml:space="preserve">Risk Expectation:</w:t>
            </w:r>
            <w:r>
              <w:rPr>
                <w:rFonts w:ascii="Arial" w:cs="Arial" w:eastAsia="Arial" w:hAnsi="Arial"/>
                <w:b w:val="false"/>
                <w:bCs w:val="false"/>
                <w:color w:val="1A1A1A"/>
                <w:sz w:val="20"/>
                <w:szCs w:val="20"/>
              </w:rPr>
              <w:t xml:space="preserve">  MODERATE to HIGH. Established RA with flare pattern — increased stiffness, new swelling, fatigue returning. Warrants rheumatology contact and possible medication review.</w:t>
            </w:r>
          </w:p>
          <w:p>
            <w:pPr>
              <w:spacing w:before="80" w:after="80"/>
              <w:jc w:val="left"/>
            </w:pPr>
            <w:r>
              <w:rPr>
                <w:rFonts w:ascii="Arial" w:cs="Arial" w:eastAsia="Arial" w:hAnsi="Arial"/>
                <w:b/>
                <w:bCs/>
                <w:color w:val="1A1A1A"/>
                <w:sz w:val="20"/>
                <w:szCs w:val="20"/>
              </w:rPr>
              <w:t xml:space="preserve">UX Implication:</w:t>
            </w:r>
            <w:r>
              <w:rPr>
                <w:rFonts w:ascii="Arial" w:cs="Arial" w:eastAsia="Arial" w:hAnsi="Arial"/>
                <w:b w:val="false"/>
                <w:bCs w:val="false"/>
                <w:color w:val="1A1A1A"/>
                <w:sz w:val="20"/>
                <w:szCs w:val="20"/>
              </w:rPr>
              <w:t xml:space="preserve">  Output must acknowledge the established RA context and frame the flare assessment in continuity-of-care language. Route to rheumatology contact CTA (not new referral — she has an existing specialist). Myo AI pre-populated with RA flare context.</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8449" w:sz="1"/>
              <w:left w:val="single" w:color="1E8449" w:sz="1"/>
              <w:bottom w:val="single" w:color="1E8449" w:sz="1"/>
              <w:right w:val="single" w:color="1E8449" w:sz="1"/>
            </w:tcBorders>
            <w:shd w:fill="EAFAF1" w:val="clear"/>
            <w:tcMar>
              <w:top w:type="dxa" w:w="160"/>
              <w:left w:type="dxa" w:w="240"/>
              <w:bottom w:type="dxa" w:w="160"/>
              <w:right w:type="dxa" w:w="240"/>
            </w:tcMar>
          </w:tcPr>
          <w:p>
            <w:pPr>
              <w:spacing w:before="80" w:after="80"/>
              <w:jc w:val="left"/>
            </w:pPr>
            <w:r>
              <w:rPr>
                <w:rFonts w:ascii="Arial" w:cs="Arial" w:eastAsia="Arial" w:hAnsi="Arial"/>
                <w:b/>
                <w:bCs/>
                <w:color w:val="1E8449"/>
                <w:sz w:val="22"/>
                <w:szCs w:val="22"/>
              </w:rPr>
              <w:t xml:space="preserve">Persona 3 — Rajan, 51  |  The OA Differentiation Referral</w:t>
            </w:r>
          </w:p>
          <w:p>
            <w:pPr>
              <w:spacing w:before="60" w:after="120"/>
            </w:pPr>
          </w:p>
          <w:p>
            <w:pPr>
              <w:spacing w:before="80" w:after="80"/>
              <w:jc w:val="left"/>
            </w:pPr>
            <w:r>
              <w:rPr>
                <w:rFonts w:ascii="Arial" w:cs="Arial" w:eastAsia="Arial" w:hAnsi="Arial"/>
                <w:b/>
                <w:bCs/>
                <w:color w:val="1A1A1A"/>
                <w:sz w:val="20"/>
                <w:szCs w:val="20"/>
              </w:rPr>
              <w:t xml:space="preserve">Profile:</w:t>
            </w:r>
            <w:r>
              <w:rPr>
                <w:rFonts w:ascii="Arial" w:cs="Arial" w:eastAsia="Arial" w:hAnsi="Arial"/>
                <w:b w:val="false"/>
                <w:bCs w:val="false"/>
                <w:color w:val="1A1A1A"/>
                <w:sz w:val="20"/>
                <w:szCs w:val="20"/>
              </w:rPr>
              <w:t xml:space="preserve">  IT manager, Hyderabad. Was completing the Kriya OA QuickScan for joint pain and triggered the RA Differentiation Alert due to morning stiffness lasting 80 minutes and symmetrical wrist and finger joint pain. Has no prior arthritis diagnosis. Has attributed his symptoms to 'keyboard strain' from 12-hour workdays. No fatigue or systemic symptoms.</w:t>
            </w:r>
          </w:p>
          <w:p>
            <w:pPr>
              <w:spacing w:before="80" w:after="80"/>
              <w:jc w:val="left"/>
            </w:pPr>
            <w:r>
              <w:rPr>
                <w:rFonts w:ascii="Arial" w:cs="Arial" w:eastAsia="Arial" w:hAnsi="Arial"/>
                <w:b/>
                <w:bCs/>
                <w:color w:val="1A1A1A"/>
                <w:sz w:val="20"/>
                <w:szCs w:val="20"/>
              </w:rPr>
              <w:t xml:space="preserve">Entry Point:</w:t>
            </w:r>
            <w:r>
              <w:rPr>
                <w:rFonts w:ascii="Arial" w:cs="Arial" w:eastAsia="Arial" w:hAnsi="Arial"/>
                <w:b w:val="false"/>
                <w:bCs w:val="false"/>
                <w:color w:val="1A1A1A"/>
                <w:sz w:val="20"/>
                <w:szCs w:val="20"/>
              </w:rPr>
              <w:t xml:space="preserve">  Cross-referred from OA QuickScan RA Differentiation Alert. High digital literacy. Somewhat surprised to be here — did not consider RA as a possibility.</w:t>
            </w:r>
          </w:p>
          <w:p>
            <w:pPr>
              <w:spacing w:before="80" w:after="80"/>
              <w:jc w:val="left"/>
            </w:pPr>
            <w:r>
              <w:rPr>
                <w:rFonts w:ascii="Arial" w:cs="Arial" w:eastAsia="Arial" w:hAnsi="Arial"/>
                <w:b/>
                <w:bCs/>
                <w:color w:val="1A1A1A"/>
                <w:sz w:val="20"/>
                <w:szCs w:val="20"/>
              </w:rPr>
              <w:t xml:space="preserve">Primary Motivation:</w:t>
            </w:r>
            <w:r>
              <w:rPr>
                <w:rFonts w:ascii="Arial" w:cs="Arial" w:eastAsia="Arial" w:hAnsi="Arial"/>
                <w:b w:val="false"/>
                <w:bCs w:val="false"/>
                <w:color w:val="1A1A1A"/>
                <w:sz w:val="20"/>
                <w:szCs w:val="20"/>
              </w:rPr>
              <w:t xml:space="preserve">  Wants to understand what the RA Differentiation Alert means and whether he actually needs to see a rheumatologist.</w:t>
            </w:r>
          </w:p>
          <w:p>
            <w:pPr>
              <w:spacing w:before="80" w:after="80"/>
              <w:jc w:val="left"/>
            </w:pPr>
            <w:r>
              <w:rPr>
                <w:rFonts w:ascii="Arial" w:cs="Arial" w:eastAsia="Arial" w:hAnsi="Arial"/>
                <w:b/>
                <w:bCs/>
                <w:color w:val="1A1A1A"/>
                <w:sz w:val="20"/>
                <w:szCs w:val="20"/>
              </w:rPr>
              <w:t xml:space="preserve">Risk Expectation:</w:t>
            </w:r>
            <w:r>
              <w:rPr>
                <w:rFonts w:ascii="Arial" w:cs="Arial" w:eastAsia="Arial" w:hAnsi="Arial"/>
                <w:b w:val="false"/>
                <w:bCs w:val="false"/>
                <w:color w:val="1A1A1A"/>
                <w:sz w:val="20"/>
                <w:szCs w:val="20"/>
              </w:rPr>
              <w:t xml:space="preserve">  MODERATE. Stiffness duration and symmetrical pattern are concerning but absence of fatigue and systemic symptoms may indicate earlier or milder disease — or seronegative RA. Rheumatology evaluation remains appropriate.</w:t>
            </w:r>
          </w:p>
          <w:p>
            <w:pPr>
              <w:spacing w:before="80" w:after="80"/>
              <w:jc w:val="left"/>
            </w:pPr>
            <w:r>
              <w:rPr>
                <w:rFonts w:ascii="Arial" w:cs="Arial" w:eastAsia="Arial" w:hAnsi="Arial"/>
                <w:b/>
                <w:bCs/>
                <w:color w:val="1A1A1A"/>
                <w:sz w:val="20"/>
                <w:szCs w:val="20"/>
              </w:rPr>
              <w:t xml:space="preserve">UX Implication:</w:t>
            </w:r>
            <w:r>
              <w:rPr>
                <w:rFonts w:ascii="Arial" w:cs="Arial" w:eastAsia="Arial" w:hAnsi="Arial"/>
                <w:b w:val="false"/>
                <w:bCs w:val="false"/>
                <w:color w:val="1A1A1A"/>
                <w:sz w:val="20"/>
                <w:szCs w:val="20"/>
              </w:rPr>
              <w:t xml:space="preserve">  Output must explain the RA Differentiation Alert in plain language and build a logical case for rheumatology evaluation without catastrophising. Cross-reference the OA scan result. Myo AI education on RA vs OA distinction is a key engagement lever.</w:t>
            </w:r>
          </w:p>
        </w:tc>
      </w:tr>
    </w:tbl>
    <w:p>
      <w:pPr>
        <w:spacing w:before="200" w:after="120"/>
      </w:pPr>
    </w:p>
    <w:p>
      <w:r>
        <w:br w:type="page"/>
      </w:r>
    </w:p>
    <w:p>
      <w:pPr>
        <w:pStyle w:val="Heading1"/>
        <w:spacing w:before="400" w:after="160"/>
      </w:pPr>
      <w:r>
        <w:rPr>
          <w:rFonts w:ascii="Arial" w:cs="Arial" w:eastAsia="Arial" w:hAnsi="Arial"/>
          <w:b/>
          <w:bCs/>
          <w:color w:val="0D7377"/>
          <w:sz w:val="32"/>
          <w:szCs w:val="32"/>
        </w:rPr>
        <w:t xml:space="preserve">4.  Question Bank Architecture</w:t>
      </w:r>
    </w:p>
    <w:p>
      <w:pPr>
        <w:pBdr>
          <w:bottom w:val="single" w:color="0D7377" w:sz="8" w:space="1"/>
        </w:pBdr>
        <w:spacing w:before="0" w:after="160"/>
      </w:pPr>
    </w:p>
    <w:p>
      <w:pPr>
        <w:pStyle w:val="Heading3"/>
        <w:spacing w:before="240" w:after="80"/>
      </w:pPr>
      <w:r>
        <w:rPr>
          <w:rFonts w:ascii="Arial" w:cs="Arial" w:eastAsia="Arial" w:hAnsi="Arial"/>
          <w:b/>
          <w:bCs/>
          <w:color w:val="2C3E50"/>
          <w:sz w:val="22"/>
          <w:szCs w:val="22"/>
        </w:rPr>
        <w:t xml:space="preserve">4.1  Clinical Validation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Validated Instrument</w:t>
            </w:r>
          </w:p>
        </w:tc>
        <w:tc>
          <w:tcPr>
            <w:tcW w:type="dxa" w:w="51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Application in QuickScan</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ACR/EULAR 2010 RA Classification Criteria</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Primary scoring framework — joint involvement (0–5 pts), serology (0–3 pts), acute phase reactants (0–1 pt), symptom duration (0–1 pt) — adapted for self-report</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DAS28 — Disease Activity Score (conceptual items)</w:t>
            </w:r>
          </w:p>
        </w:tc>
        <w:tc>
          <w:tcPr>
            <w:tcW w:type="dxa" w:w="5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Morning stiffness duration and swollen/tender joint count items — adapted for self-report monitoring</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HAQ-DI — Health Assessment Questionnaire Disability Index</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Functional limitation items across 8 domains — dressing, arising, eating, walking, hygiene, reach, grip, errands</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RAPID3 — Routine Assessment of Patient Index Data</w:t>
            </w:r>
          </w:p>
        </w:tc>
        <w:tc>
          <w:tcPr>
            <w:tcW w:type="dxa" w:w="5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3-item patient-reported outcome: physical function, pain, patient global assessment — adapted as Layer 3 items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EULAR/ACR Early Arthritis Clinic Guidelines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Early referral criteria and window of opportunity framing</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NICE Guidelines — Rheumatoid Arthritis (NG100)</w:t>
            </w:r>
          </w:p>
        </w:tc>
        <w:tc>
          <w:tcPr>
            <w:tcW w:type="dxa" w:w="5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Early referral criteria, monitoring indicators, extra-articular complication recognition</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CDAI / SDAI simplified disease activity items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Swollen joint count and patient global assessment adapted for self-report</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FACIT-Fatigue Scale (relevant items)</w:t>
            </w:r>
          </w:p>
        </w:tc>
        <w:tc>
          <w:tcPr>
            <w:tcW w:type="dxa" w:w="5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RA-specific fatigue assessment items for systemic burden scoring</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377" w:sz="1"/>
              <w:left w:val="single" w:color="0D7377" w:sz="1"/>
              <w:bottom w:val="single" w:color="0D7377" w:sz="1"/>
              <w:right w:val="single" w:color="0D7377" w:sz="1"/>
            </w:tcBorders>
            <w:shd w:fill="E6F4F4" w:val="clear"/>
            <w:tcMar>
              <w:top w:type="dxa" w:w="160"/>
              <w:left w:type="dxa" w:w="240"/>
              <w:bottom w:type="dxa" w:w="160"/>
              <w:right w:type="dxa" w:w="240"/>
            </w:tcMar>
          </w:tcPr>
          <w:p>
            <w:pPr>
              <w:spacing w:before="80" w:after="80"/>
              <w:jc w:val="left"/>
            </w:pPr>
            <w:r>
              <w:rPr>
                <w:rFonts w:ascii="Arial" w:cs="Arial" w:eastAsia="Arial" w:hAnsi="Arial"/>
                <w:b/>
                <w:bCs/>
                <w:color w:val="0D7377"/>
                <w:sz w:val="20"/>
                <w:szCs w:val="20"/>
              </w:rPr>
              <w:t xml:space="preserve">ACR/EULAR 2010 Criteria — Adaptation Principle</w:t>
            </w:r>
          </w:p>
          <w:p>
            <w:pPr>
              <w:spacing w:before="80" w:after="80"/>
              <w:jc w:val="left"/>
            </w:pPr>
            <w:r>
              <w:rPr>
                <w:rFonts w:ascii="Arial" w:cs="Arial" w:eastAsia="Arial" w:hAnsi="Arial"/>
                <w:b w:val="false"/>
                <w:bCs w:val="false"/>
                <w:color w:val="1A1A1A"/>
                <w:sz w:val="20"/>
                <w:szCs w:val="20"/>
              </w:rPr>
              <w:t xml:space="preserve">The 2010 ACR/EULAR classification criteria assign scores across four domains: (1) joint involvement pattern (0–5), (2) serology — RF and anti-CCP (0–3), (3) acute phase reactants — CRP/ESR (0–1), and (4) duration of symptoms (0–1). A score ≥ 6 out of 10 classifies as RA. The QuickScan adapts domains 1, 2, and 4 for self-report. Domain 3 (acute phase reactants) requires blood tests and is captured only as 'has the user been tested and told of elevated inflammatory markers?' The scoring model uses ACR/EULAR as its conceptual framework but applies clinical probability language, not criterion fulfilment language.</w:t>
            </w:r>
          </w:p>
        </w:tc>
      </w:tr>
    </w:tbl>
    <w:p>
      <w:pPr>
        <w:spacing w:before="120" w:after="120"/>
      </w:pPr>
    </w:p>
    <w:p>
      <w:pPr>
        <w:pStyle w:val="Heading3"/>
        <w:spacing w:before="240" w:after="80"/>
      </w:pPr>
      <w:r>
        <w:rPr>
          <w:rFonts w:ascii="Arial" w:cs="Arial" w:eastAsia="Arial" w:hAnsi="Arial"/>
          <w:b/>
          <w:bCs/>
          <w:color w:val="2C3E50"/>
          <w:sz w:val="22"/>
          <w:szCs w:val="22"/>
        </w:rPr>
        <w:t xml:space="preserve">4.2  Question Flow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760"/>
        <w:gridCol w:w="2400"/>
      </w:tblGrid>
      <w:tr>
        <w:trPr>
          <w:tblHeader/>
        </w:trPr>
        <w:tc>
          <w:tcPr>
            <w:tcW w:type="dxa" w:w="22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Layer</w:t>
            </w:r>
          </w:p>
        </w:tc>
        <w:tc>
          <w:tcPr>
            <w:tcW w:type="dxa" w:w="47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Purpose</w:t>
            </w:r>
          </w:p>
        </w:tc>
        <w:tc>
          <w:tcPr>
            <w:tcW w:type="dxa" w:w="24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Question Count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0 — Acute Inflammatory Emergency Screen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Septic arthritis gate, immunocompromised infection screen, acute extra-articular complication gate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2 mandatory Q</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1 — Inflammatory Pattern Profile (Primary Discriminator)</w:t>
            </w:r>
          </w:p>
        </w:tc>
        <w:tc>
          <w:tcPr>
            <w:tcW w:type="dxa" w:w="47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Morning stiffness duration, joint distribution and symmetry, joint character (swollen vs aching), serology history</w:t>
            </w:r>
          </w:p>
        </w:tc>
        <w:tc>
          <w:tcPr>
            <w:tcW w:type="dxa" w:w="24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4 questions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2 — Systemic &amp; Extra-articular Features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Constitutional symptoms (fatigue, fever, weight loss), extra-articular manifestations, inflammatory markers history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2 questions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3 — Functional Impact &amp; Disease Burden</w:t>
            </w:r>
          </w:p>
        </w:tc>
        <w:tc>
          <w:tcPr>
            <w:tcW w:type="dxa" w:w="47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HAQ-inspired functional limitation, psychosocial and wellbeing impact, current medication and care context</w:t>
            </w:r>
          </w:p>
        </w:tc>
        <w:tc>
          <w:tcPr>
            <w:tcW w:type="dxa" w:w="24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2 questions</w:t>
            </w:r>
          </w:p>
        </w:tc>
      </w:tr>
    </w:tbl>
    <w:p>
      <w:pPr>
        <w:spacing w:before="120" w:after="120"/>
      </w:pPr>
    </w:p>
    <w:p>
      <w:pPr>
        <w:pStyle w:val="Heading3"/>
        <w:spacing w:before="240" w:after="80"/>
      </w:pPr>
      <w:r>
        <w:rPr>
          <w:rFonts w:ascii="Arial" w:cs="Arial" w:eastAsia="Arial" w:hAnsi="Arial"/>
          <w:b/>
          <w:bCs/>
          <w:color w:val="2C3E50"/>
          <w:sz w:val="22"/>
          <w:szCs w:val="22"/>
        </w:rPr>
        <w:t xml:space="preserve">4.3  Question Bank — Full Specification</w:t>
      </w:r>
    </w:p>
    <w:p>
      <w:pPr>
        <w:spacing w:before="8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1"/>
              <w:left w:val="single" w:color="C0392B" w:sz="1"/>
              <w:bottom w:val="single" w:color="C0392B" w:sz="1"/>
              <w:right w:val="single" w:color="C0392B" w:sz="1"/>
            </w:tcBorders>
            <w:shd w:fill="FDECEA" w:val="clear"/>
            <w:tcMar>
              <w:top w:type="dxa" w:w="160"/>
              <w:left w:type="dxa" w:w="240"/>
              <w:bottom w:type="dxa" w:w="160"/>
              <w:right w:type="dxa" w:w="240"/>
            </w:tcMar>
          </w:tcPr>
          <w:p>
            <w:pPr>
              <w:spacing w:before="80" w:after="80"/>
              <w:jc w:val="left"/>
            </w:pPr>
            <w:r>
              <w:rPr>
                <w:rFonts w:ascii="Arial" w:cs="Arial" w:eastAsia="Arial" w:hAnsi="Arial"/>
                <w:b/>
                <w:bCs/>
                <w:color w:val="C0392B"/>
                <w:sz w:val="20"/>
                <w:szCs w:val="20"/>
              </w:rPr>
              <w:t xml:space="preserve">LAYER 0 — Acute Inflammatory Emergency Screen  (Mandatory, Non-scored)</w:t>
            </w:r>
          </w:p>
          <w:p>
            <w:pPr>
              <w:spacing w:before="80" w:after="80"/>
              <w:jc w:val="left"/>
            </w:pPr>
            <w:r>
              <w:rPr>
                <w:rFonts w:ascii="Arial" w:cs="Arial" w:eastAsia="Arial" w:hAnsi="Arial"/>
                <w:i/>
                <w:iCs/>
                <w:color w:val="C0392B"/>
                <w:sz w:val="20"/>
                <w:szCs w:val="20"/>
              </w:rPr>
              <w:t xml:space="preserve">RA Layer 0 differs from all prior modules — it screens for acute inflammatory emergencies (septic arthritis, severe flare with infection in immunosuppressed patients) and acute extra-articular RA complications, not mechanical or neurological emergencies.</w:t>
            </w:r>
          </w:p>
        </w:tc>
      </w:tr>
    </w:tbl>
    <w:p>
      <w:pPr>
        <w:spacing w:before="8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Q0.1  — Acute Joint Emergency Screen</w:t>
            </w:r>
          </w:p>
        </w:tc>
        <w:tc>
          <w:tcPr>
            <w:tcW w:type="dxa" w:w="65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Question Text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"Before we begin, are you currently experiencing any of the following?" [Multi-select]</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A</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 single joint (knee, wrist, ankle, or elbow) that has become severely swollen, hot, and red in the last 24–48 hours — with or without fever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B</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You are currently on immunosuppressant medications (methotrexate, biologics, steroids) AND have fever, chills, or signs of infection anywhere in your body</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C</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Sudden onset of severe eye pain, redness, or visual disturbance in the past 48 hours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Chest pain or sudden shortness of breath in the past 24–48 hours (not exertion-related)</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E</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None of the above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If A selected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HALT → Septic Arthritis Emergency Screen (A&amp;E immediately — single hot swollen joint in immunosuppressed or RA patient = septic arthritis until proven otherwise)</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If B selected</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HALT → Immunocompromised Infection Emergency Screen (A&amp;E or rheumatology emergency line immediately)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If C selected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HALT → Ocular Emergency Screen (A&amp;E ophthalmology within hours — scleritis or acute uveitis)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If D selected</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HALT → Cardiac / Respiratory Urgent Screen (A&amp;E — pericarditis or pleuritis)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If E selected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Proceed to Q0.2</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Source Instrument</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NICE NG100 RA emergency recognition; septic arthritis clinical criteria; RA extra-articular complication screening</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Q0.2  — Systemic Red Flag Screen</w:t>
            </w:r>
          </w:p>
        </w:tc>
        <w:tc>
          <w:tcPr>
            <w:tcW w:type="dxa" w:w="65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Question Text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"Are you currently experiencing any of the following alongside your joint symptoms?" [Multi-select]</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A</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Unexplained weight loss of more than 5 kg in the past 3 months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B</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Known history of cancer</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C</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Persistent fever (more than 38°C) for more than a week without obvious cause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None of the above</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If A, B or C</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HALT → Systemic Urgent Referral Screen (urgent medical evaluation — differential includes lymphoma, which has elevated incidence in RA, and systemic infection)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If 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Proceed to Layer 1</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Source Instrument</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NICE NG100 red flags; lymphoma risk in RA patients; systemic disease recognition</w:t>
            </w:r>
          </w:p>
        </w:tc>
      </w:tr>
    </w:tbl>
    <w:p>
      <w:pPr>
        <w:spacing w:before="16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F2F3F4" w:val="clear"/>
            <w:tcMar>
              <w:top w:type="dxa" w:w="160"/>
              <w:left w:type="dxa" w:w="240"/>
              <w:bottom w:type="dxa" w:w="160"/>
              <w:right w:type="dxa" w:w="240"/>
            </w:tcMar>
          </w:tcPr>
          <w:p>
            <w:pPr>
              <w:spacing w:before="80" w:after="80"/>
              <w:jc w:val="left"/>
            </w:pPr>
            <w:r>
              <w:rPr>
                <w:rFonts w:ascii="Arial" w:cs="Arial" w:eastAsia="Arial" w:hAnsi="Arial"/>
                <w:b/>
                <w:bCs/>
                <w:color w:val="2C3E50"/>
                <w:sz w:val="20"/>
                <w:szCs w:val="20"/>
              </w:rPr>
              <w:t xml:space="preserve">LAYER 1 — Inflammatory Pattern Profile  (Scored — ~60% weight)</w:t>
            </w:r>
          </w:p>
          <w:p>
            <w:pPr>
              <w:spacing w:before="80" w:after="80"/>
              <w:jc w:val="left"/>
            </w:pPr>
            <w:r>
              <w:rPr>
                <w:rFonts w:ascii="Arial" w:cs="Arial" w:eastAsia="Arial" w:hAnsi="Arial"/>
                <w:i/>
                <w:iCs/>
                <w:color w:val="7F8C8D"/>
                <w:sz w:val="20"/>
                <w:szCs w:val="20"/>
              </w:rPr>
              <w:t xml:space="preserve">This is the highest-weighted layer in the series — reflecting that RA is primarily identified by its inflammatory pattern, not by imaging findings or biomechanical context.</w:t>
            </w:r>
          </w:p>
        </w:tc>
      </w:tr>
    </w:tbl>
    <w:p>
      <w:pPr>
        <w:spacing w:before="8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Q1.1  — Morning Stiffness Duration  (Highest Weighted Single Question in Series)</w:t>
            </w:r>
          </w:p>
        </w:tc>
        <w:tc>
          <w:tcPr>
            <w:tcW w:type="dxa" w:w="65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Question Text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"When you wake up in the morning, how long does joint stiffness typically last before you feel able to move freely?"</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A (0 pts)</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 do not have significant morning joint stiffness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B (1 pt)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Less than 30 minutes — I loosen up quickly</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C (2 pts)</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30–60 minutes — significant but resolves within the hour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D (4 pts)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More than 60 minutes — stiff for an hour or longer most mornings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E (5 pts)</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More than 2 hours — severely stiff for much of the morning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Clinical Note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D and E are the primary RA discriminators. OA stiffness is typically &lt; 30 minutes; RA stiffness typically &gt; 60 minutes. This is the single most diagnostically weighted question in the entire Scan by Condition series — 5 points maximum.</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Branching Rule</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D or E → set PROLONGED_STIFFNESS flag; +1 additional modifier; hard floor MODERATE RISK; triggers Window of Opportunity check in Q1.4</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Source Instrument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ACR/EULAR 2010 criteria duration item; DAS28 morning stiffness item; OA vs RA stiffness discrimination (&lt; 30 min vs &gt; 60 min)</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Q1.2  — Joint Distribution &amp; Symmetry  (ACR/EULAR Joint Involvement Domain)</w:t>
            </w:r>
          </w:p>
        </w:tc>
        <w:tc>
          <w:tcPr>
            <w:tcW w:type="dxa" w:w="65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Question Text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"Which joints are currently swollen, tender, or stiff?" [Multi-select — please select all that apply on either side of the body]</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Small Joint Category (2 pts each if bilateral)</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Knuckles (MCP joints — where fingers meet the hand) / Middle finger joints (PIP joints) / Wrists / Ball of foot joints (MTP joints — where toes meet the foot)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Medium Joint Category (1 pt each if bilateral)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Elbows / Ankles / Shoulders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Large Joint Category (0.5 pts if bilateral)</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Knees / Hips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Symmetry Assessment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For each joint selected: 'Is this on one side only, or both sides?' — bilateral small joint involvement is the highest RA specificity signal</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Scoring</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Bilateral small joint involvement (any 3 or more small joint areas bilateral): up to 5 pts (ACR/EULAR domain 1 maximum); bilateral medium: up to 3 pts; large joint only: 1 pt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Branching Rule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3+ bilateral small joints → set SYMMETRIC_SMALL_JOINT flag; +1 additional modifier; highest RA pattern specificity; if combined with PROLONGED_STIFFNESS → hard floor HIGH RISK</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Source Instrument</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ACR/EULAR 2010 criteria domain 1 — joint involvement (1 large = 0; 2–10 large = 1; 1–3 small = 2; 4–10 small = 3; &gt;10 including small = 5)</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Q1.3  — Joint Character  (Inflammatory vs Mechanical Discrimination)</w:t>
            </w:r>
          </w:p>
        </w:tc>
        <w:tc>
          <w:tcPr>
            <w:tcW w:type="dxa" w:w="65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Question Text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"How would you best describe the quality of your joint symptoms?" [Select up to 2]</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A (2 pts)</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Swelling — joints feel puffy, enlarged, or look different from normal (not just painful)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B (2 pts)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Warmth — joints feel warm to touch compared to surrounding skin</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C (1 pt)</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Tenderness — joints are painful when pressed or squeezed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D (2 pts)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The symptoms are clearly worse in the morning and improve as the day goes on</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E (1 pt)</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The symptoms seem to fluctuate — better some days, worse others — rather than consistently worse with activity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Clinical Note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Options A and B (visible swelling and warmth) are objective inflammatory signs adapted for self-report. Option D (morning dominance) reinforces the inflammatory pattern. Option E (fluctuation) reflects the relapsing-remitting nature of RA, distinct from the activity-related pattern of OA.</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Branching Rule</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Options A + B together → Inflammatory Sign tag; +1 additional modifier; Options A + B + D together → Classic Inflammatory Arthritis Pattern tag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Source Instrument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Clinical synovitis assessment adapted for self-report; DAS28 swollen and tender joint items; CDAI patient global assessment</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Q1.4  — Serology History &amp; Symptom Duration  (ACR/EULAR Domains 2 &amp; 4)</w:t>
            </w:r>
          </w:p>
        </w:tc>
        <w:tc>
          <w:tcPr>
            <w:tcW w:type="dxa" w:w="65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Question Text — Part A: Serology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"Have you had any of the following blood tests, and if so, what were the results?" [Multi-select]</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A1 (3 pts)</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Rheumatoid Factor (RF) test — and the result was POSITIVE or HIGH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A2 (3 pts)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Anti-CCP antibody test — and the result was POSITIVE</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A3 (1 pt)</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Rheumatoid Factor or Anti-CCP tested — result was LOW POSITIVE or BORDERLINE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A4 (1 pt)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ESR or CRP (inflammatory markers) were elevated on a blood test</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A5 (0 pts)</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 have been tested and all results were normal / I have not been tested / I do not know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Question Text — Part B: Duration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"How long have you been experiencing these joint symptoms?"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B1 (0 pts)</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Less than 6 weeks — very recent onset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B2 (1 pt)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6–12 weeks — sub-acute onset [WINDOW OF OPPORTUNITY flag if HIGH RISK pattern]</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B3 (1 pt)</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More than 12 weeks — established duration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B4 (2 pts)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More than 6 months — long-standing symptoms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Branching Rule</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Options A1 or A2 (seropositive) → set SEROPOSITIVE flag; +1 additional modifier; hard floor HIGH RISK if combined with SYMMETRIC_SMALL_JOINT; Options B2 or B3 with HIGH RISK pattern → Window of Opportunity alert triggered in output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Source Instrument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ACR/EULAR 2010 criteria domain 2 (serology: negative=0, low positive RF or anti-CCP=2, high positive=3) and domain 4 (duration: &lt;6 weeks=0, ≥6 weeks=1)</w:t>
            </w:r>
          </w:p>
        </w:tc>
      </w:tr>
    </w:tbl>
    <w:p>
      <w:pPr>
        <w:spacing w:before="16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F2F3F4" w:val="clear"/>
            <w:tcMar>
              <w:top w:type="dxa" w:w="160"/>
              <w:left w:type="dxa" w:w="240"/>
              <w:bottom w:type="dxa" w:w="160"/>
              <w:right w:type="dxa" w:w="240"/>
            </w:tcMar>
          </w:tcPr>
          <w:p>
            <w:pPr>
              <w:spacing w:before="80" w:after="80"/>
              <w:jc w:val="left"/>
            </w:pPr>
            <w:r>
              <w:rPr>
                <w:rFonts w:ascii="Arial" w:cs="Arial" w:eastAsia="Arial" w:hAnsi="Arial"/>
                <w:b/>
                <w:bCs/>
                <w:color w:val="2C3E50"/>
                <w:sz w:val="20"/>
                <w:szCs w:val="20"/>
              </w:rPr>
              <w:t xml:space="preserve">LAYER 2 — Systemic &amp; Extra-articular Features  (Scored — ~20% weight)</w:t>
            </w:r>
          </w:p>
          <w:p>
            <w:pPr>
              <w:spacing w:before="80" w:after="80"/>
              <w:jc w:val="left"/>
            </w:pPr>
            <w:r>
              <w:rPr>
                <w:rFonts w:ascii="Arial" w:cs="Arial" w:eastAsia="Arial" w:hAnsi="Arial"/>
                <w:i/>
                <w:iCs/>
                <w:color w:val="7F8C8D"/>
                <w:sz w:val="20"/>
                <w:szCs w:val="20"/>
              </w:rPr>
              <w:t xml:space="preserve">Extra-articular manifestations are unique to RA and distinguish it from all other conditions in the series — they confirm the systemic nature of the disease and contribute to risk stratification.</w:t>
            </w:r>
          </w:p>
        </w:tc>
      </w:tr>
    </w:tbl>
    <w:p>
      <w:pPr>
        <w:spacing w:before="8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Q2.1  — Constitutional &amp; Systemic Symptoms</w:t>
            </w:r>
          </w:p>
        </w:tc>
        <w:tc>
          <w:tcPr>
            <w:tcW w:type="dxa" w:w="65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Question Text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"Have you experienced any of the following alongside your joint symptoms?" [Multi-select]</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A (2 pts)</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Significant fatigue — not just tiredness, but an exhaustion that is disproportionate to your activity level or rest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B (1 pt)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Low-grade fever or feeling feverish — not a cold or infection</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C (1 pt)</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Unintentional weight loss of 2–5 kg (less than the red flag 5 kg threshold)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D (1 pt)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General feeling of being unwell — malaise — that is hard to attribute to any specific cause</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E (0 pts)</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None of the above — no systemic symptoms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Clinical Note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RA fatigue is one of the most debilitating and under-recognised features of the disease. It is driven by the inflammatory process and correlates with disease activity. Its presence in the context of an RA symptom pattern significantly strengthens the inflammatory picture.</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Branching Rule</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A → set RA_FATIGUE flag; +1 modifier; Options A + B together → Systemic Inflammation Pattern tag; combined with PROLONGED_STIFFNESS and SYMMETRIC_SMALL_JOINT → very strong RA signal composite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Source Instrument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FACIT-Fatigue scale item 1 (fatigue severity); RAPID3 global assessment item; NICE NG100 constitutional symptom recognition</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Q2.2  — Extra-articular Manifestations &amp; Prior Diagnosis Context</w:t>
            </w:r>
          </w:p>
        </w:tc>
        <w:tc>
          <w:tcPr>
            <w:tcW w:type="dxa" w:w="65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Question Text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"Do any of the following apply to you?" [Multi-select]</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A (1 pt)</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 have firm, painless lumps under the skin — particularly near bony prominences or pressure points (rheumatoid nodules)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B (1 pt)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 have been told I have dry eyes or dry mouth — or have been investigated for Sjögren's syndrome</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C (1 pt)</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 have had inflammation in my eye (uveitis or scleritis) at any point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D (1 pt)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 doctor has previously suspected or mentioned rheumatoid arthritis or inflammatory arthritis as a possibility</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E (2 pts)</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 have been formally diagnosed with Rheumatoid Arthritis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F (1 pt)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 close family member (parent or sibling) has been diagnosed with Rheumatoid Arthritis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G (0 pts)</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None of the above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Branching Rule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A → Rheumatoid Nodule tag — high RA specificity signal; Option E → set CONFIRMED_RA flag; hard floor MODERATE RISK; output switches to 'monitoring' framing rather than 'assessment' framing; Option F → Family History RA tag; +1 modifier (genetic risk)</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Source Instrument</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ACR/EULAR RA extra-articular features; NICE NG100 clinical features; family history RA genetic risk literature</w:t>
            </w:r>
          </w:p>
        </w:tc>
      </w:tr>
    </w:tbl>
    <w:p>
      <w:pPr>
        <w:spacing w:before="16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F2F3F4" w:val="clear"/>
            <w:tcMar>
              <w:top w:type="dxa" w:w="160"/>
              <w:left w:type="dxa" w:w="240"/>
              <w:bottom w:type="dxa" w:w="160"/>
              <w:right w:type="dxa" w:w="240"/>
            </w:tcMar>
          </w:tcPr>
          <w:p>
            <w:pPr>
              <w:spacing w:before="80" w:after="80"/>
              <w:jc w:val="left"/>
            </w:pPr>
            <w:r>
              <w:rPr>
                <w:rFonts w:ascii="Arial" w:cs="Arial" w:eastAsia="Arial" w:hAnsi="Arial"/>
                <w:b/>
                <w:bCs/>
                <w:color w:val="2C3E50"/>
                <w:sz w:val="20"/>
                <w:szCs w:val="20"/>
              </w:rPr>
              <w:t xml:space="preserve">LAYER 3 — Functional Impact &amp; Disease Burden  (Scored — ~20% weight)</w:t>
            </w:r>
          </w:p>
        </w:tc>
      </w:tr>
    </w:tbl>
    <w:p>
      <w:pPr>
        <w:spacing w:before="8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Q3.1  — Functional Limitation  (HAQ-DI Inspired)</w:t>
            </w:r>
          </w:p>
        </w:tc>
        <w:tc>
          <w:tcPr>
            <w:tcW w:type="dxa" w:w="65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Question Text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"In the past week, how much difficulty have you had with the following activities due to your joint symptoms?" [Rate each: No difficulty / Some difficulty / Much difficulty / Unable to do]</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Sub-item A</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Dressing yourself — doing up buttons, fastening clothing, putting on shoes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Sub-item B</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Gripping or holding objects — opening jars, turning taps, using a pen or mobile phone</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Sub-item C</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Walking on flat ground for 15 minutes without stopping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Sub-item 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Reaching above your head or lifting objects from a high shelf</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Scoring</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No difficulty = 0, Some = 1, Much = 2, Unable = 3; max sub-score = 12; mapped proportionally to 0–3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Branching Rule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Sub-score ≥ 7 → +2 modifier; Sub-item B 'Unable' → Grip Impairment tag (high RA functional marker — grip strength loss is among the first functional deficits in RA); Sub-item A 'Unable' → ADL Limitation tag</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Source Instrument</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HAQ-DI domains: dressing/grooming, arising, eating, walking, hygiene, reach, grip, activities — 4 domains adapted for brevity; RAPID3 physical function domain</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Q3.2  — Disease Burden, Wellbeing &amp; Care Context</w:t>
            </w:r>
          </w:p>
        </w:tc>
        <w:tc>
          <w:tcPr>
            <w:tcW w:type="dxa" w:w="65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Question Text — Part A: Wellbeing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"Overall, how much does your joint condition affect your wellbeing and daily life?"</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A (0 pts)</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Minimally — I manage well most of the time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B (1 pt)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Moderately — it significantly affects some areas of my life but I cope reasonably</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C (2 pts)</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Substantially — it limits my independence, work, or relationships considerably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D (3 pts)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Severely — my joint condition dominates my daily life and significantly impacts my mood and sense of self</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Question Text — Part B: Care Status</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"What is your current care situation for your joint condition?"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A (0 pts — context only)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Currently managed by a rheumatologist — on medication with regular review</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B (0 pts — context only)</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Waiting for a specialist appointment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C (0 pts — context only)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Being managed by a GP or general physician only — not yet seen a rheumatologist</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D (0 pts — context only)</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Not currently under any medical care for this condition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Branching Rule — Part 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C or D → Psychosocial Burden flag; +2 modifier; critical for Myo AI pre-population and Kriya Care empowerment framing</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Branching Rule — Part B</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A → output switches to 'flare monitoring' framing; CTAs emphasise rheumatologist contact rather than new referral; Options C or D with HIGH RISK → output emphasises urgency of rheumatology engagement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Source Instrument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RAPID3 patient global assessment domain; HAQ-DI wellbeing items; DAS28 patient global assessment (0–100 VAS adapted categorically)</w:t>
            </w:r>
          </w:p>
        </w:tc>
      </w:tr>
    </w:tbl>
    <w:p>
      <w:pPr>
        <w:spacing w:before="200" w:after="120"/>
      </w:pPr>
    </w:p>
    <w:p>
      <w:r>
        <w:br w:type="page"/>
      </w:r>
    </w:p>
    <w:p>
      <w:pPr>
        <w:pStyle w:val="Heading1"/>
        <w:spacing w:before="400" w:after="160"/>
      </w:pPr>
      <w:r>
        <w:rPr>
          <w:rFonts w:ascii="Arial" w:cs="Arial" w:eastAsia="Arial" w:hAnsi="Arial"/>
          <w:b/>
          <w:bCs/>
          <w:color w:val="0D7377"/>
          <w:sz w:val="32"/>
          <w:szCs w:val="32"/>
        </w:rPr>
        <w:t xml:space="preserve">5.  Risk Stratification Matrix</w:t>
      </w:r>
    </w:p>
    <w:p>
      <w:pPr>
        <w:pBdr>
          <w:bottom w:val="single" w:color="0D7377" w:sz="8" w:space="1"/>
        </w:pBdr>
        <w:spacing w:before="0" w:after="160"/>
      </w:pPr>
    </w:p>
    <w:p>
      <w:pPr>
        <w:pStyle w:val="Heading3"/>
        <w:spacing w:before="240" w:after="80"/>
      </w:pPr>
      <w:r>
        <w:rPr>
          <w:rFonts w:ascii="Arial" w:cs="Arial" w:eastAsia="Arial" w:hAnsi="Arial"/>
          <w:b/>
          <w:bCs/>
          <w:color w:val="2C3E50"/>
          <w:sz w:val="22"/>
          <w:szCs w:val="22"/>
        </w:rPr>
        <w:t xml:space="preserve">5.1  Scoring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tblHeader/>
        </w:trPr>
        <w:tc>
          <w:tcPr>
            <w:tcW w:type="dxa" w:w="52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Score Component</w:t>
            </w:r>
          </w:p>
        </w:tc>
        <w:tc>
          <w:tcPr>
            <w:tcW w:type="dxa" w:w="41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Max Points</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0 — Non-scored gate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0 pts</w:t>
            </w:r>
          </w:p>
        </w:tc>
      </w:tr>
      <w:tr>
        <w:tc>
          <w:tcPr>
            <w:tcW w:type="dxa" w:w="5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1 — Q1.1 Morning Stiffness Duration</w:t>
            </w:r>
          </w:p>
        </w:tc>
        <w:tc>
          <w:tcPr>
            <w:tcW w:type="dxa" w:w="4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5 pts (highest single-question score in series)</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1 — Q1.2 Joint Distribution &amp; Symmetry (ACR/EULAR domain 1 adapted)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up to 5 pts (+1 SYMMETRIC_SMALL_JOINT modifier)</w:t>
            </w:r>
          </w:p>
        </w:tc>
      </w:tr>
      <w:tr>
        <w:tc>
          <w:tcPr>
            <w:tcW w:type="dxa" w:w="5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1 — Q1.3 Joint Character (up to 2 selections)</w:t>
            </w:r>
          </w:p>
        </w:tc>
        <w:tc>
          <w:tcPr>
            <w:tcW w:type="dxa" w:w="4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up to 4 pts (+1 Inflammatory Sign modifier)</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1 — Q1.4 Serology + Duration (ACR/EULAR domains 2 + 4)</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up to 5 pts (+1 SEROPOSITIVE modifier)</w:t>
            </w:r>
          </w:p>
        </w:tc>
      </w:tr>
      <w:tr>
        <w:tc>
          <w:tcPr>
            <w:tcW w:type="dxa" w:w="5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2 — Q2.1 Constitutional &amp; Systemic Symptoms (multi-select)</w:t>
            </w:r>
          </w:p>
        </w:tc>
        <w:tc>
          <w:tcPr>
            <w:tcW w:type="dxa" w:w="4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up to 5 pts (+1 RA_FATIGUE modifier)</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2 — Q2.2 Extra-articular Manifestations (multi-select)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up to 6 pts</w:t>
            </w:r>
          </w:p>
        </w:tc>
      </w:tr>
      <w:tr>
        <w:tc>
          <w:tcPr>
            <w:tcW w:type="dxa" w:w="5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3 — Q3.1 Functional Limitation (HAQ-inspired, sub-score)</w:t>
            </w:r>
          </w:p>
        </w:tc>
        <w:tc>
          <w:tcPr>
            <w:tcW w:type="dxa" w:w="4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up to 12 pts (mapped proportionally)</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3 — Q3.2 Wellbeing &amp; Disease Burden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up to 3 pts</w:t>
            </w:r>
          </w:p>
        </w:tc>
      </w:tr>
      <w:tr>
        <w:tc>
          <w:tcPr>
            <w:tcW w:type="dxa" w:w="5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TOTAL</w:t>
            </w:r>
          </w:p>
        </w:tc>
        <w:tc>
          <w:tcPr>
            <w:tcW w:type="dxa" w:w="4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~45 pts possible (inflammatory pattern dominant model)</w:t>
            </w:r>
          </w:p>
        </w:tc>
      </w:tr>
    </w:tbl>
    <w:p>
      <w:pPr>
        <w:spacing w:before="120" w:after="120"/>
      </w:pPr>
    </w:p>
    <w:p>
      <w:pPr>
        <w:pStyle w:val="Heading3"/>
        <w:spacing w:before="240" w:after="80"/>
      </w:pPr>
      <w:r>
        <w:rPr>
          <w:rFonts w:ascii="Arial" w:cs="Arial" w:eastAsia="Arial" w:hAnsi="Arial"/>
          <w:b/>
          <w:bCs/>
          <w:color w:val="2C3E50"/>
          <w:sz w:val="22"/>
          <w:szCs w:val="22"/>
        </w:rPr>
        <w:t xml:space="preserve">5.2  Risk Tier Definitions</w:t>
      </w:r>
    </w:p>
    <w:p>
      <w:pPr>
        <w:spacing w:before="8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Risk Tier</w:t>
            </w:r>
          </w:p>
        </w:tc>
        <w:tc>
          <w:tcPr>
            <w:tcW w:type="dxa" w:w="18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Score Range</w:t>
            </w:r>
          </w:p>
        </w:tc>
        <w:tc>
          <w:tcPr>
            <w:tcW w:type="dxa" w:w="53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Clinical Interpretation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bCs/>
                <w:color w:val="1E8449"/>
                <w:sz w:val="20"/>
                <w:szCs w:val="20"/>
              </w:rPr>
              <w:t xml:space="preserve">LOW RISK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0 – 9</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Few or weak inflammatory signals — joint symptoms present but stiffness duration is short, joint involvement is asymmetric or limited to large joints, no systemic features. Pattern not strongly consistent with RA. May represent early OA, post-viral arthralgia, or non-specific joint pain. GP assessment is appropriate. Re-scan in 4–6 weeks if symptoms persist.</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bCs/>
                <w:color w:val="F39C12"/>
                <w:sz w:val="20"/>
                <w:szCs w:val="20"/>
              </w:rPr>
              <w:t xml:space="preserve">MODERATE RISK</w:t>
            </w:r>
          </w:p>
        </w:tc>
        <w:tc>
          <w:tcPr>
            <w:tcW w:type="dxa" w:w="1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10 – 22</w:t>
            </w:r>
          </w:p>
        </w:tc>
        <w:tc>
          <w:tcPr>
            <w:tcW w:type="dxa" w:w="53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Meaningful inflammatory pattern — prolonged morning stiffness, bilateral joint involvement, or early systemic features present. Pattern partially consistent with RA or early inflammatory arthritis. Rheumatology evaluation is recommended. If on no current care, GP referral for inflammatory arthritis investigation is appropriate.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bCs/>
                <w:color w:val="C0392B"/>
                <w:sz w:val="20"/>
                <w:szCs w:val="20"/>
              </w:rPr>
              <w:t xml:space="preserve">HIGH RISK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23+  OR  any hard flag*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Strong inflammatory arthritis pattern — prolonged stiffness, symmetrical small joint involvement, systemic features, and/or seropositivity. Pattern highly consistent with RA. Rheumatology evaluation is strongly and urgently recommended. If symptom duration is under 12 weeks, 'Window of Opportunity' alert applies — prompt referral can significantly alter long-term outcomes.</w:t>
            </w:r>
          </w:p>
        </w:tc>
      </w:tr>
    </w:tbl>
    <w:p>
      <w:pPr>
        <w:spacing w:before="8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1"/>
              <w:left w:val="single" w:color="C0392B" w:sz="1"/>
              <w:bottom w:val="single" w:color="C0392B" w:sz="1"/>
              <w:right w:val="single" w:color="C0392B" w:sz="1"/>
            </w:tcBorders>
            <w:shd w:fill="FDECEA" w:val="clear"/>
            <w:tcMar>
              <w:top w:type="dxa" w:w="160"/>
              <w:left w:type="dxa" w:w="240"/>
              <w:bottom w:type="dxa" w:w="160"/>
              <w:right w:type="dxa" w:w="240"/>
            </w:tcMar>
          </w:tcPr>
          <w:p>
            <w:pPr>
              <w:spacing w:before="80" w:after="80"/>
              <w:jc w:val="left"/>
            </w:pPr>
            <w:r>
              <w:rPr>
                <w:rFonts w:ascii="Arial" w:cs="Arial" w:eastAsia="Arial" w:hAnsi="Arial"/>
                <w:b/>
                <w:bCs/>
                <w:color w:val="C0392B"/>
                <w:sz w:val="20"/>
                <w:szCs w:val="20"/>
              </w:rPr>
              <w:t xml:space="preserve">Hard Flag Rules  (*)</w:t>
            </w:r>
          </w:p>
          <w:p>
            <w:pPr>
              <w:pStyle w:val="ListParagraph"/>
              <w:numPr>
                <w:ilvl w:val="0"/>
                <w:numId w:val="2"/>
              </w:numPr>
              <w:spacing w:before="60" w:after="60"/>
            </w:pPr>
            <w:r>
              <w:rPr>
                <w:rFonts w:ascii="Arial" w:cs="Arial" w:eastAsia="Arial" w:hAnsi="Arial"/>
                <w:b/>
                <w:bCs/>
                <w:color w:val="1A1A1A"/>
                <w:sz w:val="22"/>
                <w:szCs w:val="22"/>
              </w:rPr>
              <w:t xml:space="preserve">PROLONGED_STIFFNESS flag + SYMMETRIC_SMALL_JOINT flag</w:t>
            </w:r>
            <w:r>
              <w:rPr>
                <w:rFonts w:ascii="Arial" w:cs="Arial" w:eastAsia="Arial" w:hAnsi="Arial"/>
                <w:b w:val="false"/>
                <w:bCs w:val="false"/>
                <w:color w:val="1A1A1A"/>
                <w:sz w:val="20"/>
                <w:szCs w:val="20"/>
              </w:rPr>
              <w:t xml:space="preserve"> → hard floor HIGH RISK — the two most specific RA signals together constitute the strongest pattern in the module</w:t>
            </w:r>
          </w:p>
          <w:p>
            <w:pPr>
              <w:pStyle w:val="ListParagraph"/>
              <w:numPr>
                <w:ilvl w:val="0"/>
                <w:numId w:val="2"/>
              </w:numPr>
              <w:spacing w:before="60" w:after="60"/>
            </w:pPr>
            <w:r>
              <w:rPr>
                <w:rFonts w:ascii="Arial" w:cs="Arial" w:eastAsia="Arial" w:hAnsi="Arial"/>
                <w:b/>
                <w:bCs/>
                <w:color w:val="1A1A1A"/>
                <w:sz w:val="22"/>
                <w:szCs w:val="22"/>
              </w:rPr>
              <w:t xml:space="preserve">SEROPOSITIVE flag (RF or anti-CCP positive) + SYMMETRIC_SMALL_JOINT flag</w:t>
            </w:r>
            <w:r>
              <w:rPr>
                <w:rFonts w:ascii="Arial" w:cs="Arial" w:eastAsia="Arial" w:hAnsi="Arial"/>
                <w:b w:val="false"/>
                <w:bCs w:val="false"/>
                <w:color w:val="1A1A1A"/>
                <w:sz w:val="20"/>
                <w:szCs w:val="20"/>
              </w:rPr>
              <w:t xml:space="preserve"> → hard floor HIGH RISK — seropositivity + joint distribution meets ACR/EULAR threshold</w:t>
            </w:r>
          </w:p>
          <w:p>
            <w:pPr>
              <w:pStyle w:val="ListParagraph"/>
              <w:numPr>
                <w:ilvl w:val="0"/>
                <w:numId w:val="2"/>
              </w:numPr>
              <w:spacing w:before="60" w:after="60"/>
            </w:pPr>
            <w:r>
              <w:rPr>
                <w:rFonts w:ascii="Arial" w:cs="Arial" w:eastAsia="Arial" w:hAnsi="Arial"/>
                <w:b/>
                <w:bCs/>
                <w:color w:val="1A1A1A"/>
                <w:sz w:val="22"/>
                <w:szCs w:val="22"/>
              </w:rPr>
              <w:t xml:space="preserve">CONFIRMED_RA flag (Q2.2 Option E)</w:t>
            </w:r>
            <w:r>
              <w:rPr>
                <w:rFonts w:ascii="Arial" w:cs="Arial" w:eastAsia="Arial" w:hAnsi="Arial"/>
                <w:b w:val="false"/>
                <w:bCs w:val="false"/>
                <w:color w:val="1A1A1A"/>
                <w:sz w:val="20"/>
                <w:szCs w:val="20"/>
              </w:rPr>
              <w:t xml:space="preserve"> → hard floor MODERATE RISK — established diagnosis always warrants monitoring engagement; output switches to flare monitoring framing</w:t>
            </w:r>
          </w:p>
          <w:p>
            <w:pPr>
              <w:pStyle w:val="ListParagraph"/>
              <w:numPr>
                <w:ilvl w:val="0"/>
                <w:numId w:val="2"/>
              </w:numPr>
              <w:spacing w:before="60" w:after="60"/>
            </w:pPr>
            <w:r>
              <w:rPr>
                <w:rFonts w:ascii="Arial" w:cs="Arial" w:eastAsia="Arial" w:hAnsi="Arial"/>
                <w:b/>
                <w:bCs/>
                <w:color w:val="1A1A1A"/>
                <w:sz w:val="22"/>
                <w:szCs w:val="22"/>
              </w:rPr>
              <w:t xml:space="preserve">Q2.2 Option A (rheumatoid nodules)</w:t>
            </w:r>
            <w:r>
              <w:rPr>
                <w:rFonts w:ascii="Arial" w:cs="Arial" w:eastAsia="Arial" w:hAnsi="Arial"/>
                <w:b w:val="false"/>
                <w:bCs w:val="false"/>
                <w:color w:val="1A1A1A"/>
                <w:sz w:val="20"/>
                <w:szCs w:val="20"/>
              </w:rPr>
              <w:t xml:space="preserve"> → hard floor HIGH RISK — rheumatoid nodules are pathognomonic for seropositive RA; regardless of total score</w:t>
            </w:r>
          </w:p>
          <w:p>
            <w:pPr>
              <w:pStyle w:val="ListParagraph"/>
              <w:numPr>
                <w:ilvl w:val="0"/>
                <w:numId w:val="2"/>
              </w:numPr>
              <w:spacing w:before="60" w:after="60"/>
            </w:pPr>
            <w:r>
              <w:rPr>
                <w:rFonts w:ascii="Arial" w:cs="Arial" w:eastAsia="Arial" w:hAnsi="Arial"/>
                <w:b/>
                <w:bCs/>
                <w:color w:val="1A1A1A"/>
                <w:sz w:val="22"/>
                <w:szCs w:val="22"/>
              </w:rPr>
              <w:t xml:space="preserve">Window of Opportunity Alert</w:t>
            </w:r>
            <w:r>
              <w:rPr>
                <w:rFonts w:ascii="Arial" w:cs="Arial" w:eastAsia="Arial" w:hAnsi="Arial"/>
                <w:b w:val="false"/>
                <w:bCs w:val="false"/>
                <w:color w:val="1A1A1A"/>
                <w:sz w:val="20"/>
                <w:szCs w:val="20"/>
              </w:rPr>
              <w:t xml:space="preserve">: HIGH RISK + Q1.4 Part B Option B2 or B3 (6–12 weeks duration) → urgent rheumatology referral note within 2–4 weeks in output</w:t>
            </w:r>
          </w:p>
        </w:tc>
      </w:tr>
    </w:tbl>
    <w:p>
      <w:pPr>
        <w:spacing w:before="200" w:after="120"/>
      </w:pPr>
    </w:p>
    <w:p>
      <w:r>
        <w:br w:type="page"/>
      </w:r>
    </w:p>
    <w:p>
      <w:pPr>
        <w:pStyle w:val="Heading1"/>
        <w:spacing w:before="400" w:after="160"/>
      </w:pPr>
      <w:r>
        <w:rPr>
          <w:rFonts w:ascii="Arial" w:cs="Arial" w:eastAsia="Arial" w:hAnsi="Arial"/>
          <w:b/>
          <w:bCs/>
          <w:color w:val="0D7377"/>
          <w:sz w:val="32"/>
          <w:szCs w:val="32"/>
        </w:rPr>
        <w:t xml:space="preserve">6.  Severity Routing Engine</w:t>
      </w:r>
    </w:p>
    <w:p>
      <w:pPr>
        <w:pBdr>
          <w:bottom w:val="single" w:color="0D7377" w:sz="8" w:space="1"/>
        </w:pBdr>
        <w:spacing w:before="0" w:after="160"/>
      </w:pPr>
    </w:p>
    <w:p>
      <w:pPr>
        <w:spacing w:before="80" w:after="80"/>
        <w:jc w:val="left"/>
      </w:pPr>
      <w:r>
        <w:rPr>
          <w:rFonts w:ascii="Arial" w:cs="Arial" w:eastAsia="Arial" w:hAnsi="Arial"/>
          <w:b w:val="false"/>
          <w:bCs w:val="false"/>
          <w:color w:val="1A1A1A"/>
          <w:sz w:val="22"/>
          <w:szCs w:val="22"/>
        </w:rPr>
        <w:t xml:space="preserve">RA routing has the most differentiated CTA architecture in the series — it must distinguish between new undiagnosed users requiring first-time specialist referral, users under existing care who need to contact their rheumatologist about a flare, and OA-referred users who are discovering RA as a possibility for the first time. The </w:t>
      </w:r>
      <w:r>
        <w:rPr>
          <w:rFonts w:ascii="Arial" w:cs="Arial" w:eastAsia="Arial" w:hAnsi="Arial"/>
          <w:b/>
          <w:bCs/>
          <w:color w:val="1A1A1A"/>
          <w:sz w:val="22"/>
          <w:szCs w:val="22"/>
        </w:rPr>
        <w:t xml:space="preserve">care status flag from Q3.2 Part B</w:t>
      </w:r>
      <w:r>
        <w:rPr>
          <w:rFonts w:ascii="Arial" w:cs="Arial" w:eastAsia="Arial" w:hAnsi="Arial"/>
          <w:b w:val="false"/>
          <w:bCs w:val="false"/>
          <w:color w:val="1A1A1A"/>
          <w:sz w:val="22"/>
          <w:szCs w:val="22"/>
        </w:rPr>
        <w:t xml:space="preserve"> drives this differentiation.</w:t>
      </w:r>
    </w:p>
    <w:p>
      <w:pPr>
        <w:spacing w:before="120" w:after="120"/>
      </w:pPr>
    </w:p>
    <w:p>
      <w:pPr>
        <w:pStyle w:val="Heading3"/>
        <w:spacing w:before="240" w:after="80"/>
      </w:pPr>
      <w:r>
        <w:rPr>
          <w:rFonts w:ascii="Arial" w:cs="Arial" w:eastAsia="Arial" w:hAnsi="Arial"/>
          <w:b/>
          <w:bCs/>
          <w:color w:val="2C3E50"/>
          <w:sz w:val="22"/>
          <w:szCs w:val="22"/>
        </w:rPr>
        <w:t xml:space="preserve">6.1  Routing Logic Overview</w:t>
      </w:r>
    </w:p>
    <w:p>
      <w:pPr>
        <w:spacing w:before="8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600"/>
        <w:gridCol w:w="2560"/>
      </w:tblGrid>
      <w:tr>
        <w:trPr>
          <w:tblHeader/>
        </w:trPr>
        <w:tc>
          <w:tcPr>
            <w:tcW w:type="dxa" w:w="20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Tier</w:t>
            </w:r>
          </w:p>
        </w:tc>
        <w:tc>
          <w:tcPr>
            <w:tcW w:type="dxa" w:w="22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Score</w:t>
            </w:r>
          </w:p>
        </w:tc>
        <w:tc>
          <w:tcPr>
            <w:tcW w:type="dxa" w:w="26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Primary Route</w:t>
            </w:r>
          </w:p>
        </w:tc>
        <w:tc>
          <w:tcPr>
            <w:tcW w:type="dxa" w:w="25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Secondary Route</w:t>
            </w:r>
          </w:p>
        </w:tc>
      </w:tr>
      <w:tr>
        <w:tc>
          <w:tcPr>
            <w:tcW w:type="dxa" w:w="200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tcPr>
          <w:p>
            <w:pPr>
              <w:spacing w:before="80" w:after="80"/>
              <w:jc w:val="left"/>
            </w:pPr>
            <w:r>
              <w:rPr>
                <w:rFonts w:ascii="Arial" w:cs="Arial" w:eastAsia="Arial" w:hAnsi="Arial"/>
                <w:b/>
                <w:bCs/>
                <w:color w:val="1E8449"/>
                <w:sz w:val="20"/>
                <w:szCs w:val="20"/>
              </w:rPr>
              <w:t xml:space="preserve">LOW RISK</w:t>
            </w:r>
          </w:p>
        </w:tc>
        <w:tc>
          <w:tcPr>
            <w:tcW w:type="dxa" w:w="220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0–9</w:t>
            </w:r>
          </w:p>
        </w:tc>
        <w:tc>
          <w:tcPr>
            <w:tcW w:type="dxa" w:w="260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GP consultation recommended + Kriya Play Muscle Mood (gentle joint mobility games)</w:t>
            </w:r>
          </w:p>
        </w:tc>
        <w:tc>
          <w:tcPr>
            <w:tcW w:type="dxa" w:w="256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Myo AI for RA vs OA education + re-scan in 4–6 weeks if symptoms persist</w:t>
            </w:r>
          </w:p>
        </w:tc>
      </w:tr>
      <w:tr>
        <w:tc>
          <w:tcPr>
            <w:tcW w:type="dxa" w:w="2000"/>
            <w:tcBorders>
              <w:top w:val="single" w:color="CCCCCC" w:sz="1"/>
              <w:left w:val="single" w:color="CCCCCC" w:sz="1"/>
              <w:bottom w:val="single" w:color="CCCCCC" w:sz="1"/>
              <w:right w:val="single" w:color="CCCCCC" w:sz="1"/>
            </w:tcBorders>
            <w:shd w:fill="FEF9EC" w:val="clear"/>
            <w:tcMar>
              <w:top w:type="dxa" w:w="80"/>
              <w:left w:type="dxa" w:w="140"/>
              <w:bottom w:type="dxa" w:w="80"/>
              <w:right w:type="dxa" w:w="140"/>
            </w:tcMar>
          </w:tcPr>
          <w:p>
            <w:pPr>
              <w:spacing w:before="80" w:after="80"/>
              <w:jc w:val="left"/>
            </w:pPr>
            <w:r>
              <w:rPr>
                <w:rFonts w:ascii="Arial" w:cs="Arial" w:eastAsia="Arial" w:hAnsi="Arial"/>
                <w:b/>
                <w:bCs/>
                <w:color w:val="F39C12"/>
                <w:sz w:val="20"/>
                <w:szCs w:val="20"/>
              </w:rPr>
              <w:t xml:space="preserve">MODERATE RISK</w:t>
            </w:r>
          </w:p>
        </w:tc>
        <w:tc>
          <w:tcPr>
            <w:tcW w:type="dxa" w:w="2200"/>
            <w:tcBorders>
              <w:top w:val="single" w:color="CCCCCC" w:sz="1"/>
              <w:left w:val="single" w:color="CCCCCC" w:sz="1"/>
              <w:bottom w:val="single" w:color="CCCCCC" w:sz="1"/>
              <w:right w:val="single" w:color="CCCCCC" w:sz="1"/>
            </w:tcBorders>
            <w:shd w:fill="FEF9EC"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10–22</w:t>
            </w:r>
          </w:p>
        </w:tc>
        <w:tc>
          <w:tcPr>
            <w:tcW w:type="dxa" w:w="2600"/>
            <w:tcBorders>
              <w:top w:val="single" w:color="CCCCCC" w:sz="1"/>
              <w:left w:val="single" w:color="CCCCCC" w:sz="1"/>
              <w:bottom w:val="single" w:color="CCCCCC" w:sz="1"/>
              <w:right w:val="single" w:color="CCCCCC" w:sz="1"/>
            </w:tcBorders>
            <w:shd w:fill="FEF9EC"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Rheumatology referral recommended (via GP) + Kriya Care gentle joint programme</w:t>
            </w:r>
          </w:p>
        </w:tc>
        <w:tc>
          <w:tcPr>
            <w:tcW w:type="dxa" w:w="2560"/>
            <w:tcBorders>
              <w:top w:val="single" w:color="CCCCCC" w:sz="1"/>
              <w:left w:val="single" w:color="CCCCCC" w:sz="1"/>
              <w:bottom w:val="single" w:color="CCCCCC" w:sz="1"/>
              <w:right w:val="single" w:color="CCCCCC" w:sz="1"/>
            </w:tcBorders>
            <w:shd w:fill="FEF9EC"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Myo AI for inflammatory arthritis education + DeepScan + Osteoporosis scan cross-recommendation</w:t>
            </w:r>
          </w:p>
        </w:tc>
      </w:tr>
      <w:tr>
        <w:tc>
          <w:tcPr>
            <w:tcW w:type="dxa" w:w="200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tcPr>
          <w:p>
            <w:pPr>
              <w:spacing w:before="80" w:after="80"/>
              <w:jc w:val="left"/>
            </w:pPr>
            <w:r>
              <w:rPr>
                <w:rFonts w:ascii="Arial" w:cs="Arial" w:eastAsia="Arial" w:hAnsi="Arial"/>
                <w:b/>
                <w:bCs/>
                <w:color w:val="C0392B"/>
                <w:sz w:val="20"/>
                <w:szCs w:val="20"/>
              </w:rPr>
              <w:t xml:space="preserve">HIGH RISK</w:t>
            </w:r>
          </w:p>
        </w:tc>
        <w:tc>
          <w:tcPr>
            <w:tcW w:type="dxa" w:w="220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23+ or Hard Flag</w:t>
            </w:r>
          </w:p>
        </w:tc>
        <w:tc>
          <w:tcPr>
            <w:tcW w:type="dxa" w:w="260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Urgent rheumatology referral (Window of Opportunity alert if &lt; 12 weeks) + Kriya Care while awaiting appointment</w:t>
            </w:r>
          </w:p>
        </w:tc>
        <w:tc>
          <w:tcPr>
            <w:tcW w:type="dxa" w:w="256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Myo AI + DeepScan + Osteoporosis scan strongly recommended for post-menopausal women</w:t>
            </w:r>
          </w:p>
        </w:tc>
      </w:tr>
      <w:tr>
        <w:tc>
          <w:tcPr>
            <w:tcW w:type="dxa" w:w="2000"/>
            <w:tcBorders>
              <w:top w:val="single" w:color="C0392B" w:sz="1"/>
              <w:left w:val="single" w:color="C0392B" w:sz="1"/>
              <w:bottom w:val="single" w:color="C0392B" w:sz="1"/>
              <w:right w:val="single" w:color="C0392B" w:sz="1"/>
            </w:tcBorders>
            <w:shd w:fill="FFE5E5" w:val="clear"/>
            <w:tcMar>
              <w:top w:type="dxa" w:w="80"/>
              <w:left w:type="dxa" w:w="140"/>
              <w:bottom w:type="dxa" w:w="80"/>
              <w:right w:type="dxa" w:w="140"/>
            </w:tcMar>
          </w:tcPr>
          <w:p>
            <w:pPr>
              <w:spacing w:before="80" w:after="80"/>
              <w:jc w:val="left"/>
            </w:pPr>
            <w:r>
              <w:rPr>
                <w:rFonts w:ascii="Arial" w:cs="Arial" w:eastAsia="Arial" w:hAnsi="Arial"/>
                <w:b/>
                <w:bCs/>
                <w:color w:val="C0392B"/>
                <w:sz w:val="20"/>
                <w:szCs w:val="20"/>
              </w:rPr>
              <w:t xml:space="preserve">RED FLAG</w:t>
            </w:r>
          </w:p>
        </w:tc>
        <w:tc>
          <w:tcPr>
            <w:tcW w:type="dxa" w:w="2200"/>
            <w:tcBorders>
              <w:top w:val="single" w:color="C0392B" w:sz="1"/>
              <w:left w:val="single" w:color="C0392B" w:sz="1"/>
              <w:bottom w:val="single" w:color="C0392B" w:sz="1"/>
              <w:right w:val="single" w:color="C0392B" w:sz="1"/>
            </w:tcBorders>
            <w:shd w:fill="FFE5E5"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0 positive</w:t>
            </w:r>
          </w:p>
        </w:tc>
        <w:tc>
          <w:tcPr>
            <w:tcW w:type="dxa" w:w="2600"/>
            <w:tcBorders>
              <w:top w:val="single" w:color="C0392B" w:sz="1"/>
              <w:left w:val="single" w:color="C0392B" w:sz="1"/>
              <w:bottom w:val="single" w:color="C0392B" w:sz="1"/>
              <w:right w:val="single" w:color="C0392B" w:sz="1"/>
            </w:tcBorders>
            <w:shd w:fill="FFE5E5" w:val="clear"/>
            <w:tcMar>
              <w:top w:type="dxa" w:w="80"/>
              <w:left w:type="dxa" w:w="140"/>
              <w:bottom w:type="dxa" w:w="80"/>
              <w:right w:type="dxa" w:w="140"/>
            </w:tcMar>
          </w:tcPr>
          <w:p>
            <w:pPr>
              <w:spacing w:before="80" w:after="80"/>
              <w:jc w:val="left"/>
            </w:pPr>
            <w:r>
              <w:rPr>
                <w:rFonts w:ascii="Arial" w:cs="Arial" w:eastAsia="Arial" w:hAnsi="Arial"/>
                <w:b/>
                <w:bCs/>
                <w:color w:val="C0392B"/>
                <w:sz w:val="20"/>
                <w:szCs w:val="20"/>
              </w:rPr>
              <w:t xml:space="preserve">4 emergency screens</w:t>
            </w:r>
            <w:r>
              <w:rPr>
                <w:rFonts w:ascii="Arial" w:cs="Arial" w:eastAsia="Arial" w:hAnsi="Arial"/>
                <w:b w:val="false"/>
                <w:bCs w:val="false"/>
                <w:color w:val="1A1A1A"/>
                <w:sz w:val="20"/>
                <w:szCs w:val="20"/>
              </w:rPr>
              <w:t xml:space="preserve">: Septic arthritis (A&amp;E), Immunocompromised infection (A&amp;E), Ocular emergency (ophthalmology A&amp;E), Cardiac/respiratory urgent</w:t>
            </w:r>
          </w:p>
        </w:tc>
        <w:tc>
          <w:tcPr>
            <w:tcW w:type="dxa" w:w="2560"/>
            <w:tcBorders>
              <w:top w:val="single" w:color="C0392B" w:sz="1"/>
              <w:left w:val="single" w:color="C0392B" w:sz="1"/>
              <w:bottom w:val="single" w:color="C0392B" w:sz="1"/>
              <w:right w:val="single" w:color="C0392B" w:sz="1"/>
            </w:tcBorders>
            <w:shd w:fill="FFE5E5"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Scan halted</w:t>
            </w:r>
          </w:p>
        </w:tc>
      </w:tr>
    </w:tbl>
    <w:p>
      <w:pPr>
        <w:spacing w:before="120" w:after="120"/>
      </w:pPr>
    </w:p>
    <w:p>
      <w:pPr>
        <w:pStyle w:val="Heading3"/>
        <w:spacing w:before="240" w:after="80"/>
      </w:pPr>
      <w:r>
        <w:rPr>
          <w:rFonts w:ascii="Arial" w:cs="Arial" w:eastAsia="Arial" w:hAnsi="Arial"/>
          <w:b/>
          <w:bCs/>
          <w:color w:val="2C3E50"/>
          <w:sz w:val="22"/>
          <w:szCs w:val="22"/>
        </w:rPr>
        <w:t xml:space="preserve">6.2  Care Status-Differentiated Routing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377" w:sz="1"/>
              <w:left w:val="single" w:color="0D7377" w:sz="1"/>
              <w:bottom w:val="single" w:color="0D7377" w:sz="1"/>
              <w:right w:val="single" w:color="0D7377" w:sz="1"/>
            </w:tcBorders>
            <w:shd w:fill="E6F4F4" w:val="clear"/>
            <w:tcMar>
              <w:top w:type="dxa" w:w="160"/>
              <w:left w:type="dxa" w:w="240"/>
              <w:bottom w:type="dxa" w:w="160"/>
              <w:right w:type="dxa" w:w="240"/>
            </w:tcMar>
          </w:tcPr>
          <w:p>
            <w:pPr>
              <w:spacing w:before="80" w:after="80"/>
              <w:jc w:val="left"/>
            </w:pPr>
            <w:r>
              <w:rPr>
                <w:rFonts w:ascii="Arial" w:cs="Arial" w:eastAsia="Arial" w:hAnsi="Arial"/>
                <w:b/>
                <w:bCs/>
                <w:color w:val="0D7377"/>
                <w:sz w:val="20"/>
                <w:szCs w:val="20"/>
              </w:rPr>
              <w:t xml:space="preserve">Four Care Status CTAs — Unique to RA Module</w:t>
            </w:r>
          </w:p>
          <w:p>
            <w:pPr>
              <w:pStyle w:val="ListParagraph"/>
              <w:numPr>
                <w:ilvl w:val="0"/>
                <w:numId w:val="2"/>
              </w:numPr>
              <w:spacing w:before="60" w:after="60"/>
            </w:pPr>
            <w:r>
              <w:rPr>
                <w:rFonts w:ascii="Arial" w:cs="Arial" w:eastAsia="Arial" w:hAnsi="Arial"/>
                <w:b/>
                <w:bCs/>
                <w:color w:val="1A1A1A"/>
                <w:sz w:val="22"/>
                <w:szCs w:val="22"/>
              </w:rPr>
              <w:t xml:space="preserve">Status A — Under rheumatologist (CONFIRMED_RA flag + Q3.2B Option A):</w:t>
            </w:r>
            <w:r>
              <w:rPr>
                <w:rFonts w:ascii="Arial" w:cs="Arial" w:eastAsia="Arial" w:hAnsi="Arial"/>
                <w:b w:val="false"/>
                <w:bCs w:val="false"/>
                <w:color w:val="1A1A1A"/>
                <w:sz w:val="20"/>
                <w:szCs w:val="20"/>
              </w:rPr>
              <w:t xml:space="preserve">  Primary CTA = 'Contact your rheumatologist' — framing is flare monitoring, not new referral. Output: 'Your current symptom changes may warrant a review with your rheumatologist — the signals you have reported are consistent with increased disease activity.'</w:t>
            </w:r>
          </w:p>
          <w:p>
            <w:pPr>
              <w:pStyle w:val="ListParagraph"/>
              <w:numPr>
                <w:ilvl w:val="0"/>
                <w:numId w:val="2"/>
              </w:numPr>
              <w:spacing w:before="60" w:after="60"/>
            </w:pPr>
            <w:r>
              <w:rPr>
                <w:rFonts w:ascii="Arial" w:cs="Arial" w:eastAsia="Arial" w:hAnsi="Arial"/>
                <w:b/>
                <w:bCs/>
                <w:color w:val="1A1A1A"/>
                <w:sz w:val="22"/>
                <w:szCs w:val="22"/>
              </w:rPr>
              <w:t xml:space="preserve">Status B — Waiting for specialist (Q3.2B Option B):</w:t>
            </w:r>
            <w:r>
              <w:rPr>
                <w:rFonts w:ascii="Arial" w:cs="Arial" w:eastAsia="Arial" w:hAnsi="Arial"/>
                <w:b w:val="false"/>
                <w:bCs w:val="false"/>
                <w:color w:val="1A1A1A"/>
                <w:sz w:val="20"/>
                <w:szCs w:val="20"/>
              </w:rPr>
              <w:t xml:space="preserve">  Primary CTA = 'Follow up on your referral'. Output: 'Your risk signal profile supports the referral you are waiting for. If symptoms are worsening, contact your GP to expedite.'</w:t>
            </w:r>
          </w:p>
          <w:p>
            <w:pPr>
              <w:pStyle w:val="ListParagraph"/>
              <w:numPr>
                <w:ilvl w:val="0"/>
                <w:numId w:val="2"/>
              </w:numPr>
              <w:spacing w:before="60" w:after="60"/>
            </w:pPr>
            <w:r>
              <w:rPr>
                <w:rFonts w:ascii="Arial" w:cs="Arial" w:eastAsia="Arial" w:hAnsi="Arial"/>
                <w:b/>
                <w:bCs/>
                <w:color w:val="1A1A1A"/>
                <w:sz w:val="22"/>
                <w:szCs w:val="22"/>
              </w:rPr>
              <w:t xml:space="preserve">Status C — GP-managed only (Q3.2B Option C):</w:t>
            </w:r>
            <w:r>
              <w:rPr>
                <w:rFonts w:ascii="Arial" w:cs="Arial" w:eastAsia="Arial" w:hAnsi="Arial"/>
                <w:b w:val="false"/>
                <w:bCs w:val="false"/>
                <w:color w:val="1A1A1A"/>
                <w:sz w:val="20"/>
                <w:szCs w:val="20"/>
              </w:rPr>
              <w:t xml:space="preserve">  Primary CTA = 'Request a rheumatology referral from your GP'. Output: 'Your pattern suggests specialist evaluation is appropriate — a rheumatologist is best placed to investigate inflammatory arthritis comprehensively.'</w:t>
            </w:r>
          </w:p>
          <w:p>
            <w:pPr>
              <w:pStyle w:val="ListParagraph"/>
              <w:numPr>
                <w:ilvl w:val="0"/>
                <w:numId w:val="2"/>
              </w:numPr>
              <w:spacing w:before="60" w:after="60"/>
            </w:pPr>
            <w:r>
              <w:rPr>
                <w:rFonts w:ascii="Arial" w:cs="Arial" w:eastAsia="Arial" w:hAnsi="Arial"/>
                <w:b/>
                <w:bCs/>
                <w:color w:val="1A1A1A"/>
                <w:sz w:val="22"/>
                <w:szCs w:val="22"/>
              </w:rPr>
              <w:t xml:space="preserve">Status D — No current care (Q3.2B Option D):</w:t>
            </w:r>
            <w:r>
              <w:rPr>
                <w:rFonts w:ascii="Arial" w:cs="Arial" w:eastAsia="Arial" w:hAnsi="Arial"/>
                <w:b w:val="false"/>
                <w:bCs w:val="false"/>
                <w:color w:val="1A1A1A"/>
                <w:sz w:val="20"/>
                <w:szCs w:val="20"/>
              </w:rPr>
              <w:t xml:space="preserve">  Primary CTA = 'See your GP to arrange rheumatology evaluation'. Window of Opportunity alert if applicable. Most urgent framing.</w:t>
            </w:r>
          </w:p>
        </w:tc>
      </w:tr>
    </w:tbl>
    <w:p>
      <w:pPr>
        <w:spacing w:before="120" w:after="120"/>
      </w:pPr>
    </w:p>
    <w:p>
      <w:pPr>
        <w:pStyle w:val="Heading3"/>
        <w:spacing w:before="240" w:after="80"/>
      </w:pPr>
      <w:r>
        <w:rPr>
          <w:rFonts w:ascii="Arial" w:cs="Arial" w:eastAsia="Arial" w:hAnsi="Arial"/>
          <w:b/>
          <w:bCs/>
          <w:color w:val="2C3E50"/>
          <w:sz w:val="22"/>
          <w:szCs w:val="22"/>
        </w:rPr>
        <w:t xml:space="preserve">6.3  Window of Opportunity Alert — Output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1"/>
              <w:left w:val="single" w:color="C0392B" w:sz="1"/>
              <w:bottom w:val="single" w:color="C0392B" w:sz="1"/>
              <w:right w:val="single" w:color="C0392B" w:sz="1"/>
            </w:tcBorders>
            <w:shd w:fill="FDECEA" w:val="clear"/>
            <w:tcMar>
              <w:top w:type="dxa" w:w="160"/>
              <w:left w:type="dxa" w:w="240"/>
              <w:bottom w:type="dxa" w:w="160"/>
              <w:right w:type="dxa" w:w="240"/>
            </w:tcMar>
          </w:tcPr>
          <w:p>
            <w:pPr>
              <w:spacing w:before="80" w:after="80"/>
              <w:jc w:val="left"/>
            </w:pPr>
            <w:r>
              <w:rPr>
                <w:rFonts w:ascii="Arial" w:cs="Arial" w:eastAsia="Arial" w:hAnsi="Arial"/>
                <w:b/>
                <w:bCs/>
                <w:color w:val="C0392B"/>
                <w:sz w:val="20"/>
                <w:szCs w:val="20"/>
              </w:rPr>
              <w:t xml:space="preserve">Window of Opportunity Alert — Design Specification</w:t>
            </w:r>
          </w:p>
          <w:p>
            <w:pPr>
              <w:spacing w:before="80" w:after="80"/>
              <w:jc w:val="left"/>
            </w:pPr>
            <w:r>
              <w:rPr>
                <w:rFonts w:ascii="Arial" w:cs="Arial" w:eastAsia="Arial" w:hAnsi="Arial"/>
                <w:b w:val="false"/>
                <w:bCs w:val="false"/>
                <w:color w:val="1A1A1A"/>
                <w:sz w:val="20"/>
                <w:szCs w:val="20"/>
              </w:rPr>
              <w:t xml:space="preserve">Triggered when: HIGH RISK tier + Q1.4 Part B Options B2 or B3 (symptom duration 6–12 weeks or just over 12 weeks) + Status D or C (not currently under specialist care).</w:t>
            </w:r>
          </w:p>
          <w:p>
            <w:pPr>
              <w:spacing w:before="60" w:after="120"/>
            </w:pPr>
          </w:p>
          <w:p>
            <w:pPr>
              <w:pStyle w:val="ListParagraph"/>
              <w:numPr>
                <w:ilvl w:val="0"/>
                <w:numId w:val="2"/>
              </w:numPr>
              <w:spacing w:before="60" w:after="60"/>
            </w:pPr>
            <w:r>
              <w:rPr>
                <w:rFonts w:ascii="Arial" w:cs="Arial" w:eastAsia="Arial" w:hAnsi="Arial"/>
                <w:b/>
                <w:bCs/>
                <w:color w:val="1A1A1A"/>
                <w:sz w:val="22"/>
                <w:szCs w:val="22"/>
              </w:rPr>
              <w:t xml:space="preserve">Headline:</w:t>
            </w:r>
            <w:r>
              <w:rPr>
                <w:rFonts w:ascii="Arial" w:cs="Arial" w:eastAsia="Arial" w:hAnsi="Arial"/>
                <w:b w:val="false"/>
                <w:bCs w:val="false"/>
                <w:color w:val="1A1A1A"/>
                <w:sz w:val="20"/>
                <w:szCs w:val="20"/>
              </w:rPr>
              <w:t xml:space="preserve">  'The timing of your symptoms matters'</w:t>
            </w:r>
          </w:p>
          <w:p>
            <w:pPr>
              <w:pStyle w:val="ListParagraph"/>
              <w:numPr>
                <w:ilvl w:val="0"/>
                <w:numId w:val="2"/>
              </w:numPr>
              <w:spacing w:before="60" w:after="60"/>
            </w:pPr>
            <w:r>
              <w:rPr>
                <w:rFonts w:ascii="Arial" w:cs="Arial" w:eastAsia="Arial" w:hAnsi="Arial"/>
                <w:b/>
                <w:bCs/>
                <w:color w:val="1A1A1A"/>
                <w:sz w:val="22"/>
                <w:szCs w:val="22"/>
              </w:rPr>
              <w:t xml:space="preserve">Core message:</w:t>
            </w:r>
            <w:r>
              <w:rPr>
                <w:rFonts w:ascii="Arial" w:cs="Arial" w:eastAsia="Arial" w:hAnsi="Arial"/>
                <w:b w:val="false"/>
                <w:bCs w:val="false"/>
                <w:color w:val="1A1A1A"/>
                <w:sz w:val="20"/>
                <w:szCs w:val="20"/>
              </w:rPr>
              <w:t xml:space="preserve">  'The first 12 weeks of inflammatory arthritis symptoms represent the most critical treatment window. Studies show that starting treatment early can lead to sustained remission in many patients — an outcome that becomes significantly harder to achieve if treatment is delayed. Your symptom duration makes prompt evaluation particularly important.'</w:t>
            </w:r>
          </w:p>
          <w:p>
            <w:pPr>
              <w:pStyle w:val="ListParagraph"/>
              <w:numPr>
                <w:ilvl w:val="0"/>
                <w:numId w:val="2"/>
              </w:numPr>
              <w:spacing w:before="60" w:after="60"/>
            </w:pPr>
            <w:r>
              <w:rPr>
                <w:rFonts w:ascii="Arial" w:cs="Arial" w:eastAsia="Arial" w:hAnsi="Arial"/>
                <w:b/>
                <w:bCs/>
                <w:color w:val="1A1A1A"/>
                <w:sz w:val="22"/>
                <w:szCs w:val="22"/>
              </w:rPr>
              <w:t xml:space="preserve">Tone:</w:t>
            </w:r>
            <w:r>
              <w:rPr>
                <w:rFonts w:ascii="Arial" w:cs="Arial" w:eastAsia="Arial" w:hAnsi="Arial"/>
                <w:b w:val="false"/>
                <w:bCs w:val="false"/>
                <w:color w:val="1A1A1A"/>
                <w:sz w:val="20"/>
                <w:szCs w:val="20"/>
              </w:rPr>
              <w:t xml:space="preserve">  Urgent but empowering — not alarming. 'This is good news — it means there is time to act effectively.'</w:t>
            </w:r>
          </w:p>
          <w:p>
            <w:pPr>
              <w:pStyle w:val="ListParagraph"/>
              <w:numPr>
                <w:ilvl w:val="0"/>
                <w:numId w:val="2"/>
              </w:numPr>
              <w:spacing w:before="60" w:after="60"/>
            </w:pPr>
            <w:r>
              <w:rPr>
                <w:rFonts w:ascii="Arial" w:cs="Arial" w:eastAsia="Arial" w:hAnsi="Arial"/>
                <w:b/>
                <w:bCs/>
                <w:color w:val="1A1A1A"/>
                <w:sz w:val="22"/>
                <w:szCs w:val="22"/>
              </w:rPr>
              <w:t xml:space="preserve">CTA:</w:t>
            </w:r>
            <w:r>
              <w:rPr>
                <w:rFonts w:ascii="Arial" w:cs="Arial" w:eastAsia="Arial" w:hAnsi="Arial"/>
                <w:b w:val="false"/>
                <w:bCs w:val="false"/>
                <w:color w:val="1A1A1A"/>
                <w:sz w:val="20"/>
                <w:szCs w:val="20"/>
              </w:rPr>
              <w:t xml:space="preserve">  'See your GP this week to request an urgent rheumatology referral' — specific timeline guidance (this week, not eventually)</w:t>
            </w:r>
          </w:p>
        </w:tc>
      </w:tr>
    </w:tbl>
    <w:p>
      <w:pPr>
        <w:spacing w:before="120" w:after="120"/>
      </w:pPr>
    </w:p>
    <w:p>
      <w:pPr>
        <w:pStyle w:val="Heading3"/>
        <w:spacing w:before="240" w:after="80"/>
      </w:pPr>
      <w:r>
        <w:rPr>
          <w:rFonts w:ascii="Arial" w:cs="Arial" w:eastAsia="Arial" w:hAnsi="Arial"/>
          <w:b/>
          <w:bCs/>
          <w:color w:val="2C3E50"/>
          <w:sz w:val="22"/>
          <w:szCs w:val="22"/>
        </w:rPr>
        <w:t xml:space="preserve">6.4  Cross-Scan Recommendations</w:t>
      </w:r>
    </w:p>
    <w:p>
      <w:pPr>
        <w:pStyle w:val="ListParagraph"/>
        <w:numPr>
          <w:ilvl w:val="0"/>
          <w:numId w:val="2"/>
        </w:numPr>
        <w:spacing w:before="60" w:after="60"/>
      </w:pPr>
      <w:r>
        <w:rPr>
          <w:rFonts w:ascii="Arial" w:cs="Arial" w:eastAsia="Arial" w:hAnsi="Arial"/>
          <w:b/>
          <w:bCs/>
          <w:color w:val="1A1A1A"/>
          <w:sz w:val="22"/>
          <w:szCs w:val="22"/>
        </w:rPr>
        <w:t xml:space="preserve">Recommend Osteoporosis QuickScan (Module 1):</w:t>
      </w:r>
      <w:r>
        <w:rPr>
          <w:rFonts w:ascii="Arial" w:cs="Arial" w:eastAsia="Arial" w:hAnsi="Arial"/>
          <w:b w:val="false"/>
          <w:bCs w:val="false"/>
          <w:color w:val="1A1A1A"/>
          <w:sz w:val="22"/>
          <w:szCs w:val="22"/>
        </w:rPr>
        <w:t xml:space="preserve">  All HIGH RISK RA users + post-menopausal women + users on steroids. 'RA increases the risk of osteoporosis — both through the inflammatory process itself and through steroid treatment. We recommend completing the Osteoporosis QuickScan for a complete bone health picture.'</w:t>
      </w:r>
    </w:p>
    <w:p>
      <w:pPr>
        <w:pStyle w:val="ListParagraph"/>
        <w:numPr>
          <w:ilvl w:val="0"/>
          <w:numId w:val="2"/>
        </w:numPr>
        <w:spacing w:before="60" w:after="60"/>
      </w:pPr>
      <w:r>
        <w:rPr>
          <w:rFonts w:ascii="Arial" w:cs="Arial" w:eastAsia="Arial" w:hAnsi="Arial"/>
          <w:b/>
          <w:bCs/>
          <w:color w:val="1A1A1A"/>
          <w:sz w:val="22"/>
          <w:szCs w:val="22"/>
        </w:rPr>
        <w:t xml:space="preserve">Recommend OA QuickScan (Module 2) for CONFIRMED_RA users:</w:t>
      </w:r>
      <w:r>
        <w:rPr>
          <w:rFonts w:ascii="Arial" w:cs="Arial" w:eastAsia="Arial" w:hAnsi="Arial"/>
          <w:b w:val="false"/>
          <w:bCs w:val="false"/>
          <w:color w:val="1A1A1A"/>
          <w:sz w:val="22"/>
          <w:szCs w:val="22"/>
        </w:rPr>
        <w:t xml:space="preserve">  Long-standing RA produces secondary joint damage that overlaps with OA. 'Established RA can cause joint changes that also benefit from OA-type management. Completing the Osteoarthritis QuickScan can help assess the functional burden of your joint condition more completely.'</w:t>
      </w:r>
    </w:p>
    <w:p>
      <w:pPr>
        <w:pStyle w:val="ListParagraph"/>
        <w:numPr>
          <w:ilvl w:val="0"/>
          <w:numId w:val="2"/>
        </w:numPr>
        <w:spacing w:before="60" w:after="60"/>
      </w:pPr>
      <w:r>
        <w:rPr>
          <w:rFonts w:ascii="Arial" w:cs="Arial" w:eastAsia="Arial" w:hAnsi="Arial"/>
          <w:b/>
          <w:bCs/>
          <w:color w:val="1A1A1A"/>
          <w:sz w:val="22"/>
          <w:szCs w:val="22"/>
        </w:rPr>
        <w:t xml:space="preserve">Receive from OA Module RA Differentiation Alert:</w:t>
      </w:r>
      <w:r>
        <w:rPr>
          <w:rFonts w:ascii="Arial" w:cs="Arial" w:eastAsia="Arial" w:hAnsi="Arial"/>
          <w:b w:val="false"/>
          <w:bCs w:val="false"/>
          <w:color w:val="1A1A1A"/>
          <w:sz w:val="22"/>
          <w:szCs w:val="22"/>
        </w:rPr>
        <w:t xml:space="preserve">  For Rajan-type users arriving via cross-referral, output acknowledges the referral context: 'You have been directed here from the Osteoarthritis QuickScan because some features of your joint pattern were more consistent with an inflammatory arthritis than with degenerative OA. This assessment gives a fuller picture of that signal.'</w:t>
      </w:r>
    </w:p>
    <w:p>
      <w:pPr>
        <w:spacing w:before="200" w:after="120"/>
      </w:pPr>
    </w:p>
    <w:p>
      <w:r>
        <w:br w:type="page"/>
      </w:r>
    </w:p>
    <w:p>
      <w:pPr>
        <w:pStyle w:val="Heading1"/>
        <w:spacing w:before="400" w:after="160"/>
      </w:pPr>
      <w:r>
        <w:rPr>
          <w:rFonts w:ascii="Arial" w:cs="Arial" w:eastAsia="Arial" w:hAnsi="Arial"/>
          <w:b/>
          <w:bCs/>
          <w:color w:val="0D7377"/>
          <w:sz w:val="32"/>
          <w:szCs w:val="32"/>
        </w:rPr>
        <w:t xml:space="preserve">7.  Output Design Specification</w:t>
      </w:r>
    </w:p>
    <w:p>
      <w:pPr>
        <w:pBdr>
          <w:bottom w:val="single" w:color="0D7377" w:sz="8" w:space="1"/>
        </w:pBdr>
        <w:spacing w:before="0" w:after="160"/>
      </w:pPr>
    </w:p>
    <w:p>
      <w:pPr>
        <w:pStyle w:val="Heading3"/>
        <w:spacing w:before="240" w:after="80"/>
      </w:pPr>
      <w:r>
        <w:rPr>
          <w:rFonts w:ascii="Arial" w:cs="Arial" w:eastAsia="Arial" w:hAnsi="Arial"/>
          <w:b/>
          <w:bCs/>
          <w:color w:val="2C3E50"/>
          <w:sz w:val="22"/>
          <w:szCs w:val="22"/>
        </w:rPr>
        <w:t xml:space="preserve">7.1  Results Screen Architecture</w:t>
      </w:r>
    </w:p>
    <w:p>
      <w:pPr>
        <w:spacing w:before="80" w:after="80"/>
        <w:jc w:val="left"/>
      </w:pPr>
      <w:r>
        <w:rPr>
          <w:rFonts w:ascii="Arial" w:cs="Arial" w:eastAsia="Arial" w:hAnsi="Arial"/>
          <w:b w:val="false"/>
          <w:bCs w:val="false"/>
          <w:color w:val="1A1A1A"/>
          <w:sz w:val="22"/>
          <w:szCs w:val="22"/>
        </w:rPr>
        <w:t xml:space="preserve">The RA results screen is the most differentiated in the series — it adapts its entire framing based on care status (new suspect vs established patient vs cross-referral), introduces the </w:t>
      </w:r>
      <w:r>
        <w:rPr>
          <w:rFonts w:ascii="Arial" w:cs="Arial" w:eastAsia="Arial" w:hAnsi="Arial"/>
          <w:b/>
          <w:bCs/>
          <w:color w:val="1A1A1A"/>
          <w:sz w:val="22"/>
          <w:szCs w:val="22"/>
        </w:rPr>
        <w:t xml:space="preserve">Window of Opportunity Alert</w:t>
      </w:r>
      <w:r>
        <w:rPr>
          <w:rFonts w:ascii="Arial" w:cs="Arial" w:eastAsia="Arial" w:hAnsi="Arial"/>
          <w:b w:val="false"/>
          <w:bCs w:val="false"/>
          <w:color w:val="1A1A1A"/>
          <w:sz w:val="22"/>
          <w:szCs w:val="22"/>
        </w:rPr>
        <w:t xml:space="preserve"> as a distinct output component, and carries the </w:t>
      </w:r>
      <w:r>
        <w:rPr>
          <w:rFonts w:ascii="Arial" w:cs="Arial" w:eastAsia="Arial" w:hAnsi="Arial"/>
          <w:b/>
          <w:bCs/>
          <w:color w:val="1A1A1A"/>
          <w:sz w:val="22"/>
          <w:szCs w:val="22"/>
        </w:rPr>
        <w:t xml:space="preserve">Inflammatory Pattern Summary</w:t>
      </w:r>
      <w:r>
        <w:rPr>
          <w:rFonts w:ascii="Arial" w:cs="Arial" w:eastAsia="Arial" w:hAnsi="Arial"/>
          <w:b w:val="false"/>
          <w:bCs w:val="false"/>
          <w:color w:val="1A1A1A"/>
          <w:sz w:val="22"/>
          <w:szCs w:val="22"/>
        </w:rPr>
        <w:t xml:space="preserve"> (a new component listing the inflammatory features identified — symmetry, stiffness duration, serology, systemic features) in place of the standard Risk Factor Summary.</w:t>
      </w:r>
    </w:p>
    <w:p>
      <w:pPr>
        <w:spacing w:before="80" w:after="120"/>
      </w:pPr>
    </w:p>
    <w:p>
      <w:pPr>
        <w:pStyle w:val="ListParagraph"/>
        <w:numPr>
          <w:ilvl w:val="0"/>
          <w:numId w:val="3"/>
        </w:numPr>
        <w:spacing w:before="60" w:after="60"/>
      </w:pPr>
      <w:r>
        <w:rPr>
          <w:rFonts w:ascii="Arial" w:cs="Arial" w:eastAsia="Arial" w:hAnsi="Arial"/>
          <w:b/>
          <w:bCs/>
          <w:color w:val="1A1A1A"/>
          <w:sz w:val="22"/>
          <w:szCs w:val="22"/>
        </w:rPr>
        <w:t xml:space="preserve">RA Risk Signal Header</w:t>
      </w:r>
      <w:r>
        <w:rPr>
          <w:rFonts w:ascii="Arial" w:cs="Arial" w:eastAsia="Arial" w:hAnsi="Arial"/>
          <w:b w:val="false"/>
          <w:bCs w:val="false"/>
          <w:color w:val="1A1A1A"/>
          <w:sz w:val="22"/>
          <w:szCs w:val="22"/>
        </w:rPr>
        <w:t xml:space="preserve"> — Tier + colour arc + label: 'Your Inflammatory Arthritis Risk Signal'</w:t>
      </w:r>
    </w:p>
    <w:p>
      <w:pPr>
        <w:pStyle w:val="ListParagraph"/>
        <w:numPr>
          <w:ilvl w:val="0"/>
          <w:numId w:val="3"/>
        </w:numPr>
        <w:spacing w:before="60" w:after="60"/>
      </w:pPr>
      <w:r>
        <w:rPr>
          <w:rFonts w:ascii="Arial" w:cs="Arial" w:eastAsia="Arial" w:hAnsi="Arial"/>
          <w:b/>
          <w:bCs/>
          <w:color w:val="1A1A1A"/>
          <w:sz w:val="22"/>
          <w:szCs w:val="22"/>
        </w:rPr>
        <w:t xml:space="preserve">Disclaimer Strip</w:t>
      </w:r>
      <w:r>
        <w:rPr>
          <w:rFonts w:ascii="Arial" w:cs="Arial" w:eastAsia="Arial" w:hAnsi="Arial"/>
          <w:b w:val="false"/>
          <w:bCs w:val="false"/>
          <w:color w:val="1A1A1A"/>
          <w:sz w:val="22"/>
          <w:szCs w:val="22"/>
        </w:rPr>
        <w:t xml:space="preserve"> — Standard + autoimmune condition addendum</w:t>
      </w:r>
    </w:p>
    <w:p>
      <w:pPr>
        <w:pStyle w:val="ListParagraph"/>
        <w:numPr>
          <w:ilvl w:val="0"/>
          <w:numId w:val="3"/>
        </w:numPr>
        <w:spacing w:before="60" w:after="60"/>
      </w:pPr>
      <w:r>
        <w:rPr>
          <w:rFonts w:ascii="Arial" w:cs="Arial" w:eastAsia="Arial" w:hAnsi="Arial"/>
          <w:b/>
          <w:bCs/>
          <w:color w:val="1A1A1A"/>
          <w:sz w:val="22"/>
          <w:szCs w:val="22"/>
        </w:rPr>
        <w:t xml:space="preserve">Inflammatory Pattern Summary</w:t>
      </w:r>
      <w:r>
        <w:rPr>
          <w:rFonts w:ascii="Arial" w:cs="Arial" w:eastAsia="Arial" w:hAnsi="Arial"/>
          <w:b w:val="false"/>
          <w:bCs w:val="false"/>
          <w:color w:val="1A1A1A"/>
          <w:sz w:val="22"/>
          <w:szCs w:val="22"/>
        </w:rPr>
        <w:t xml:space="preserve"> — New component: lists identified inflammatory features in plain language (e.g., 'Morning stiffness &gt; 60 minutes', 'Bilateral small joint swelling', 'RA fatigue', 'Positive anti-CCP')</w:t>
      </w:r>
    </w:p>
    <w:p>
      <w:pPr>
        <w:pStyle w:val="ListParagraph"/>
        <w:numPr>
          <w:ilvl w:val="0"/>
          <w:numId w:val="3"/>
        </w:numPr>
        <w:spacing w:before="60" w:after="60"/>
      </w:pPr>
      <w:r>
        <w:rPr>
          <w:rFonts w:ascii="Arial" w:cs="Arial" w:eastAsia="Arial" w:hAnsi="Arial"/>
          <w:b/>
          <w:bCs/>
          <w:color w:val="1A1A1A"/>
          <w:sz w:val="22"/>
          <w:szCs w:val="22"/>
        </w:rPr>
        <w:t xml:space="preserve">Window of Opportunity Alert</w:t>
      </w:r>
      <w:r>
        <w:rPr>
          <w:rFonts w:ascii="Arial" w:cs="Arial" w:eastAsia="Arial" w:hAnsi="Arial"/>
          <w:b w:val="false"/>
          <w:bCs w:val="false"/>
          <w:color w:val="1A1A1A"/>
          <w:sz w:val="22"/>
          <w:szCs w:val="22"/>
        </w:rPr>
        <w:t xml:space="preserve"> — Conditional: HIGH RISK + early duration + no specialist care</w:t>
      </w:r>
    </w:p>
    <w:p>
      <w:pPr>
        <w:pStyle w:val="ListParagraph"/>
        <w:numPr>
          <w:ilvl w:val="0"/>
          <w:numId w:val="3"/>
        </w:numPr>
        <w:spacing w:before="60" w:after="60"/>
      </w:pPr>
      <w:r>
        <w:rPr>
          <w:rFonts w:ascii="Arial" w:cs="Arial" w:eastAsia="Arial" w:hAnsi="Arial"/>
          <w:b/>
          <w:bCs/>
          <w:color w:val="1A1A1A"/>
          <w:sz w:val="22"/>
          <w:szCs w:val="22"/>
        </w:rPr>
        <w:t xml:space="preserve">Risk Signal Summary</w:t>
      </w:r>
      <w:r>
        <w:rPr>
          <w:rFonts w:ascii="Arial" w:cs="Arial" w:eastAsia="Arial" w:hAnsi="Arial"/>
          <w:b w:val="false"/>
          <w:bCs w:val="false"/>
          <w:color w:val="1A1A1A"/>
          <w:sz w:val="22"/>
          <w:szCs w:val="22"/>
        </w:rPr>
        <w:t xml:space="preserve"> — Care-status-adapted: 'new suspect' vs 'established RA flare' vs 'OA referral' framing</w:t>
      </w:r>
    </w:p>
    <w:p>
      <w:pPr>
        <w:pStyle w:val="ListParagraph"/>
        <w:numPr>
          <w:ilvl w:val="0"/>
          <w:numId w:val="3"/>
        </w:numPr>
        <w:spacing w:before="60" w:after="60"/>
      </w:pPr>
      <w:r>
        <w:rPr>
          <w:rFonts w:ascii="Arial" w:cs="Arial" w:eastAsia="Arial" w:hAnsi="Arial"/>
          <w:b/>
          <w:bCs/>
          <w:color w:val="1A1A1A"/>
          <w:sz w:val="22"/>
          <w:szCs w:val="22"/>
        </w:rPr>
        <w:t xml:space="preserve">What This Means For You</w:t>
      </w:r>
      <w:r>
        <w:rPr>
          <w:rFonts w:ascii="Arial" w:cs="Arial" w:eastAsia="Arial" w:hAnsi="Arial"/>
          <w:b w:val="false"/>
          <w:bCs w:val="false"/>
          <w:color w:val="1A1A1A"/>
          <w:sz w:val="22"/>
          <w:szCs w:val="22"/>
        </w:rPr>
        <w:t xml:space="preserve"> — Personalised to care status and risk tier</w:t>
      </w:r>
    </w:p>
    <w:p>
      <w:pPr>
        <w:pStyle w:val="ListParagraph"/>
        <w:numPr>
          <w:ilvl w:val="0"/>
          <w:numId w:val="3"/>
        </w:numPr>
        <w:spacing w:before="60" w:after="60"/>
      </w:pPr>
      <w:r>
        <w:rPr>
          <w:rFonts w:ascii="Arial" w:cs="Arial" w:eastAsia="Arial" w:hAnsi="Arial"/>
          <w:b/>
          <w:bCs/>
          <w:color w:val="1A1A1A"/>
          <w:sz w:val="22"/>
          <w:szCs w:val="22"/>
        </w:rPr>
        <w:t xml:space="preserve">Your Next Steps</w:t>
      </w:r>
      <w:r>
        <w:rPr>
          <w:rFonts w:ascii="Arial" w:cs="Arial" w:eastAsia="Arial" w:hAnsi="Arial"/>
          <w:b w:val="false"/>
          <w:bCs w:val="false"/>
          <w:color w:val="1A1A1A"/>
          <w:sz w:val="22"/>
          <w:szCs w:val="22"/>
        </w:rPr>
        <w:t xml:space="preserve"> — Four-variant CTA based on care status (Section 6.2)</w:t>
      </w:r>
    </w:p>
    <w:p>
      <w:pPr>
        <w:pStyle w:val="ListParagraph"/>
        <w:numPr>
          <w:ilvl w:val="0"/>
          <w:numId w:val="3"/>
        </w:numPr>
        <w:spacing w:before="60" w:after="60"/>
      </w:pPr>
      <w:r>
        <w:rPr>
          <w:rFonts w:ascii="Arial" w:cs="Arial" w:eastAsia="Arial" w:hAnsi="Arial"/>
          <w:b/>
          <w:bCs/>
          <w:color w:val="1A1A1A"/>
          <w:sz w:val="22"/>
          <w:szCs w:val="22"/>
        </w:rPr>
        <w:t xml:space="preserve">Cross-Scan Recommendations</w:t>
      </w:r>
      <w:r>
        <w:rPr>
          <w:rFonts w:ascii="Arial" w:cs="Arial" w:eastAsia="Arial" w:hAnsi="Arial"/>
          <w:b w:val="false"/>
          <w:bCs w:val="false"/>
          <w:color w:val="1A1A1A"/>
          <w:sz w:val="22"/>
          <w:szCs w:val="22"/>
        </w:rPr>
        <w:t xml:space="preserve"> — Osteoporosis QuickScan (HIGH RISK); OA QuickScan (CONFIRMED_RA)</w:t>
      </w:r>
    </w:p>
    <w:p>
      <w:pPr>
        <w:pStyle w:val="ListParagraph"/>
        <w:numPr>
          <w:ilvl w:val="0"/>
          <w:numId w:val="3"/>
        </w:numPr>
        <w:spacing w:before="60" w:after="60"/>
      </w:pPr>
      <w:r>
        <w:rPr>
          <w:rFonts w:ascii="Arial" w:cs="Arial" w:eastAsia="Arial" w:hAnsi="Arial"/>
          <w:b/>
          <w:bCs/>
          <w:color w:val="1A1A1A"/>
          <w:sz w:val="22"/>
          <w:szCs w:val="22"/>
        </w:rPr>
        <w:t xml:space="preserve">Myo AI Card</w:t>
      </w:r>
      <w:r>
        <w:rPr>
          <w:rFonts w:ascii="Arial" w:cs="Arial" w:eastAsia="Arial" w:hAnsi="Arial"/>
          <w:b w:val="false"/>
          <w:bCs w:val="false"/>
          <w:color w:val="1A1A1A"/>
          <w:sz w:val="22"/>
          <w:szCs w:val="22"/>
        </w:rPr>
        <w:t xml:space="preserve"> — Pre-populated with RA context: inflammatory arthritis education, RA vs OA distinction, what to expect at rheumatology</w:t>
      </w:r>
    </w:p>
    <w:p>
      <w:pPr>
        <w:pStyle w:val="ListParagraph"/>
        <w:numPr>
          <w:ilvl w:val="0"/>
          <w:numId w:val="3"/>
        </w:numPr>
        <w:spacing w:before="60" w:after="60"/>
      </w:pPr>
      <w:r>
        <w:rPr>
          <w:rFonts w:ascii="Arial" w:cs="Arial" w:eastAsia="Arial" w:hAnsi="Arial"/>
          <w:b/>
          <w:bCs/>
          <w:color w:val="1A1A1A"/>
          <w:sz w:val="22"/>
          <w:szCs w:val="22"/>
        </w:rPr>
        <w:t xml:space="preserve">Share &amp; Save</w:t>
      </w:r>
      <w:r>
        <w:rPr>
          <w:rFonts w:ascii="Arial" w:cs="Arial" w:eastAsia="Arial" w:hAnsi="Arial"/>
          <w:b w:val="false"/>
          <w:bCs w:val="false"/>
          <w:color w:val="1A1A1A"/>
          <w:sz w:val="22"/>
          <w:szCs w:val="22"/>
        </w:rPr>
        <w:t xml:space="preserve"> — PDF with full disclaimer and Inflammatory Pattern Summary for patient to bring to their GP or rheumatologist appointment</w:t>
      </w:r>
    </w:p>
    <w:p>
      <w:pPr>
        <w:spacing w:before="120" w:after="120"/>
      </w:pPr>
    </w:p>
    <w:p>
      <w:pPr>
        <w:pStyle w:val="Heading3"/>
        <w:spacing w:before="240" w:after="80"/>
      </w:pPr>
      <w:r>
        <w:rPr>
          <w:rFonts w:ascii="Arial" w:cs="Arial" w:eastAsia="Arial" w:hAnsi="Arial"/>
          <w:b/>
          <w:bCs/>
          <w:color w:val="2C3E50"/>
          <w:sz w:val="22"/>
          <w:szCs w:val="22"/>
        </w:rPr>
        <w:t xml:space="preserve">7.2  Language Guardrails — RA Specific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Never Use</w:t>
            </w:r>
          </w:p>
        </w:tc>
        <w:tc>
          <w:tcPr>
            <w:tcW w:type="dxa" w:w="53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Always Use Instead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"You have Rheumatoid Arthritis"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"Your joint pattern is consistent with an inflammatory arthritis — a rheumatologist can confirm the diagnosis"</w:t>
            </w:r>
          </w:p>
        </w:tc>
      </w:tr>
      <w:tr>
        <w:tc>
          <w:tcPr>
            <w:tcW w:type="dxa" w:w="4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"Your test shows RA" (re: serology)</w:t>
            </w:r>
          </w:p>
        </w:tc>
        <w:tc>
          <w:tcPr>
            <w:tcW w:type="dxa" w:w="53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"Your positive blood test result strengthens the inflammatory pattern signal — this is significant information for your specialist"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"Start methotrexate / take DMARDs"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Never reference specific medications — route to rheumatologist for treatment decisions</w:t>
            </w:r>
          </w:p>
        </w:tc>
      </w:tr>
      <w:tr>
        <w:tc>
          <w:tcPr>
            <w:tcW w:type="dxa" w:w="4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"RA cannot be cured"</w:t>
            </w:r>
          </w:p>
        </w:tc>
        <w:tc>
          <w:tcPr>
            <w:tcW w:type="dxa" w:w="53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"RA is a manageable condition — many patients achieve sustained remission with early and appropriate treatment"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Dismissing early or mild symptoms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At LOW RISK with persistent symptoms: 'If these symptoms persist or worsen over the next 4–6 weeks, re-scan and consider GP assessment'</w:t>
            </w:r>
          </w:p>
        </w:tc>
      </w:tr>
      <w:tr>
        <w:tc>
          <w:tcPr>
            <w:tcW w:type="dxa" w:w="4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Alarming language about the window of opportunity</w:t>
            </w:r>
          </w:p>
        </w:tc>
        <w:tc>
          <w:tcPr>
            <w:tcW w:type="dxa" w:w="53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Empowering: 'Early treatment is significantly more effective — this is motivating news'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Conflating RA with OA in output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Always distinguish: 'RA is an autoimmune condition, not a wear-and-tear condition — it requires different evaluation and management'</w:t>
            </w:r>
          </w:p>
        </w:tc>
      </w:tr>
      <w:tr>
        <w:tc>
          <w:tcPr>
            <w:tcW w:type="dxa" w:w="4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'Inflammatory arthritis' without explanation</w:t>
            </w:r>
          </w:p>
        </w:tc>
        <w:tc>
          <w:tcPr>
            <w:tcW w:type="dxa" w:w="53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Always define: 'Inflammatory arthritis — such as Rheumatoid Arthritis — is caused by the immune system affecting the joints, rather than mechanical wear'</w:t>
            </w:r>
          </w:p>
        </w:tc>
      </w:tr>
    </w:tbl>
    <w:p>
      <w:pPr>
        <w:spacing w:before="120" w:after="120"/>
      </w:pPr>
    </w:p>
    <w:p>
      <w:pPr>
        <w:pStyle w:val="Heading3"/>
        <w:spacing w:before="240" w:after="80"/>
      </w:pPr>
      <w:r>
        <w:rPr>
          <w:rFonts w:ascii="Arial" w:cs="Arial" w:eastAsia="Arial" w:hAnsi="Arial"/>
          <w:b/>
          <w:bCs/>
          <w:color w:val="2C3E50"/>
          <w:sz w:val="22"/>
          <w:szCs w:val="22"/>
        </w:rPr>
        <w:t xml:space="preserve">7.3  Condition Tags for Output Personalisation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Condition Tag</w:t>
            </w:r>
          </w:p>
        </w:tc>
        <w:tc>
          <w:tcPr>
            <w:tcW w:type="dxa" w:w="55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Trigger Condition</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Prolonged Morning Stiffness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Q1.1 Options D or E — PROLONGED_STIFFNESS flag</w:t>
            </w:r>
          </w:p>
        </w:tc>
      </w:tr>
      <w:tr>
        <w:tc>
          <w:tcPr>
            <w:tcW w:type="dxa" w:w="3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Symmetric Small Joint Involvement</w:t>
            </w:r>
          </w:p>
        </w:tc>
        <w:tc>
          <w:tcPr>
            <w:tcW w:type="dxa" w:w="5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Q1.2 bilateral small joint selections — SYMMETRIC_SMALL_JOINT flag</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Inflammatory Sign Pattern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Q1.3 Options A + B (swelling + warmth)</w:t>
            </w:r>
          </w:p>
        </w:tc>
      </w:tr>
      <w:tr>
        <w:tc>
          <w:tcPr>
            <w:tcW w:type="dxa" w:w="3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Classic Inflammatory Arthritis Pattern</w:t>
            </w:r>
          </w:p>
        </w:tc>
        <w:tc>
          <w:tcPr>
            <w:tcW w:type="dxa" w:w="5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PROLONGED_STIFFNESS + SYMMETRIC_SMALL_JOINT + Inflammatory Sign</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Seropositive RA Signal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Q1.4 Options A1 or A2 — SEROPOSITIVE flag</w:t>
            </w:r>
          </w:p>
        </w:tc>
      </w:tr>
      <w:tr>
        <w:tc>
          <w:tcPr>
            <w:tcW w:type="dxa" w:w="3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Low Positive Serology</w:t>
            </w:r>
          </w:p>
        </w:tc>
        <w:tc>
          <w:tcPr>
            <w:tcW w:type="dxa" w:w="5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Q1.4 Option A3</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Elevated Inflammatory Markers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Q1.4 Option A4</w:t>
            </w:r>
          </w:p>
        </w:tc>
      </w:tr>
      <w:tr>
        <w:tc>
          <w:tcPr>
            <w:tcW w:type="dxa" w:w="3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Early RA Window (&lt; 12 weeks)</w:t>
            </w:r>
          </w:p>
        </w:tc>
        <w:tc>
          <w:tcPr>
            <w:tcW w:type="dxa" w:w="5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Q1.4 Part B Options B2 or B3 + HIGH RISK</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RA Fatigue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Q2.1 Option A — RA_FATIGUE flag</w:t>
            </w:r>
          </w:p>
        </w:tc>
      </w:tr>
      <w:tr>
        <w:tc>
          <w:tcPr>
            <w:tcW w:type="dxa" w:w="3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Systemic Inflammation Pattern</w:t>
            </w:r>
          </w:p>
        </w:tc>
        <w:tc>
          <w:tcPr>
            <w:tcW w:type="dxa" w:w="5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Q2.1 Options A + B together</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Rheumatoid Nodule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Q2.2 Option A — hard floor HIGH RISK</w:t>
            </w:r>
          </w:p>
        </w:tc>
      </w:tr>
      <w:tr>
        <w:tc>
          <w:tcPr>
            <w:tcW w:type="dxa" w:w="3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Extra-articular RA Feature</w:t>
            </w:r>
          </w:p>
        </w:tc>
        <w:tc>
          <w:tcPr>
            <w:tcW w:type="dxa" w:w="5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Q2.2 Options B or C</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Confirmed RA Diagnosis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Q2.2 Option E — CONFIRMED_RA flag</w:t>
            </w:r>
          </w:p>
        </w:tc>
      </w:tr>
      <w:tr>
        <w:tc>
          <w:tcPr>
            <w:tcW w:type="dxa" w:w="3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Family History RA</w:t>
            </w:r>
          </w:p>
        </w:tc>
        <w:tc>
          <w:tcPr>
            <w:tcW w:type="dxa" w:w="5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Q2.2 Option F</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Grip Impairment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Q3.1 Sub-item B 'Unable'</w:t>
            </w:r>
          </w:p>
        </w:tc>
      </w:tr>
      <w:tr>
        <w:tc>
          <w:tcPr>
            <w:tcW w:type="dxa" w:w="3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ADL Limitation</w:t>
            </w:r>
          </w:p>
        </w:tc>
        <w:tc>
          <w:tcPr>
            <w:tcW w:type="dxa" w:w="5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Q3.1 Sub-item A 'Unable'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Psychosocial Burden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Q3.2 Part A Options C or D</w:t>
            </w:r>
          </w:p>
        </w:tc>
      </w:tr>
      <w:tr>
        <w:tc>
          <w:tcPr>
            <w:tcW w:type="dxa" w:w="3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OA Differentiation Referral</w:t>
            </w:r>
          </w:p>
        </w:tc>
        <w:tc>
          <w:tcPr>
            <w:tcW w:type="dxa" w:w="5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User arrived via OA module RA Differentiation Alert</w:t>
            </w:r>
          </w:p>
        </w:tc>
      </w:tr>
    </w:tbl>
    <w:p>
      <w:pPr>
        <w:spacing w:before="200" w:after="120"/>
      </w:pPr>
    </w:p>
    <w:p>
      <w:r>
        <w:br w:type="page"/>
      </w:r>
    </w:p>
    <w:p>
      <w:pPr>
        <w:pStyle w:val="Heading1"/>
        <w:spacing w:before="400" w:after="160"/>
      </w:pPr>
      <w:r>
        <w:rPr>
          <w:rFonts w:ascii="Arial" w:cs="Arial" w:eastAsia="Arial" w:hAnsi="Arial"/>
          <w:b/>
          <w:bCs/>
          <w:color w:val="0D7377"/>
          <w:sz w:val="32"/>
          <w:szCs w:val="32"/>
        </w:rPr>
        <w:t xml:space="preserve">8.  Data &amp; Analytics Requirements</w:t>
      </w:r>
    </w:p>
    <w:p>
      <w:pPr>
        <w:pBdr>
          <w:bottom w:val="single" w:color="0D7377" w:sz="8" w:space="1"/>
        </w:pBdr>
        <w:spacing w:before="0" w:after="160"/>
      </w:pPr>
    </w:p>
    <w:p>
      <w:pPr>
        <w:pStyle w:val="Heading3"/>
        <w:spacing w:before="240" w:after="80"/>
      </w:pPr>
      <w:r>
        <w:rPr>
          <w:rFonts w:ascii="Arial" w:cs="Arial" w:eastAsia="Arial" w:hAnsi="Arial"/>
          <w:b/>
          <w:bCs/>
          <w:color w:val="2C3E50"/>
          <w:sz w:val="22"/>
          <w:szCs w:val="22"/>
        </w:rPr>
        <w:t xml:space="preserve">8.1  Data Points to Capture Per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Data Point</w:t>
            </w:r>
          </w:p>
        </w:tc>
        <w:tc>
          <w:tcPr>
            <w:tcW w:type="dxa" w:w="51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Purpose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User ID (anonymous or authenticated)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Longitudinal tracking — flare monitoring over time for established RA users</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Scan timestamp</w:t>
            </w:r>
          </w:p>
        </w:tc>
        <w:tc>
          <w:tcPr>
            <w:tcW w:type="dxa" w:w="5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Episode cadence; 4–6 week re-scan for suspected cases; 3-month for established RA monitoring</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All question responses (raw)</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Model refinement and clinical audit trail</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Computed risk score (internal only)</w:t>
            </w:r>
          </w:p>
        </w:tc>
        <w:tc>
          <w:tcPr>
            <w:tcW w:type="dxa" w:w="5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Analytics; not surfaced to user</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Risk tier assigned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Cohort segmentation</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PROLONGED_STIFFNESS flag (Y/N + duration category)</w:t>
            </w:r>
          </w:p>
        </w:tc>
        <w:tc>
          <w:tcPr>
            <w:tcW w:type="dxa" w:w="5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Primary RA pattern signal prevalence tracking</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SYMMETRIC_SMALL_JOINT flag (Y/N)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Joint distribution RA specificity signal</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SEROPOSITIVE flag (Y/N + RF vs anti-CCP)</w:t>
            </w:r>
          </w:p>
        </w:tc>
        <w:tc>
          <w:tcPr>
            <w:tcW w:type="dxa" w:w="5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Seropositive vs seronegative RA cohort identification</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CONFIRMED_RA flag (Y/N)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Established RA monitoring cohort</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Window of Opportunity Alert triggered (Y/N)</w:t>
            </w:r>
          </w:p>
        </w:tc>
        <w:tc>
          <w:tcPr>
            <w:tcW w:type="dxa" w:w="5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Early referral urgency rate — platform's highest-impact clinical metric</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RA_FATIGUE flag (Y/N)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Systemic burden cohort for Kriya Care programme matching</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Care status (A/B/C/D from Q3.2B)</w:t>
            </w:r>
          </w:p>
        </w:tc>
        <w:tc>
          <w:tcPr>
            <w:tcW w:type="dxa" w:w="5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Referral pathway analytics — new vs existing specialist relationships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OA Differentiation Referral flag (Y/N)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Cross-scan pipeline conversion rate — OA to RA module</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Rheumatology CTA clicked (Y/N)</w:t>
            </w:r>
          </w:p>
        </w:tc>
        <w:tc>
          <w:tcPr>
            <w:tcW w:type="dxa" w:w="5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Specialist referral conversion — single most important outcome metric for this module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Condition tags generated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DeepScan seeding; Myo AI context; Kriya Care programme matching</w:t>
            </w:r>
          </w:p>
        </w:tc>
      </w:tr>
    </w:tbl>
    <w:p>
      <w:pPr>
        <w:spacing w:before="120" w:after="120"/>
      </w:pPr>
    </w:p>
    <w:p>
      <w:pPr>
        <w:pStyle w:val="Heading3"/>
        <w:spacing w:before="240" w:after="80"/>
      </w:pPr>
      <w:r>
        <w:rPr>
          <w:rFonts w:ascii="Arial" w:cs="Arial" w:eastAsia="Arial" w:hAnsi="Arial"/>
          <w:b/>
          <w:bCs/>
          <w:color w:val="2C3E50"/>
          <w:sz w:val="22"/>
          <w:szCs w:val="22"/>
        </w:rPr>
        <w:t xml:space="preserve">8.2  Cross-Condition Intelligence</w:t>
      </w:r>
    </w:p>
    <w:p>
      <w:pPr>
        <w:pStyle w:val="ListParagraph"/>
        <w:numPr>
          <w:ilvl w:val="0"/>
          <w:numId w:val="2"/>
        </w:numPr>
        <w:spacing w:before="60" w:after="60"/>
      </w:pPr>
      <w:r>
        <w:rPr>
          <w:rFonts w:ascii="Arial" w:cs="Arial" w:eastAsia="Arial" w:hAnsi="Arial"/>
          <w:b/>
          <w:bCs/>
          <w:color w:val="1A1A1A"/>
          <w:sz w:val="22"/>
          <w:szCs w:val="22"/>
        </w:rPr>
        <w:t xml:space="preserve">RA + Osteoporosis (Module 1):</w:t>
      </w:r>
      <w:r>
        <w:rPr>
          <w:rFonts w:ascii="Arial" w:cs="Arial" w:eastAsia="Arial" w:hAnsi="Arial"/>
          <w:b w:val="false"/>
          <w:bCs w:val="false"/>
          <w:color w:val="1A1A1A"/>
          <w:sz w:val="22"/>
          <w:szCs w:val="22"/>
        </w:rPr>
        <w:t xml:space="preserve">  The most clinically significant cross-condition pair involving RA — steroid use, inflammation, and menopause compound fracture risk. Combined high-risk profiles across both modules identify the highest-priority bone protection cohort.</w:t>
      </w:r>
    </w:p>
    <w:p>
      <w:pPr>
        <w:pStyle w:val="ListParagraph"/>
        <w:numPr>
          <w:ilvl w:val="0"/>
          <w:numId w:val="2"/>
        </w:numPr>
        <w:spacing w:before="60" w:after="60"/>
      </w:pPr>
      <w:r>
        <w:rPr>
          <w:rFonts w:ascii="Arial" w:cs="Arial" w:eastAsia="Arial" w:hAnsi="Arial"/>
          <w:b/>
          <w:bCs/>
          <w:color w:val="1A1A1A"/>
          <w:sz w:val="22"/>
          <w:szCs w:val="22"/>
        </w:rPr>
        <w:t xml:space="preserve">RA + OA (Module 2):</w:t>
      </w:r>
      <w:r>
        <w:rPr>
          <w:rFonts w:ascii="Arial" w:cs="Arial" w:eastAsia="Arial" w:hAnsi="Arial"/>
          <w:b w:val="false"/>
          <w:bCs w:val="false"/>
          <w:color w:val="1A1A1A"/>
          <w:sz w:val="22"/>
          <w:szCs w:val="22"/>
        </w:rPr>
        <w:t xml:space="preserve">  Secondary joint damage in long-standing RA mimics OA — combined functional burden from both condition profiles should feed a comprehensive joint management programme in Kriya Care.</w:t>
      </w:r>
    </w:p>
    <w:p>
      <w:pPr>
        <w:pStyle w:val="ListParagraph"/>
        <w:numPr>
          <w:ilvl w:val="0"/>
          <w:numId w:val="2"/>
        </w:numPr>
        <w:spacing w:before="60" w:after="60"/>
      </w:pPr>
      <w:r>
        <w:rPr>
          <w:rFonts w:ascii="Arial" w:cs="Arial" w:eastAsia="Arial" w:hAnsi="Arial"/>
          <w:b/>
          <w:bCs/>
          <w:color w:val="1A1A1A"/>
          <w:sz w:val="22"/>
          <w:szCs w:val="22"/>
        </w:rPr>
        <w:t xml:space="preserve">RA + Shoulder QuickScan:</w:t>
      </w:r>
      <w:r>
        <w:rPr>
          <w:rFonts w:ascii="Arial" w:cs="Arial" w:eastAsia="Arial" w:hAnsi="Arial"/>
          <w:b w:val="false"/>
          <w:bCs w:val="false"/>
          <w:color w:val="1A1A1A"/>
          <w:sz w:val="22"/>
          <w:szCs w:val="22"/>
        </w:rPr>
        <w:t xml:space="preserve">  RA frequently involves the shoulder (glenohumeral joint). HIGH RISK RA users with shoulder symptoms should be cross-linked to the Shoulder QuickScan for functional shoulder assessment.</w:t>
      </w:r>
    </w:p>
    <w:p>
      <w:pPr>
        <w:pStyle w:val="ListParagraph"/>
        <w:numPr>
          <w:ilvl w:val="0"/>
          <w:numId w:val="2"/>
        </w:numPr>
        <w:spacing w:before="60" w:after="60"/>
      </w:pPr>
      <w:r>
        <w:rPr>
          <w:rFonts w:ascii="Arial" w:cs="Arial" w:eastAsia="Arial" w:hAnsi="Arial"/>
          <w:b/>
          <w:bCs/>
          <w:color w:val="1A1A1A"/>
          <w:sz w:val="22"/>
          <w:szCs w:val="22"/>
        </w:rPr>
        <w:t xml:space="preserve">RA + Heel &amp; Foot QuickScan:</w:t>
      </w:r>
      <w:r>
        <w:rPr>
          <w:rFonts w:ascii="Arial" w:cs="Arial" w:eastAsia="Arial" w:hAnsi="Arial"/>
          <w:b w:val="false"/>
          <w:bCs w:val="false"/>
          <w:color w:val="1A1A1A"/>
          <w:sz w:val="22"/>
          <w:szCs w:val="22"/>
        </w:rPr>
        <w:t xml:space="preserve">  RA involving MTP joints produces forefoot symptoms. Cross-reference between RA Inflammatory Pattern and Heel &amp; Foot QuickScan FOREFOOT_STREAM tag identifies RA foot disease cohort.</w:t>
      </w:r>
    </w:p>
    <w:p>
      <w:pPr>
        <w:spacing w:before="120" w:after="120"/>
      </w:pPr>
    </w:p>
    <w:p>
      <w:pPr>
        <w:pStyle w:val="Heading3"/>
        <w:spacing w:before="240" w:after="80"/>
      </w:pPr>
      <w:r>
        <w:rPr>
          <w:rFonts w:ascii="Arial" w:cs="Arial" w:eastAsia="Arial" w:hAnsi="Arial"/>
          <w:b/>
          <w:bCs/>
          <w:color w:val="2C3E50"/>
          <w:sz w:val="22"/>
          <w:szCs w:val="22"/>
        </w:rPr>
        <w:t xml:space="preserve">8.3  Privacy &amp; Data Governance</w:t>
      </w:r>
    </w:p>
    <w:p>
      <w:pPr>
        <w:pStyle w:val="ListParagraph"/>
        <w:numPr>
          <w:ilvl w:val="0"/>
          <w:numId w:val="2"/>
        </w:numPr>
        <w:spacing w:before="60" w:after="60"/>
      </w:pPr>
      <w:r>
        <w:rPr>
          <w:rFonts w:ascii="Arial" w:cs="Arial" w:eastAsia="Arial" w:hAnsi="Arial"/>
          <w:b/>
          <w:bCs/>
          <w:color w:val="1A1A1A"/>
          <w:sz w:val="22"/>
          <w:szCs w:val="22"/>
        </w:rPr>
        <w:t xml:space="preserve">DPDP Act 2023 compliance</w:t>
      </w:r>
      <w:r>
        <w:rPr>
          <w:rFonts w:ascii="Arial" w:cs="Arial" w:eastAsia="Arial" w:hAnsi="Arial"/>
          <w:b w:val="false"/>
          <w:bCs w:val="false"/>
          <w:color w:val="1A1A1A"/>
          <w:sz w:val="22"/>
          <w:szCs w:val="22"/>
        </w:rPr>
        <w:t xml:space="preserve"> — all health data classified as Sensitive Personal Data</w:t>
      </w:r>
    </w:p>
    <w:p>
      <w:pPr>
        <w:pStyle w:val="ListParagraph"/>
        <w:numPr>
          <w:ilvl w:val="0"/>
          <w:numId w:val="2"/>
        </w:numPr>
        <w:spacing w:before="60" w:after="60"/>
      </w:pPr>
      <w:r>
        <w:rPr>
          <w:rFonts w:ascii="Arial" w:cs="Arial" w:eastAsia="Arial" w:hAnsi="Arial"/>
          <w:b/>
          <w:bCs/>
          <w:color w:val="1A1A1A"/>
          <w:sz w:val="22"/>
          <w:szCs w:val="22"/>
        </w:rPr>
        <w:t xml:space="preserve">Autoimmune condition data</w:t>
      </w:r>
      <w:r>
        <w:rPr>
          <w:rFonts w:ascii="Arial" w:cs="Arial" w:eastAsia="Arial" w:hAnsi="Arial"/>
          <w:b w:val="false"/>
          <w:bCs w:val="false"/>
          <w:color w:val="1A1A1A"/>
          <w:sz w:val="22"/>
          <w:szCs w:val="22"/>
        </w:rPr>
        <w:t xml:space="preserve"> (RA diagnosis, serology results, medication status) — highest sensitivity health data; strict access controls; encryption at rest</w:t>
      </w:r>
    </w:p>
    <w:p>
      <w:pPr>
        <w:pStyle w:val="ListParagraph"/>
        <w:numPr>
          <w:ilvl w:val="0"/>
          <w:numId w:val="2"/>
        </w:numPr>
        <w:spacing w:before="60" w:after="60"/>
      </w:pPr>
      <w:r>
        <w:rPr>
          <w:rFonts w:ascii="Arial" w:cs="Arial" w:eastAsia="Arial" w:hAnsi="Arial"/>
          <w:b/>
          <w:bCs/>
          <w:color w:val="1A1A1A"/>
          <w:sz w:val="22"/>
          <w:szCs w:val="22"/>
        </w:rPr>
        <w:t xml:space="preserve">Immunosuppressant medication flag</w:t>
      </w:r>
      <w:r>
        <w:rPr>
          <w:rFonts w:ascii="Arial" w:cs="Arial" w:eastAsia="Arial" w:hAnsi="Arial"/>
          <w:b w:val="false"/>
          <w:bCs w:val="false"/>
          <w:color w:val="1A1A1A"/>
          <w:sz w:val="22"/>
          <w:szCs w:val="22"/>
        </w:rPr>
        <w:t xml:space="preserve"> — safety-critical data; users on immunosuppressants with infections are highest clinical urgency; weekly safety audit during launch phase</w:t>
      </w:r>
    </w:p>
    <w:p>
      <w:pPr>
        <w:pStyle w:val="ListParagraph"/>
        <w:numPr>
          <w:ilvl w:val="0"/>
          <w:numId w:val="2"/>
        </w:numPr>
        <w:spacing w:before="60" w:after="60"/>
      </w:pPr>
      <w:r>
        <w:rPr>
          <w:rFonts w:ascii="Arial" w:cs="Arial" w:eastAsia="Arial" w:hAnsi="Arial"/>
          <w:b/>
          <w:bCs/>
          <w:color w:val="1A1A1A"/>
          <w:sz w:val="22"/>
          <w:szCs w:val="22"/>
        </w:rPr>
        <w:t xml:space="preserve">Window of Opportunity cohort</w:t>
      </w:r>
      <w:r>
        <w:rPr>
          <w:rFonts w:ascii="Arial" w:cs="Arial" w:eastAsia="Arial" w:hAnsi="Arial"/>
          <w:b w:val="false"/>
          <w:bCs w:val="false"/>
          <w:color w:val="1A1A1A"/>
          <w:sz w:val="22"/>
          <w:szCs w:val="22"/>
        </w:rPr>
        <w:t xml:space="preserve"> — track referral completion rate for this cohort as the platform's primary clinical impact metric</w:t>
      </w:r>
    </w:p>
    <w:p>
      <w:pPr>
        <w:pStyle w:val="ListParagraph"/>
        <w:numPr>
          <w:ilvl w:val="0"/>
          <w:numId w:val="2"/>
        </w:numPr>
        <w:spacing w:before="60" w:after="60"/>
      </w:pPr>
      <w:r>
        <w:rPr>
          <w:rFonts w:ascii="Arial" w:cs="Arial" w:eastAsia="Arial" w:hAnsi="Arial"/>
          <w:b/>
          <w:bCs/>
          <w:color w:val="1A1A1A"/>
          <w:sz w:val="22"/>
          <w:szCs w:val="22"/>
        </w:rPr>
        <w:t xml:space="preserve">Data retention:</w:t>
      </w:r>
      <w:r>
        <w:rPr>
          <w:rFonts w:ascii="Arial" w:cs="Arial" w:eastAsia="Arial" w:hAnsi="Arial"/>
          <w:b w:val="false"/>
          <w:bCs w:val="false"/>
          <w:color w:val="1A1A1A"/>
          <w:sz w:val="22"/>
          <w:szCs w:val="22"/>
        </w:rPr>
        <w:t xml:space="preserve">  24 months from last activity; deletable on request</w:t>
      </w:r>
    </w:p>
    <w:p>
      <w:pPr>
        <w:spacing w:before="200" w:after="120"/>
      </w:pPr>
    </w:p>
    <w:p>
      <w:r>
        <w:br w:type="page"/>
      </w:r>
    </w:p>
    <w:p>
      <w:pPr>
        <w:pStyle w:val="Heading1"/>
        <w:spacing w:before="400" w:after="160"/>
      </w:pPr>
      <w:r>
        <w:rPr>
          <w:rFonts w:ascii="Arial" w:cs="Arial" w:eastAsia="Arial" w:hAnsi="Arial"/>
          <w:b/>
          <w:bCs/>
          <w:color w:val="0D7377"/>
          <w:sz w:val="32"/>
          <w:szCs w:val="32"/>
        </w:rPr>
        <w:t xml:space="preserve">9.  Scan by Condition Series Architecture — Six Module Summary</w:t>
      </w:r>
    </w:p>
    <w:p>
      <w:pPr>
        <w:pBdr>
          <w:bottom w:val="single" w:color="0D7377" w:sz="8" w:space="1"/>
        </w:pBdr>
        <w:spacing w:before="0" w:after="160"/>
      </w:pPr>
    </w:p>
    <w:p>
      <w:pPr>
        <w:spacing w:before="80" w:after="80"/>
        <w:jc w:val="left"/>
      </w:pPr>
      <w:r>
        <w:rPr>
          <w:rFonts w:ascii="Arial" w:cs="Arial" w:eastAsia="Arial" w:hAnsi="Arial"/>
          <w:b w:val="false"/>
          <w:bCs w:val="false"/>
          <w:color w:val="1A1A1A"/>
          <w:sz w:val="22"/>
          <w:szCs w:val="22"/>
        </w:rPr>
        <w:t xml:space="preserve">Six of ten Scan by Condition modules are now documented. With Rheumatoid Arthritis, the series has introduced its first systemic autoimmune condition and sixth distinct scoring architecture. The table below is updated accordingly.</w:t>
      </w:r>
    </w:p>
    <w:p>
      <w:pPr>
        <w:spacing w:before="8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260"/>
        <w:gridCol w:w="1260"/>
        <w:gridCol w:w="1260"/>
        <w:gridCol w:w="1260"/>
        <w:gridCol w:w="1260"/>
        <w:gridCol w:w="1440"/>
      </w:tblGrid>
      <w:tr>
        <w:trPr>
          <w:tblHeader/>
        </w:trPr>
        <w:tc>
          <w:tcPr>
            <w:tcW w:type="dxa" w:w="21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Design Dimension</w:t>
            </w:r>
          </w:p>
        </w:tc>
        <w:tc>
          <w:tcPr>
            <w:tcW w:type="dxa" w:w="12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Osteoporosis</w:t>
            </w:r>
          </w:p>
        </w:tc>
        <w:tc>
          <w:tcPr>
            <w:tcW w:type="dxa" w:w="12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Osteoarthritis</w:t>
            </w:r>
          </w:p>
        </w:tc>
        <w:tc>
          <w:tcPr>
            <w:tcW w:type="dxa" w:w="12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Sciatica</w:t>
            </w:r>
          </w:p>
        </w:tc>
        <w:tc>
          <w:tcPr>
            <w:tcW w:type="dxa" w:w="12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Disc Bulge</w:t>
            </w:r>
          </w:p>
        </w:tc>
        <w:tc>
          <w:tcPr>
            <w:tcW w:type="dxa" w:w="12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Spondylosis</w:t>
            </w:r>
          </w:p>
        </w:tc>
        <w:tc>
          <w:tcPr>
            <w:tcW w:type="dxa" w:w="144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Rheumatoid Arthritis</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Architecture</w:t>
            </w:r>
          </w:p>
        </w:tc>
        <w:tc>
          <w:tcPr>
            <w:tcW w:type="dxa" w:w="1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Risk-factor dominant 70/30</w:t>
            </w:r>
          </w:p>
        </w:tc>
        <w:tc>
          <w:tcPr>
            <w:tcW w:type="dxa" w:w="1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Hybrid 40/60</w:t>
            </w:r>
          </w:p>
        </w:tc>
        <w:tc>
          <w:tcPr>
            <w:tcW w:type="dxa" w:w="1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Symptom-dominant 30/70</w:t>
            </w:r>
          </w:p>
        </w:tc>
        <w:tc>
          <w:tcPr>
            <w:tcW w:type="dxa" w:w="1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Structural + symptom 35/35/30</w:t>
            </w:r>
          </w:p>
        </w:tc>
        <w:tc>
          <w:tcPr>
            <w:tcW w:type="dxa" w:w="1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Degenerative + functional 40/35/25</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Inflammatory + systemic 60/40</w:t>
            </w:r>
          </w:p>
        </w:tc>
      </w:tr>
      <w:tr>
        <w:tc>
          <w:tcPr>
            <w:tcW w:type="dxa" w:w="2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Entry driver</w:t>
            </w:r>
          </w:p>
        </w:tc>
        <w:tc>
          <w:tcPr>
            <w:tcW w:type="dxa" w:w="12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Risk suspicion</w:t>
            </w:r>
          </w:p>
        </w:tc>
        <w:tc>
          <w:tcPr>
            <w:tcW w:type="dxa" w:w="12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Joint pain</w:t>
            </w:r>
          </w:p>
        </w:tc>
        <w:tc>
          <w:tcPr>
            <w:tcW w:type="dxa" w:w="12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Leg/arm radiation</w:t>
            </w:r>
          </w:p>
        </w:tc>
        <w:tc>
          <w:tcPr>
            <w:tcW w:type="dxa" w:w="12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Known imaging finding</w:t>
            </w:r>
          </w:p>
        </w:tc>
        <w:tc>
          <w:tcPr>
            <w:tcW w:type="dxa" w:w="12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Spinal degeneration diagnosis</w:t>
            </w:r>
          </w:p>
        </w:tc>
        <w:tc>
          <w:tcPr>
            <w:tcW w:type="dxa" w:w="144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Joint inflammation / OA Diff Alert</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Primary L1 discriminator</w:t>
            </w:r>
          </w:p>
        </w:tc>
        <w:tc>
          <w:tcPr>
            <w:tcW w:type="dxa" w:w="1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Hormonal/medical risk</w:t>
            </w:r>
          </w:p>
        </w:tc>
        <w:tc>
          <w:tcPr>
            <w:tcW w:type="dxa" w:w="1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Joint classifier + OA risk</w:t>
            </w:r>
          </w:p>
        </w:tc>
        <w:tc>
          <w:tcPr>
            <w:tcW w:type="dxa" w:w="1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Leg pain dominance</w:t>
            </w:r>
          </w:p>
        </w:tc>
        <w:tc>
          <w:tcPr>
            <w:tcW w:type="dxa" w:w="1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Imaging history + region</w:t>
            </w:r>
          </w:p>
        </w:tc>
        <w:tc>
          <w:tcPr>
            <w:tcW w:type="dxa" w:w="1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Duration + multi-level</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Morning stiffness duration (highest weighted Q in series)</w:t>
            </w:r>
          </w:p>
        </w:tc>
      </w:tr>
      <w:tr>
        <w:tc>
          <w:tcPr>
            <w:tcW w:type="dxa" w:w="2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Unique L0 element</w:t>
            </w:r>
          </w:p>
        </w:tc>
        <w:tc>
          <w:tcPr>
            <w:tcW w:type="dxa" w:w="12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Vertebral fracture</w:t>
            </w:r>
          </w:p>
        </w:tc>
        <w:tc>
          <w:tcPr>
            <w:tcW w:type="dxa" w:w="12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RA Differentiation Alert</w:t>
            </w:r>
          </w:p>
        </w:tc>
        <w:tc>
          <w:tcPr>
            <w:tcW w:type="dxa" w:w="12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Progressive deficit</w:t>
            </w:r>
          </w:p>
        </w:tc>
        <w:tc>
          <w:tcPr>
            <w:tcW w:type="dxa" w:w="12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Cervical Myelopathy</w:t>
            </w:r>
          </w:p>
        </w:tc>
        <w:tc>
          <w:tcPr>
            <w:tcW w:type="dxa" w:w="12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AS Differentiation Gate</w:t>
            </w:r>
          </w:p>
        </w:tc>
        <w:tc>
          <w:tcPr>
            <w:tcW w:type="dxa" w:w="144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Septic arthritis + immunocompromised infection screens</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Unique output card</w:t>
            </w:r>
          </w:p>
        </w:tc>
        <w:tc>
          <w:tcPr>
            <w:tcW w:type="dxa" w:w="1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Risk Factor Summary</w:t>
            </w:r>
          </w:p>
        </w:tc>
        <w:tc>
          <w:tcPr>
            <w:tcW w:type="dxa" w:w="1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Joint Profile Panel</w:t>
            </w:r>
          </w:p>
        </w:tc>
        <w:tc>
          <w:tcPr>
            <w:tcW w:type="dxa" w:w="1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Leg Pain Map</w:t>
            </w:r>
          </w:p>
        </w:tc>
        <w:tc>
          <w:tcPr>
            <w:tcW w:type="dxa" w:w="1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Imaging Context Card</w:t>
            </w:r>
          </w:p>
        </w:tc>
        <w:tc>
          <w:tcPr>
            <w:tcW w:type="dxa" w:w="1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Exercise as Protection</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Inflammatory Pattern Summary + Window of Opportunity Alert</w:t>
            </w:r>
          </w:p>
        </w:tc>
      </w:tr>
      <w:tr>
        <w:tc>
          <w:tcPr>
            <w:tcW w:type="dxa" w:w="2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Critical clinical message</w:t>
            </w:r>
          </w:p>
        </w:tc>
        <w:tc>
          <w:tcPr>
            <w:tcW w:type="dxa" w:w="12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DEXA referral</w:t>
            </w:r>
          </w:p>
        </w:tc>
        <w:tc>
          <w:tcPr>
            <w:tcW w:type="dxa" w:w="12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Exercise as primary Rx</w:t>
            </w:r>
          </w:p>
        </w:tc>
        <w:tc>
          <w:tcPr>
            <w:tcW w:type="dxa" w:w="12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Rest vs movement</w:t>
            </w:r>
          </w:p>
        </w:tc>
        <w:tc>
          <w:tcPr>
            <w:tcW w:type="dxa" w:w="12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Imaging-symptom mismatch</w:t>
            </w:r>
          </w:p>
        </w:tc>
        <w:tc>
          <w:tcPr>
            <w:tcW w:type="dxa" w:w="12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Counter nihilism</w:t>
            </w:r>
          </w:p>
        </w:tc>
        <w:tc>
          <w:tcPr>
            <w:tcW w:type="dxa" w:w="144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Window of opportunity — early treatment changes outcomes</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Key cross-link</w:t>
            </w:r>
          </w:p>
        </w:tc>
        <w:tc>
          <w:tcPr>
            <w:tcW w:type="dxa" w:w="1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LBP + Heel &amp; Foot</w:t>
            </w:r>
          </w:p>
        </w:tc>
        <w:tc>
          <w:tcPr>
            <w:tcW w:type="dxa" w:w="1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Osteoporosis + RA</w:t>
            </w:r>
          </w:p>
        </w:tc>
        <w:tc>
          <w:tcPr>
            <w:tcW w:type="dxa" w:w="1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LBP + Disc Bulge</w:t>
            </w:r>
          </w:p>
        </w:tc>
        <w:tc>
          <w:tcPr>
            <w:tcW w:type="dxa" w:w="1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Sciatica + LBP + Neck</w:t>
            </w:r>
          </w:p>
        </w:tc>
        <w:tc>
          <w:tcPr>
            <w:tcW w:type="dxa" w:w="1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Sciatica + Disc Bulge + OA</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Osteoporosis (mandatory) + OA (monitoring)</w:t>
            </w:r>
          </w:p>
        </w:tc>
      </w:tr>
    </w:tbl>
    <w:p>
      <w:pPr>
        <w:spacing w:before="200" w:after="120"/>
      </w:pPr>
    </w:p>
    <w:p>
      <w:r>
        <w:br w:type="page"/>
      </w:r>
    </w:p>
    <w:p>
      <w:pPr>
        <w:pStyle w:val="Heading1"/>
        <w:spacing w:before="400" w:after="160"/>
      </w:pPr>
      <w:r>
        <w:rPr>
          <w:rFonts w:ascii="Arial" w:cs="Arial" w:eastAsia="Arial" w:hAnsi="Arial"/>
          <w:b/>
          <w:bCs/>
          <w:color w:val="0D7377"/>
          <w:sz w:val="32"/>
          <w:szCs w:val="32"/>
        </w:rPr>
        <w:t xml:space="preserve">10.  Open Items &amp; Next Steps</w:t>
      </w:r>
    </w:p>
    <w:p>
      <w:pPr>
        <w:pBdr>
          <w:bottom w:val="single" w:color="0D7377" w:sz="8" w:space="1"/>
        </w:pBdr>
        <w:spacing w:before="0" w:after="160"/>
      </w:pPr>
    </w:p>
    <w:p>
      <w:pPr>
        <w:pStyle w:val="Heading3"/>
        <w:spacing w:before="240" w:after="80"/>
      </w:pPr>
      <w:r>
        <w:rPr>
          <w:rFonts w:ascii="Arial" w:cs="Arial" w:eastAsia="Arial" w:hAnsi="Arial"/>
          <w:b/>
          <w:bCs/>
          <w:color w:val="2C3E50"/>
          <w:sz w:val="22"/>
          <w:szCs w:val="22"/>
        </w:rPr>
        <w:t xml:space="preserve">10.1  Items Requiring Clinical Advisory Board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rPr>
          <w:tblHeader/>
        </w:trPr>
        <w:tc>
          <w:tcPr>
            <w:tcW w:type="dxa" w:w="60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Item</w:t>
            </w:r>
          </w:p>
        </w:tc>
        <w:tc>
          <w:tcPr>
            <w:tcW w:type="dxa" w:w="33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Priority</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ACR/EULAR 2010 criteria adaptation — confirm self-report Q1.1–Q1.4 faithfully captures the four scoring domains without overclaiming criterion fulfilment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P0 — Pre-launch blocker</w:t>
            </w:r>
          </w:p>
        </w:tc>
      </w:tr>
      <w:tr>
        <w:tc>
          <w:tcPr>
            <w:tcW w:type="dxa" w:w="6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Morning stiffness question Q1.1 — five-option scale validation; 60-minute and 2-hour thresholds clinically confirmed</w:t>
            </w:r>
          </w:p>
        </w:tc>
        <w:tc>
          <w:tcPr>
            <w:tcW w:type="dxa" w:w="33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P0 — Pre-launch blocker</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Joint distribution scoring Q1.2 — bilateral small joint scoring methodology validation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P0 — Pre-launch blocker</w:t>
            </w:r>
          </w:p>
        </w:tc>
      </w:tr>
      <w:tr>
        <w:tc>
          <w:tcPr>
            <w:tcW w:type="dxa" w:w="6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Window of Opportunity Alert wording — clinical urgency calibration and 'this week' GP visit guidance</w:t>
            </w:r>
          </w:p>
        </w:tc>
        <w:tc>
          <w:tcPr>
            <w:tcW w:type="dxa" w:w="33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P0 — Pre-launch blocker</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Risk tier calibration — 0–9 / 10–22 / 23+ for inflammatory-dominant scoring model (45 pt ceiling)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P0 — Pre-launch blocker</w:t>
            </w:r>
          </w:p>
        </w:tc>
      </w:tr>
      <w:tr>
        <w:tc>
          <w:tcPr>
            <w:tcW w:type="dxa" w:w="6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Q0.1 immunocompromised infection screen — immunosuppressant medication list and infection sign thresholds</w:t>
            </w:r>
          </w:p>
        </w:tc>
        <w:tc>
          <w:tcPr>
            <w:tcW w:type="dxa" w:w="33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P0 — Pre-launch blocker</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Serology question Q1.4 — anti-CCP vs RF scoring differentiation; low positive vs high positive threshold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P1 — Pre-launch</w:t>
            </w:r>
          </w:p>
        </w:tc>
      </w:tr>
      <w:tr>
        <w:tc>
          <w:tcPr>
            <w:tcW w:type="dxa" w:w="6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Rheumatoid nodule hard floor rule — single extra-articular feature = HIGH RISK validation</w:t>
            </w:r>
          </w:p>
        </w:tc>
        <w:tc>
          <w:tcPr>
            <w:tcW w:type="dxa" w:w="33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P1 — Pre-launch</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Four care-status CTA variants — clinical appropriateness of each pathway language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P1 — Pre-launch</w:t>
            </w:r>
          </w:p>
        </w:tc>
      </w:tr>
      <w:tr>
        <w:tc>
          <w:tcPr>
            <w:tcW w:type="dxa" w:w="6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Cross-scan Osteoporosis recommendation language — steroid / inflammation / bone health link accuracy</w:t>
            </w:r>
          </w:p>
        </w:tc>
        <w:tc>
          <w:tcPr>
            <w:tcW w:type="dxa" w:w="33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P1 — Pre-launch</w:t>
            </w:r>
          </w:p>
        </w:tc>
      </w:tr>
    </w:tbl>
    <w:p>
      <w:pPr>
        <w:spacing w:before="120" w:after="120"/>
      </w:pPr>
    </w:p>
    <w:p>
      <w:pPr>
        <w:pStyle w:val="Heading3"/>
        <w:spacing w:before="240" w:after="80"/>
      </w:pPr>
      <w:r>
        <w:rPr>
          <w:rFonts w:ascii="Arial" w:cs="Arial" w:eastAsia="Arial" w:hAnsi="Arial"/>
          <w:b/>
          <w:bCs/>
          <w:color w:val="2C3E50"/>
          <w:sz w:val="22"/>
          <w:szCs w:val="22"/>
        </w:rPr>
        <w:t xml:space="preserve">10.2  Remaining Modules in Scan by Condition Series</w:t>
      </w:r>
    </w:p>
    <w:p>
      <w:pPr>
        <w:pStyle w:val="ListParagraph"/>
        <w:numPr>
          <w:ilvl w:val="0"/>
          <w:numId w:val="2"/>
        </w:numPr>
        <w:spacing w:before="60" w:after="60"/>
      </w:pPr>
      <w:r>
        <w:rPr>
          <w:rFonts w:ascii="Arial" w:cs="Arial" w:eastAsia="Arial" w:hAnsi="Arial"/>
          <w:b/>
          <w:bCs/>
          <w:color w:val="1A1A1A"/>
          <w:sz w:val="22"/>
          <w:szCs w:val="22"/>
        </w:rPr>
        <w:t xml:space="preserve">Plantar Fasciitis  (Module 7 — next):</w:t>
      </w:r>
      <w:r>
        <w:rPr>
          <w:rFonts w:ascii="Arial" w:cs="Arial" w:eastAsia="Arial" w:hAnsi="Arial"/>
          <w:b w:val="false"/>
          <w:bCs w:val="false"/>
          <w:color w:val="1A1A1A"/>
          <w:sz w:val="22"/>
          <w:szCs w:val="22"/>
        </w:rPr>
        <w:t xml:space="preserve">  Symptom-dominant architecture; directly seeded from Heel &amp; Foot QuickScan Plantar Fasciitis Confirmed Candidate tag; highly actionable through footwear and load management; fastest expected resolution pathway in the series</w:t>
      </w:r>
    </w:p>
    <w:p>
      <w:pPr>
        <w:pStyle w:val="ListParagraph"/>
        <w:numPr>
          <w:ilvl w:val="0"/>
          <w:numId w:val="2"/>
        </w:numPr>
        <w:spacing w:before="60" w:after="60"/>
      </w:pPr>
      <w:r>
        <w:rPr>
          <w:rFonts w:ascii="Arial" w:cs="Arial" w:eastAsia="Arial" w:hAnsi="Arial"/>
          <w:b/>
          <w:bCs/>
          <w:color w:val="1A1A1A"/>
          <w:sz w:val="22"/>
          <w:szCs w:val="22"/>
        </w:rPr>
        <w:t xml:space="preserve">Rotator Cuff Injury  (Module 8):</w:t>
      </w:r>
      <w:r>
        <w:rPr>
          <w:rFonts w:ascii="Arial" w:cs="Arial" w:eastAsia="Arial" w:hAnsi="Arial"/>
          <w:b w:val="false"/>
          <w:bCs w:val="false"/>
          <w:color w:val="1A1A1A"/>
          <w:sz w:val="22"/>
          <w:szCs w:val="22"/>
        </w:rPr>
        <w:t xml:space="preserve">  Structural-pathology hybrid; seeded from Shoulder QuickScan Rotator Cuff Weakness and Significant Rotator Cuff Signal tags; imaging history entry</w:t>
      </w:r>
    </w:p>
    <w:p>
      <w:pPr>
        <w:pStyle w:val="ListParagraph"/>
        <w:numPr>
          <w:ilvl w:val="0"/>
          <w:numId w:val="2"/>
        </w:numPr>
        <w:spacing w:before="60" w:after="60"/>
      </w:pPr>
      <w:r>
        <w:rPr>
          <w:rFonts w:ascii="Arial" w:cs="Arial" w:eastAsia="Arial" w:hAnsi="Arial"/>
          <w:b/>
          <w:bCs/>
          <w:color w:val="1A1A1A"/>
          <w:sz w:val="22"/>
          <w:szCs w:val="22"/>
        </w:rPr>
        <w:t xml:space="preserve">Carpal Tunnel Syndrome  (Module 9):</w:t>
      </w:r>
      <w:r>
        <w:rPr>
          <w:rFonts w:ascii="Arial" w:cs="Arial" w:eastAsia="Arial" w:hAnsi="Arial"/>
          <w:b w:val="false"/>
          <w:bCs w:val="false"/>
          <w:color w:val="1A1A1A"/>
          <w:sz w:val="22"/>
          <w:szCs w:val="22"/>
        </w:rPr>
        <w:t xml:space="preserve">  Symptom-dominant; peripheral nerve entrapment; unique nocturnal hand pain and finger-specific distribution profile; no prior location module</w:t>
      </w:r>
    </w:p>
    <w:p>
      <w:pPr>
        <w:pStyle w:val="ListParagraph"/>
        <w:numPr>
          <w:ilvl w:val="0"/>
          <w:numId w:val="2"/>
        </w:numPr>
        <w:spacing w:before="60" w:after="60"/>
      </w:pPr>
      <w:r>
        <w:rPr>
          <w:rFonts w:ascii="Arial" w:cs="Arial" w:eastAsia="Arial" w:hAnsi="Arial"/>
          <w:b/>
          <w:bCs/>
          <w:color w:val="1A1A1A"/>
          <w:sz w:val="22"/>
          <w:szCs w:val="22"/>
        </w:rPr>
        <w:t xml:space="preserve">Scoliosis  (Module 10):</w:t>
      </w:r>
      <w:r>
        <w:rPr>
          <w:rFonts w:ascii="Arial" w:cs="Arial" w:eastAsia="Arial" w:hAnsi="Arial"/>
          <w:b w:val="false"/>
          <w:bCs w:val="false"/>
          <w:color w:val="1A1A1A"/>
          <w:sz w:val="22"/>
          <w:szCs w:val="22"/>
        </w:rPr>
        <w:t xml:space="preserve">  Structural deformity; risk-factor dominant for screening; distinct from all prior modules; important preventive angle for younger users</w:t>
      </w:r>
    </w:p>
    <w:p>
      <w:pPr>
        <w:spacing w:before="120" w:after="120"/>
      </w:pPr>
    </w:p>
    <w:p>
      <w:pPr>
        <w:pStyle w:val="Heading3"/>
        <w:spacing w:before="240" w:after="80"/>
      </w:pPr>
      <w:r>
        <w:rPr>
          <w:rFonts w:ascii="Arial" w:cs="Arial" w:eastAsia="Arial" w:hAnsi="Arial"/>
          <w:b/>
          <w:bCs/>
          <w:color w:val="2C3E50"/>
          <w:sz w:val="22"/>
          <w:szCs w:val="22"/>
        </w:rPr>
        <w:t xml:space="preserve">10.3  Immediate Next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rPr>
          <w:tblHeader/>
        </w:trPr>
        <w:tc>
          <w:tcPr>
            <w:tcW w:type="dxa" w:w="57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Action</w:t>
            </w:r>
          </w:p>
        </w:tc>
        <w:tc>
          <w:tcPr>
            <w:tcW w:type="dxa" w:w="36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Owner</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Clinical Advisory Board — ACR/EULAR adaptation, morning stiffness scale, Window of Opportunity wording are P0 priorities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Product + Clinical Lead</w:t>
            </w:r>
          </w:p>
        </w:tc>
      </w:tr>
      <w:tr>
        <w:tc>
          <w:tcPr>
            <w:tcW w:type="dxa" w:w="57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Legal review — Window of Opportunity 'see your GP this week' directive; immunosuppressant infection screen; autoimmune condition addendum</w:t>
            </w:r>
          </w:p>
        </w:tc>
        <w:tc>
          <w:tcPr>
            <w:tcW w:type="dxa" w:w="3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Legal / Compliance</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UX wireframe — Inflammatory Pattern Summary panel; Window of Opportunity Alert screen; four-variant CTA display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Design Lead</w:t>
            </w:r>
          </w:p>
        </w:tc>
      </w:tr>
      <w:tr>
        <w:tc>
          <w:tcPr>
            <w:tcW w:type="dxa" w:w="57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Engineering — Care status branching (Q3.2B drives four CTA variants); OA module inbound cross-referral data pre-population; CONFIRMED_RA flag output mode switch</w:t>
            </w:r>
          </w:p>
        </w:tc>
        <w:tc>
          <w:tcPr>
            <w:tcW w:type="dxa" w:w="3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Tech Lead</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Kriya Care — RA-adapted joint exercise programme (low-impact, range of motion focus; no high-load exercise during active flare); fatigue management component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Clinical + Product</w:t>
            </w:r>
          </w:p>
        </w:tc>
      </w:tr>
      <w:tr>
        <w:tc>
          <w:tcPr>
            <w:tcW w:type="dxa" w:w="57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Rheumatology referral network — empanelled rheumatologists and rapid-access inflammatory arthritis clinics for HIGH RISK Window of Opportunity routing</w:t>
            </w:r>
          </w:p>
        </w:tc>
        <w:tc>
          <w:tcPr>
            <w:tcW w:type="dxa" w:w="3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Business / Clinical Partnerships</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Begin Plantar Fasciitis Scan by Condition PRD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Product + Clinical Lead</w:t>
            </w:r>
          </w:p>
        </w:tc>
      </w:tr>
    </w:tbl>
    <w:p>
      <w:pPr>
        <w:spacing w:before="200" w:after="120"/>
      </w:pPr>
    </w:p>
    <w:p>
      <w:pPr>
        <w:pBdr>
          <w:bottom w:val="single" w:color="0D7377" w:sz="8" w:space="1"/>
        </w:pBdr>
        <w:spacing w:before="0" w:after="160"/>
      </w:pP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377" w:sz="1"/>
              <w:left w:val="single" w:color="0D7377" w:sz="1"/>
              <w:bottom w:val="single" w:color="0D7377" w:sz="1"/>
              <w:right w:val="single" w:color="0D7377" w:sz="1"/>
            </w:tcBorders>
            <w:shd w:fill="E6F4F4" w:val="clear"/>
            <w:tcMar>
              <w:top w:type="dxa" w:w="160"/>
              <w:left w:type="dxa" w:w="240"/>
              <w:bottom w:type="dxa" w:w="160"/>
              <w:right w:type="dxa" w:w="240"/>
            </w:tcMar>
          </w:tcPr>
          <w:p>
            <w:pPr>
              <w:spacing w:before="80" w:after="80"/>
              <w:jc w:val="left"/>
            </w:pPr>
            <w:r>
              <w:rPr>
                <w:rFonts w:ascii="Arial" w:cs="Arial" w:eastAsia="Arial" w:hAnsi="Arial"/>
                <w:b/>
                <w:bCs/>
                <w:color w:val="0D7377"/>
                <w:sz w:val="20"/>
                <w:szCs w:val="20"/>
              </w:rPr>
              <w:t xml:space="preserve">Document Control</w:t>
            </w:r>
          </w:p>
          <w:p>
            <w:pPr>
              <w:spacing w:before="80" w:after="80"/>
              <w:jc w:val="left"/>
            </w:pPr>
            <w:r>
              <w:rPr>
                <w:rFonts w:ascii="Arial" w:cs="Arial" w:eastAsia="Arial" w:hAnsi="Arial"/>
                <w:b w:val="false"/>
                <w:bCs w:val="false"/>
                <w:color w:val="1A1A1A"/>
                <w:sz w:val="20"/>
                <w:szCs w:val="20"/>
              </w:rPr>
              <w:t xml:space="preserve">This is v1.0 of the QuickScan — Rheumatoid Arthritis PRD. It is the sixth document in the Scan by Condition series and the first systemic autoimmune condition module. It introduces the sixth scoring architecture (inflammatory + systemic 60/40), the ACR/EULAR 2010 criteria adaptation framework, the Window of Opportunity Alert, the Inflammatory Pattern Summary output panel, the four-variant care-status CTA system, and the immunocompromised infection emergency screen. All clinical frameworks, ACR/EULAR adaptation, Window of Opportunity messaging, and risk thresholds require validation by the Kriya Clinical Advisory Board before production implementation.</w:t>
            </w:r>
          </w:p>
          <w:p>
            <w:pPr>
              <w:spacing w:before="60" w:after="120"/>
            </w:pPr>
          </w:p>
          <w:p>
            <w:pPr>
              <w:spacing w:before="80" w:after="80"/>
              <w:jc w:val="left"/>
            </w:pPr>
            <w:r>
              <w:rPr>
                <w:rFonts w:ascii="Arial" w:cs="Arial" w:eastAsia="Arial" w:hAnsi="Arial"/>
                <w:b w:val="false"/>
                <w:bCs w:val="false"/>
                <w:color w:val="7F8C8D"/>
                <w:sz w:val="20"/>
                <w:szCs w:val="20"/>
              </w:rPr>
              <w:t xml:space="preserve">Next review milestone: Clinical Advisory Board session → v1.1 with ACR/EULAR adaptation validated, morning stiffness scale confirmed, Window of Opportunity language approved.</w:t>
            </w:r>
          </w:p>
          <w:p>
            <w:pPr>
              <w:spacing w:before="60" w:after="120"/>
            </w:pPr>
          </w:p>
          <w:p>
            <w:pPr>
              <w:spacing w:before="80" w:after="80"/>
              <w:jc w:val="left"/>
            </w:pPr>
            <w:r>
              <w:rPr>
                <w:rFonts w:ascii="Arial" w:cs="Arial" w:eastAsia="Arial" w:hAnsi="Arial"/>
                <w:b w:val="false"/>
                <w:bCs w:val="false"/>
                <w:color w:val="0D7377"/>
                <w:sz w:val="20"/>
                <w:szCs w:val="20"/>
              </w:rPr>
              <w:t xml:space="preserve">Scan by Condition PRD series: Osteoporosis — pending  |  Osteoarthritis — pending  |  Sciatica — pending  |  Disc Bulge — pending  |  Spondylosis — pending  |  Rheumatoid Arthritis — pending  |  Plantar Fasciitis — next  |  3 further conditions pending</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7377" w:sz="6" w:space="1"/>
      </w:pBdr>
      <w:spacing w:before="160"/>
    </w:pPr>
    <w:r>
      <w:rPr>
        <w:rFonts w:ascii="Arial" w:cs="Arial" w:eastAsia="Arial" w:hAnsi="Arial"/>
        <w:b w:val="false"/>
        <w:bCs w:val="false"/>
        <w:color w:val="7F8C8D"/>
        <w:sz w:val="18"/>
        <w:szCs w:val="18"/>
      </w:rPr>
      <w:t xml:space="preserve">Project Lotus — Bravo (Kriya Scan)  |  Scan by Condition  |  v1.0 Draft    |    </w:t>
    </w:r>
    <w:r>
      <w:rPr>
        <w:rFonts w:ascii="Arial" w:cs="Arial" w:eastAsia="Arial" w:hAnsi="Arial"/>
        <w:color w:val="7F8C8D"/>
        <w:sz w:val="18"/>
        <w:szCs w:val="18"/>
      </w:rPr>
      <w:fldChar w:fldCharType="begin"/>
      <w:instrText xml:space="preserve">PAGE</w:instrText>
      <w:fldChar w:fldCharType="separate"/>
      <w:fldChar w:fldCharType="end"/>
    </w:r>
    <w:r>
      <w:rPr>
        <w:rFonts w:ascii="Arial" w:cs="Arial" w:eastAsia="Arial" w:hAnsi="Arial"/>
        <w:b w:val="false"/>
        <w:bCs w:val="false"/>
        <w:color w:val="7F8C8D"/>
        <w:sz w:val="18"/>
        <w:szCs w:val="18"/>
      </w:rPr>
      <w:t xml:space="preserve"> of </w:t>
    </w:r>
    <w:r>
      <w:rPr>
        <w:rFonts w:ascii="Arial" w:cs="Arial" w:eastAsia="Arial" w:hAnsi="Arial"/>
        <w:color w:val="7F8C8D"/>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377" w:sz="6" w:space="1"/>
      </w:pBdr>
      <w:spacing w:after="200"/>
    </w:pPr>
    <w:r>
      <w:rPr>
        <w:rFonts w:ascii="Arial" w:cs="Arial" w:eastAsia="Arial" w:hAnsi="Arial"/>
        <w:b/>
        <w:bCs/>
        <w:color w:val="0D7377"/>
        <w:sz w:val="18"/>
        <w:szCs w:val="18"/>
      </w:rPr>
      <w:t xml:space="preserve">KRIYA  |  QUICKSCAN PRD</w:t>
    </w:r>
    <w:r>
      <w:rPr>
        <w:rFonts w:ascii="Arial" w:cs="Arial" w:eastAsia="Arial" w:hAnsi="Arial"/>
        <w:color w:val="7F8C8D"/>
        <w:sz w:val="18"/>
        <w:szCs w:val="18"/>
      </w:rPr>
      <w:t xml:space="preserve">        Scan by Condition — Rheumatoid Arthritis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0D7377"/>
      <w:sz w:val="32"/>
      <w:szCs w:val="32"/>
    </w:rPr>
  </w:style>
  <w:style w:type="paragraph" w:styleId="Heading3">
    <w:name w:val="Heading 3"/>
    <w:basedOn w:val="Normal"/>
    <w:next w:val="Normal"/>
    <w:qFormat/>
    <w:pPr>
      <w:spacing w:before="240" w:after="80"/>
      <w:outlineLvl w:val="2"/>
    </w:pPr>
    <w:rPr>
      <w:rFonts w:ascii="Arial" w:cs="Arial" w:eastAsia="Arial" w:hAnsi="Arial"/>
      <w:b/>
      <w:bCs/>
      <w:color w:val="2C3E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2026-03-21T18:31:56.634Z</dcterms:created>
  <dcterms:modified xsi:type="dcterms:W3CDTF">2026-03-21T18:31:56.634Z</dcterms:modified>
</cp:coreProperties>
</file>

<file path=docProps/custom.xml><?xml version="1.0" encoding="utf-8"?>
<Properties xmlns="http://schemas.openxmlformats.org/officeDocument/2006/custom-properties" xmlns:vt="http://schemas.openxmlformats.org/officeDocument/2006/docPropsVTypes"/>
</file>