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p>
    <w:p>
      <w:pPr>
        <w:spacing w:after="60"/>
        <w:jc w:val="center"/>
      </w:pPr>
      <w:r>
        <w:rPr>
          <w:rFonts w:ascii="Arial" w:cs="Arial" w:eastAsia="Arial" w:hAnsi="Arial"/>
          <w:b/>
          <w:bCs/>
          <w:color w:val="0D7377"/>
          <w:sz w:val="64"/>
          <w:szCs w:val="64"/>
        </w:rPr>
        <w:t xml:space="preserve">KRIYA</w:t>
      </w:r>
    </w:p>
    <w:p>
      <w:pPr>
        <w:spacing w:after="400"/>
        <w:jc w:val="center"/>
      </w:pPr>
      <w:r>
        <w:rPr>
          <w:rFonts w:ascii="Arial" w:cs="Arial" w:eastAsia="Arial" w:hAnsi="Arial"/>
          <w:b w:val="false"/>
          <w:bCs w:val="false"/>
          <w:color w:val="7F8C8D"/>
          <w:sz w:val="26"/>
          <w:szCs w:val="26"/>
        </w:rPr>
        <w:t xml:space="preserve">Integrated Muscle Intelligence Platform</w:t>
      </w:r>
    </w:p>
    <w:p>
      <w:pPr>
        <w:pBdr>
          <w:bottom w:val="single" w:color="0D7377" w:sz="8" w:space="1"/>
        </w:pBdr>
        <w:spacing w:before="0" w:after="160"/>
      </w:pPr>
    </w:p>
    <w:p>
      <w:pPr>
        <w:spacing w:before="160" w:after="120"/>
      </w:pPr>
    </w:p>
    <w:p>
      <w:pPr>
        <w:spacing w:after="100"/>
        <w:jc w:val="center"/>
      </w:pPr>
      <w:r>
        <w:rPr>
          <w:rFonts w:ascii="Arial" w:cs="Arial" w:eastAsia="Arial" w:hAnsi="Arial"/>
          <w:b/>
          <w:bCs/>
          <w:color w:val="2C3E50"/>
          <w:sz w:val="28"/>
          <w:szCs w:val="28"/>
        </w:rPr>
        <w:t xml:space="preserve">PRODUCT REQUIREMENT DOCUMENT</w:t>
      </w:r>
    </w:p>
    <w:p>
      <w:pPr>
        <w:spacing w:after="80"/>
        <w:jc w:val="center"/>
      </w:pPr>
      <w:r>
        <w:rPr>
          <w:rFonts w:ascii="Arial" w:cs="Arial" w:eastAsia="Arial" w:hAnsi="Arial"/>
          <w:b/>
          <w:bCs/>
          <w:color w:val="0D7377"/>
          <w:sz w:val="32"/>
          <w:szCs w:val="32"/>
        </w:rPr>
        <w:t xml:space="preserve">QuickScan — Scan by Condition</w:t>
      </w:r>
    </w:p>
    <w:p>
      <w:pPr>
        <w:spacing w:after="80"/>
        <w:jc w:val="center"/>
      </w:pPr>
      <w:r>
        <w:rPr>
          <w:rFonts w:ascii="Arial" w:cs="Arial" w:eastAsia="Arial" w:hAnsi="Arial"/>
          <w:b/>
          <w:bCs/>
          <w:color w:val="0D7377"/>
          <w:sz w:val="36"/>
          <w:szCs w:val="36"/>
        </w:rPr>
        <w:t xml:space="preserve">Spondylosis</w:t>
      </w:r>
    </w:p>
    <w:p>
      <w:pPr>
        <w:spacing w:after="280"/>
        <w:jc w:val="center"/>
      </w:pPr>
      <w:r>
        <w:rPr>
          <w:rFonts w:ascii="Arial" w:cs="Arial" w:eastAsia="Arial" w:hAnsi="Arial"/>
          <w:i/>
          <w:iCs/>
          <w:color w:val="7F8C8D"/>
          <w:sz w:val="22"/>
          <w:szCs w:val="22"/>
        </w:rPr>
        <w:t xml:space="preserve">Condition 5 of 10  |  Scan by Condition Series</w:t>
      </w:r>
    </w:p>
    <w:p>
      <w:pPr>
        <w:pBdr>
          <w:bottom w:val="single" w:color="0D7377" w:sz="8" w:space="1"/>
        </w:pBdr>
        <w:spacing w:before="0" w:after="160"/>
      </w:pP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Document Details</w:t>
            </w:r>
          </w:p>
        </w:tc>
        <w:tc>
          <w:tcPr>
            <w:tcW w:type="dxa" w:w="5760"/>
            <w:tcBorders>
              <w:top w:val="single" w:color="0D7377" w:sz="1"/>
              <w:left w:val="single" w:color="0D7377" w:sz="1"/>
              <w:bottom w:val="single" w:color="0D7377" w:sz="1"/>
              <w:right w:val="single" w:color="0D7377" w:sz="1"/>
            </w:tcBorders>
            <w:shd w:fill="2C3E50"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Area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Scan  (Project Lotus — Bravo)</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QuickScan › Scan by Condition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Spondylosis (Cervical Spondylosis  |  Lumbar Spondylosis  |  Multi-level)</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Position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5 of 10 — Fifth module of the Scan by Condition series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Framework Reference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Bulge PRD v1.0 — structural-pathology hybrid architecture  |  Sciatica PRD v1.0 — neurological sign framework  |  Low Back Pain PRD v1.0 ✓ (Approved)  |  Neck Pain PRD v1.0 ✓ (Approved)</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v1.0 — Draft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 Clinical Advisory Board Review</w:t>
            </w:r>
          </w:p>
        </w:tc>
      </w:tr>
      <w:tr>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Deployment Channel</w:t>
            </w:r>
          </w:p>
        </w:tc>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Web Platform (Mobile-responsive)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Compliance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Signal (non-diagnostic), CDSCO SaMD awareness</w:t>
            </w:r>
          </w:p>
        </w:tc>
      </w:tr>
    </w:tbl>
    <w:p>
      <w:pPr>
        <w:spacing w:before="3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Architecture Classification — Degenerative + Functional Hybrid</w:t>
            </w:r>
          </w:p>
          <w:p>
            <w:pPr>
              <w:spacing w:before="80" w:after="80"/>
              <w:jc w:val="left"/>
            </w:pPr>
            <w:r>
              <w:rPr>
                <w:rFonts w:ascii="Arial" w:cs="Arial" w:eastAsia="Arial" w:hAnsi="Arial"/>
                <w:b w:val="false"/>
                <w:bCs w:val="false"/>
                <w:color w:val="1A1A1A"/>
                <w:sz w:val="20"/>
                <w:szCs w:val="20"/>
              </w:rPr>
              <w:t xml:space="preserve">Spondylosis is the most age-driven and slowly progressive condition in the series to date. Its scoring architecture follows the </w:t>
            </w:r>
            <w:r>
              <w:rPr>
                <w:rFonts w:ascii="Arial" w:cs="Arial" w:eastAsia="Arial" w:hAnsi="Arial"/>
                <w:b/>
                <w:bCs/>
                <w:color w:val="1A1A1A"/>
                <w:sz w:val="20"/>
                <w:szCs w:val="20"/>
              </w:rPr>
              <w:t xml:space="preserve">degenerative + functional hybrid model</w:t>
            </w:r>
            <w:r>
              <w:rPr>
                <w:rFonts w:ascii="Arial" w:cs="Arial" w:eastAsia="Arial" w:hAnsi="Arial"/>
                <w:b w:val="false"/>
                <w:bCs w:val="false"/>
                <w:color w:val="1A1A1A"/>
                <w:sz w:val="20"/>
                <w:szCs w:val="20"/>
              </w:rPr>
              <w:t xml:space="preserve"> established by Disc Bulge, but with a critical shift: where Disc Bulge was defined by a known structural event (disc displacement), Spondylosis is defined by </w:t>
            </w:r>
            <w:r>
              <w:rPr>
                <w:rFonts w:ascii="Arial" w:cs="Arial" w:eastAsia="Arial" w:hAnsi="Arial"/>
                <w:b/>
                <w:bCs/>
                <w:color w:val="1A1A1A"/>
                <w:sz w:val="20"/>
                <w:szCs w:val="20"/>
              </w:rPr>
              <w:t xml:space="preserve">cumulative degenerative change over time</w:t>
            </w:r>
            <w:r>
              <w:rPr>
                <w:rFonts w:ascii="Arial" w:cs="Arial" w:eastAsia="Arial" w:hAnsi="Arial"/>
                <w:b w:val="false"/>
                <w:bCs w:val="false"/>
                <w:color w:val="1A1A1A"/>
                <w:sz w:val="20"/>
                <w:szCs w:val="20"/>
              </w:rPr>
              <w:t xml:space="preserve"> — bone spur formation, disc space narrowing, facet joint arthritis, and foraminal narrowing that accumulates across decades. The scoring model therefore places greater emphasis on </w:t>
            </w:r>
            <w:r>
              <w:rPr>
                <w:rFonts w:ascii="Arial" w:cs="Arial" w:eastAsia="Arial" w:hAnsi="Arial"/>
                <w:b/>
                <w:bCs/>
                <w:color w:val="1A1A1A"/>
                <w:sz w:val="20"/>
                <w:szCs w:val="20"/>
              </w:rPr>
              <w:t xml:space="preserve">age + duration + multi-level involvement</w:t>
            </w:r>
            <w:r>
              <w:rPr>
                <w:rFonts w:ascii="Arial" w:cs="Arial" w:eastAsia="Arial" w:hAnsi="Arial"/>
                <w:b w:val="false"/>
                <w:bCs w:val="false"/>
                <w:color w:val="1A1A1A"/>
                <w:sz w:val="20"/>
                <w:szCs w:val="20"/>
              </w:rPr>
              <w:t xml:space="preserve"> in Layer 1, while neurological signs in Layer 2 carry the same urgency weighting established across the Sciatica and Disc Bulge modules. Weight distribution: 40% structural/degenerative context, 35% current symptom and neurological profile, 25% functional impact.</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Confidentiality Notice</w:t>
            </w:r>
          </w:p>
          <w:p>
            <w:pPr>
              <w:spacing w:before="80" w:after="80"/>
              <w:jc w:val="left"/>
            </w:pPr>
            <w:r>
              <w:rPr>
                <w:rFonts w:ascii="Arial" w:cs="Arial" w:eastAsia="Arial" w:hAnsi="Arial"/>
                <w:b w:val="false"/>
                <w:bCs w:val="false"/>
                <w:color w:val="1A1A1A"/>
                <w:sz w:val="20"/>
                <w:szCs w:val="20"/>
              </w:rPr>
              <w:t xml:space="preserve">This document is strictly confidential and intended for internal use within the Kriya product and clinical advisory team only.</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  Document Purpose &amp; Scope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This PRD defines the product, clinical, and UX requirements for the </w:t>
      </w:r>
      <w:r>
        <w:rPr>
          <w:rFonts w:ascii="Arial" w:cs="Arial" w:eastAsia="Arial" w:hAnsi="Arial"/>
          <w:b/>
          <w:bCs/>
          <w:color w:val="1A1A1A"/>
          <w:sz w:val="22"/>
          <w:szCs w:val="22"/>
        </w:rPr>
        <w:t xml:space="preserve">QuickScan — Spondylosis</w:t>
      </w:r>
      <w:r>
        <w:rPr>
          <w:rFonts w:ascii="Arial" w:cs="Arial" w:eastAsia="Arial" w:hAnsi="Arial"/>
          <w:b w:val="false"/>
          <w:bCs w:val="false"/>
          <w:color w:val="1A1A1A"/>
          <w:sz w:val="22"/>
          <w:szCs w:val="22"/>
        </w:rPr>
        <w:t xml:space="preserve"> module under Kriya Scan (Bravo), Scan by Condition stream. It is the fifth document in the Scan by Condition series, completing the spinal condition cluster alongside Disc Bulge (Module 4) and Sciatica (Module 3).</w:t>
      </w:r>
    </w:p>
    <w:p>
      <w:pPr>
        <w:spacing w:before="120" w:after="120"/>
      </w:pPr>
    </w:p>
    <w:p>
      <w:pPr>
        <w:spacing w:before="80" w:after="80"/>
        <w:jc w:val="left"/>
      </w:pPr>
      <w:r>
        <w:rPr>
          <w:rFonts w:ascii="Arial" w:cs="Arial" w:eastAsia="Arial" w:hAnsi="Arial"/>
          <w:b w:val="false"/>
          <w:bCs w:val="false"/>
          <w:color w:val="1A1A1A"/>
          <w:sz w:val="22"/>
          <w:szCs w:val="22"/>
        </w:rPr>
        <w:t xml:space="preserve">Spondylosis — also known as spinal osteoarthritis, degenerative disc disease, or spinal degeneration — is the most prevalent chronic spinal condition in India, affecting an estimated </w:t>
      </w:r>
      <w:r>
        <w:rPr>
          <w:rFonts w:ascii="Arial" w:cs="Arial" w:eastAsia="Arial" w:hAnsi="Arial"/>
          <w:b/>
          <w:bCs/>
          <w:color w:val="1A1A1A"/>
          <w:sz w:val="22"/>
          <w:szCs w:val="22"/>
        </w:rPr>
        <w:t xml:space="preserve">85% of people over 60</w:t>
      </w:r>
      <w:r>
        <w:rPr>
          <w:rFonts w:ascii="Arial" w:cs="Arial" w:eastAsia="Arial" w:hAnsi="Arial"/>
          <w:b w:val="false"/>
          <w:bCs w:val="false"/>
          <w:color w:val="1A1A1A"/>
          <w:sz w:val="22"/>
          <w:szCs w:val="22"/>
        </w:rPr>
        <w:t xml:space="preserve"> to some degree. Unlike the dramatic acute presentations of disc herniation or sciatica, spondylosis is a silent, gradual process that accumulates across decades. Users entering this scan typically do so because they have been told by a doctor that their spine is 'wearing out', 'degenerating', or showing 'spondylitic changes' on imaging — often without a clear explanation of what this means or what they should do about it.</w:t>
      </w:r>
    </w:p>
    <w:p>
      <w:pPr>
        <w:spacing w:before="120" w:after="120"/>
      </w:pPr>
    </w:p>
    <w:p>
      <w:pPr>
        <w:spacing w:before="80" w:after="80"/>
        <w:jc w:val="left"/>
      </w:pPr>
      <w:r>
        <w:rPr>
          <w:rFonts w:ascii="Arial" w:cs="Arial" w:eastAsia="Arial" w:hAnsi="Arial"/>
          <w:b w:val="false"/>
          <w:bCs w:val="false"/>
          <w:color w:val="1A1A1A"/>
          <w:sz w:val="22"/>
          <w:szCs w:val="22"/>
        </w:rPr>
        <w:t xml:space="preserve">The strategic opportunity for Kriya is significant: spondylosis is highly modifiable through </w:t>
      </w:r>
      <w:r>
        <w:rPr>
          <w:rFonts w:ascii="Arial" w:cs="Arial" w:eastAsia="Arial" w:hAnsi="Arial"/>
          <w:b/>
          <w:bCs/>
          <w:color w:val="1A1A1A"/>
          <w:sz w:val="22"/>
          <w:szCs w:val="22"/>
        </w:rPr>
        <w:t xml:space="preserve">targeted spinal strengthening, posture management, and lifestyle intervention</w:t>
      </w:r>
      <w:r>
        <w:rPr>
          <w:rFonts w:ascii="Arial" w:cs="Arial" w:eastAsia="Arial" w:hAnsi="Arial"/>
          <w:b w:val="false"/>
          <w:bCs w:val="false"/>
          <w:color w:val="1A1A1A"/>
          <w:sz w:val="22"/>
          <w:szCs w:val="22"/>
        </w:rPr>
        <w:t xml:space="preserve"> — and the Indian population is dramatically under-served in this space, with most patients managed solely through pain medication without structured exercise or rehabilitation guidance.</w:t>
      </w:r>
    </w:p>
    <w:p>
      <w:pPr>
        <w:spacing w:before="120" w:after="120"/>
      </w:pPr>
    </w:p>
    <w:p>
      <w:pPr>
        <w:pStyle w:val="Heading3"/>
        <w:spacing w:before="240" w:after="80"/>
      </w:pPr>
      <w:r>
        <w:rPr>
          <w:rFonts w:ascii="Arial" w:cs="Arial" w:eastAsia="Arial" w:hAnsi="Arial"/>
          <w:b/>
          <w:bCs/>
          <w:color w:val="2C3E50"/>
          <w:sz w:val="22"/>
          <w:szCs w:val="22"/>
        </w:rPr>
        <w:t xml:space="preserve">1.1  Spondylosis — Clinical Context for Product Team</w:t>
      </w:r>
    </w:p>
    <w:p>
      <w:pPr>
        <w:pStyle w:val="ListParagraph"/>
        <w:numPr>
          <w:ilvl w:val="0"/>
          <w:numId w:val="2"/>
        </w:numPr>
        <w:spacing w:before="60" w:after="60"/>
      </w:pPr>
      <w:r>
        <w:rPr>
          <w:rFonts w:ascii="Arial" w:cs="Arial" w:eastAsia="Arial" w:hAnsi="Arial"/>
          <w:b/>
          <w:bCs/>
          <w:color w:val="1A1A1A"/>
          <w:sz w:val="22"/>
          <w:szCs w:val="22"/>
        </w:rPr>
        <w:t xml:space="preserve">Spondylosis is a spectrum, not a binary condition:</w:t>
      </w:r>
      <w:r>
        <w:rPr>
          <w:rFonts w:ascii="Arial" w:cs="Arial" w:eastAsia="Arial" w:hAnsi="Arial"/>
          <w:b w:val="false"/>
          <w:bCs w:val="false"/>
          <w:color w:val="1A1A1A"/>
          <w:sz w:val="22"/>
          <w:szCs w:val="22"/>
        </w:rPr>
        <w:t xml:space="preserve">  The term describes a continuum from mild disc space narrowing and minor osteophytes (clinically insignificant in many users) through established multi-level degeneration with foraminal narrowing (producing radiculopathy) to severe spinal stenosis (limiting walking distance and producing bilateral neurological symptoms). The QuickScan must stratify users across this entire spectrum.</w:t>
      </w:r>
    </w:p>
    <w:p>
      <w:pPr>
        <w:pStyle w:val="ListParagraph"/>
        <w:numPr>
          <w:ilvl w:val="0"/>
          <w:numId w:val="2"/>
        </w:numPr>
        <w:spacing w:before="60" w:after="60"/>
      </w:pPr>
      <w:r>
        <w:rPr>
          <w:rFonts w:ascii="Arial" w:cs="Arial" w:eastAsia="Arial" w:hAnsi="Arial"/>
          <w:b/>
          <w:bCs/>
          <w:color w:val="1A1A1A"/>
          <w:sz w:val="22"/>
          <w:szCs w:val="22"/>
        </w:rPr>
        <w:t xml:space="preserve">Cervical vs Lumbar — distinct clinical presentations:</w:t>
      </w:r>
      <w:r>
        <w:rPr>
          <w:rFonts w:ascii="Arial" w:cs="Arial" w:eastAsia="Arial" w:hAnsi="Arial"/>
          <w:b w:val="false"/>
          <w:bCs w:val="false"/>
          <w:color w:val="1A1A1A"/>
          <w:sz w:val="22"/>
          <w:szCs w:val="22"/>
        </w:rPr>
        <w:t xml:space="preserve">  Cervical spondylosis produces neck pain, stiffness, headaches, and (when severe) arm symptoms from foraminal narrowing or myelopathy from cord compression. Lumbar spondylosis produces lower back pain, stiffness, and (when severe) leg symptoms from foraminal narrowing or spinal stenosis. Both are addressed in this module through a stream classifier, but their symptom profiles, red flags, and care pathways diverge significantly.</w:t>
      </w:r>
    </w:p>
    <w:p>
      <w:pPr>
        <w:pStyle w:val="ListParagraph"/>
        <w:numPr>
          <w:ilvl w:val="0"/>
          <w:numId w:val="2"/>
        </w:numPr>
        <w:spacing w:before="60" w:after="60"/>
      </w:pPr>
      <w:r>
        <w:rPr>
          <w:rFonts w:ascii="Arial" w:cs="Arial" w:eastAsia="Arial" w:hAnsi="Arial"/>
          <w:b/>
          <w:bCs/>
          <w:color w:val="1A1A1A"/>
          <w:sz w:val="22"/>
          <w:szCs w:val="22"/>
        </w:rPr>
        <w:t xml:space="preserve">Spinal stenosis is the severe end of lumbar spondylosis:</w:t>
      </w:r>
      <w:r>
        <w:rPr>
          <w:rFonts w:ascii="Arial" w:cs="Arial" w:eastAsia="Arial" w:hAnsi="Arial"/>
          <w:b w:val="false"/>
          <w:bCs w:val="false"/>
          <w:color w:val="1A1A1A"/>
          <w:sz w:val="22"/>
          <w:szCs w:val="22"/>
        </w:rPr>
        <w:t xml:space="preserve">  As spondylotic changes accumulate, the spinal canal and foramina narrow — compressing the cauda equina and nerve roots. The hallmark is neurogenic claudication: leg pain, heaviness, or numbness that comes on after walking a predictable distance and relieves when sitting or leaning forward. This is distinct from vascular claudication (which relieves with standing still) and is a key differentiating question.</w:t>
      </w:r>
    </w:p>
    <w:p>
      <w:pPr>
        <w:pStyle w:val="ListParagraph"/>
        <w:numPr>
          <w:ilvl w:val="0"/>
          <w:numId w:val="2"/>
        </w:numPr>
        <w:spacing w:before="60" w:after="60"/>
      </w:pPr>
      <w:r>
        <w:rPr>
          <w:rFonts w:ascii="Arial" w:cs="Arial" w:eastAsia="Arial" w:hAnsi="Arial"/>
          <w:b/>
          <w:bCs/>
          <w:color w:val="1A1A1A"/>
          <w:sz w:val="22"/>
          <w:szCs w:val="22"/>
        </w:rPr>
        <w:t xml:space="preserve">Spondylotic myelopathy in the cervical spine:</w:t>
      </w:r>
      <w:r>
        <w:rPr>
          <w:rFonts w:ascii="Arial" w:cs="Arial" w:eastAsia="Arial" w:hAnsi="Arial"/>
          <w:b w:val="false"/>
          <w:bCs w:val="false"/>
          <w:color w:val="1A1A1A"/>
          <w:sz w:val="22"/>
          <w:szCs w:val="22"/>
        </w:rPr>
        <w:t xml:space="preserve">  Severe cervical spondylosis can compress the spinal cord, producing the same myelopathy picture established in the Disc Bulge module — gait disturbance, hand coordination failure, and hyperreflexia. The Cervical Myelopathy screen from Q0.1 Section B of the Disc Bulge module is reproduced here identically.</w:t>
      </w:r>
    </w:p>
    <w:p>
      <w:pPr>
        <w:pStyle w:val="ListParagraph"/>
        <w:numPr>
          <w:ilvl w:val="0"/>
          <w:numId w:val="2"/>
        </w:numPr>
        <w:spacing w:before="60" w:after="60"/>
      </w:pPr>
      <w:r>
        <w:rPr>
          <w:rFonts w:ascii="Arial" w:cs="Arial" w:eastAsia="Arial" w:hAnsi="Arial"/>
          <w:b/>
          <w:bCs/>
          <w:color w:val="1A1A1A"/>
          <w:sz w:val="22"/>
          <w:szCs w:val="22"/>
        </w:rPr>
        <w:t xml:space="preserve">The 'normal ageing' communication challenge:</w:t>
      </w:r>
      <w:r>
        <w:rPr>
          <w:rFonts w:ascii="Arial" w:cs="Arial" w:eastAsia="Arial" w:hAnsi="Arial"/>
          <w:b w:val="false"/>
          <w:bCs w:val="false"/>
          <w:color w:val="1A1A1A"/>
          <w:sz w:val="22"/>
          <w:szCs w:val="22"/>
        </w:rPr>
        <w:t xml:space="preserve">  Many users will have been told their spondylosis is 'just normal ageing' and nothing can be done. This is clinically incorrect — exercise therapy significantly slows spondylotic progression and improves function. The platform must counter this nihilistic narrative while maintaining realistic expectations about the irreversibility of structural changes already present.</w:t>
      </w:r>
    </w:p>
    <w:p>
      <w:pPr>
        <w:spacing w:before="120" w:after="120"/>
      </w:pPr>
    </w:p>
    <w:p>
      <w:pPr>
        <w:pStyle w:val="Heading3"/>
        <w:spacing w:before="240" w:after="80"/>
      </w:pPr>
      <w:r>
        <w:rPr>
          <w:rFonts w:ascii="Arial" w:cs="Arial" w:eastAsia="Arial" w:hAnsi="Arial"/>
          <w:b/>
          <w:bCs/>
          <w:color w:val="2C3E50"/>
          <w:sz w:val="22"/>
          <w:szCs w:val="22"/>
        </w:rPr>
        <w:t xml:space="preserve">1.2  Relationship with Prior Spinal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Spinal Module Cross-Reference Architecture</w:t>
            </w:r>
          </w:p>
          <w:p>
            <w:pPr>
              <w:spacing w:before="80" w:after="80"/>
              <w:jc w:val="left"/>
            </w:pPr>
            <w:r>
              <w:rPr>
                <w:rFonts w:ascii="Arial" w:cs="Arial" w:eastAsia="Arial" w:hAnsi="Arial"/>
                <w:b w:val="false"/>
                <w:bCs w:val="false"/>
                <w:color w:val="1A1A1A"/>
                <w:sz w:val="20"/>
                <w:szCs w:val="20"/>
              </w:rPr>
              <w:t xml:space="preserve">Spondylosis completes the spinal condition cluster. The cross-reference relationships are:</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Low Back Pain QuickScan (Approved) → Spondylosis:</w:t>
            </w:r>
            <w:r>
              <w:rPr>
                <w:rFonts w:ascii="Arial" w:cs="Arial" w:eastAsia="Arial" w:hAnsi="Arial"/>
                <w:b w:val="false"/>
                <w:bCs w:val="false"/>
                <w:color w:val="1A1A1A"/>
                <w:sz w:val="20"/>
                <w:szCs w:val="20"/>
              </w:rPr>
              <w:t xml:space="preserve">  Degenerative stream tag from Low Back QuickScan pre-populates lumbar spondylosis Q1.1 stream selection and adds +1 risk context modifier.</w:t>
            </w:r>
          </w:p>
          <w:p>
            <w:pPr>
              <w:pStyle w:val="ListParagraph"/>
              <w:numPr>
                <w:ilvl w:val="0"/>
                <w:numId w:val="2"/>
              </w:numPr>
              <w:spacing w:before="60" w:after="60"/>
            </w:pPr>
            <w:r>
              <w:rPr>
                <w:rFonts w:ascii="Arial" w:cs="Arial" w:eastAsia="Arial" w:hAnsi="Arial"/>
                <w:b/>
                <w:bCs/>
                <w:color w:val="1A1A1A"/>
                <w:sz w:val="22"/>
                <w:szCs w:val="22"/>
              </w:rPr>
              <w:t xml:space="preserve">Neck Pain QuickScan (Approved) → Spondylosis:</w:t>
            </w:r>
            <w:r>
              <w:rPr>
                <w:rFonts w:ascii="Arial" w:cs="Arial" w:eastAsia="Arial" w:hAnsi="Arial"/>
                <w:b w:val="false"/>
                <w:bCs w:val="false"/>
                <w:color w:val="1A1A1A"/>
                <w:sz w:val="20"/>
                <w:szCs w:val="20"/>
              </w:rPr>
              <w:t xml:space="preserve">  Cervical radiculopathy tag from Neck Pain QuickScan pre-populates cervical spondylosis Q1.1 stream and Q2.1 arm symptom context.</w:t>
            </w:r>
          </w:p>
          <w:p>
            <w:pPr>
              <w:pStyle w:val="ListParagraph"/>
              <w:numPr>
                <w:ilvl w:val="0"/>
                <w:numId w:val="2"/>
              </w:numPr>
              <w:spacing w:before="60" w:after="60"/>
            </w:pPr>
            <w:r>
              <w:rPr>
                <w:rFonts w:ascii="Arial" w:cs="Arial" w:eastAsia="Arial" w:hAnsi="Arial"/>
                <w:b/>
                <w:bCs/>
                <w:color w:val="1A1A1A"/>
                <w:sz w:val="22"/>
                <w:szCs w:val="22"/>
              </w:rPr>
              <w:t xml:space="preserve">Disc Bulge (Module 4) → Spondylosis:</w:t>
            </w:r>
            <w:r>
              <w:rPr>
                <w:rFonts w:ascii="Arial" w:cs="Arial" w:eastAsia="Arial" w:hAnsi="Arial"/>
                <w:b w:val="false"/>
                <w:bCs w:val="false"/>
                <w:color w:val="1A1A1A"/>
                <w:sz w:val="20"/>
                <w:szCs w:val="20"/>
              </w:rPr>
              <w:t xml:space="preserve">  Multi-level disc changes tag from Disc Bulge module pre-populates multi-level spondylosis flag in Q1.2. Disc degeneration and spondylosis almost always co-exist — users with both conditions form the highest-burden cohort.</w:t>
            </w:r>
          </w:p>
          <w:p>
            <w:pPr>
              <w:pStyle w:val="ListParagraph"/>
              <w:numPr>
                <w:ilvl w:val="0"/>
                <w:numId w:val="2"/>
              </w:numPr>
              <w:spacing w:before="60" w:after="60"/>
            </w:pPr>
            <w:r>
              <w:rPr>
                <w:rFonts w:ascii="Arial" w:cs="Arial" w:eastAsia="Arial" w:hAnsi="Arial"/>
                <w:b/>
                <w:bCs/>
                <w:color w:val="1A1A1A"/>
                <w:sz w:val="22"/>
                <w:szCs w:val="22"/>
              </w:rPr>
              <w:t xml:space="preserve">Spondylosis → OA (Module 2):</w:t>
            </w:r>
            <w:r>
              <w:rPr>
                <w:rFonts w:ascii="Arial" w:cs="Arial" w:eastAsia="Arial" w:hAnsi="Arial"/>
                <w:b w:val="false"/>
                <w:bCs w:val="false"/>
                <w:color w:val="1A1A1A"/>
                <w:sz w:val="20"/>
                <w:szCs w:val="20"/>
              </w:rPr>
              <w:t xml:space="preserve">  Multi-joint spondylosis with facet joint arthritis is a spinal form of osteoarthritis. Users with both lumbar/cervical spondylosis and peripheral OA (knee, hip) represent a polyarthritic degenerative cohort — cross-scan recommendation to OA module is appropriate.</w:t>
            </w:r>
          </w:p>
        </w:tc>
      </w:tr>
    </w:tbl>
    <w:p>
      <w:pPr>
        <w:spacing w:before="120" w:after="120"/>
      </w:pPr>
    </w:p>
    <w:p>
      <w:pPr>
        <w:pStyle w:val="Heading3"/>
        <w:spacing w:before="240" w:after="80"/>
      </w:pPr>
      <w:r>
        <w:rPr>
          <w:rFonts w:ascii="Arial" w:cs="Arial" w:eastAsia="Arial" w:hAnsi="Arial"/>
          <w:b/>
          <w:bCs/>
          <w:color w:val="2C3E50"/>
          <w:sz w:val="22"/>
          <w:szCs w:val="22"/>
        </w:rPr>
        <w:t xml:space="preserve">1.3  Spondylosis Terminology — User-Facing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0"/>
                <w:szCs w:val="20"/>
              </w:rPr>
              <w:t xml:space="preserve">Terminology Normalisation Requirement</w:t>
            </w:r>
          </w:p>
          <w:p>
            <w:pPr>
              <w:spacing w:before="80" w:after="80"/>
              <w:jc w:val="left"/>
            </w:pPr>
            <w:r>
              <w:rPr>
                <w:rFonts w:ascii="Arial" w:cs="Arial" w:eastAsia="Arial" w:hAnsi="Arial"/>
                <w:b w:val="false"/>
                <w:bCs w:val="false"/>
                <w:color w:val="1A1A1A"/>
                <w:sz w:val="20"/>
                <w:szCs w:val="20"/>
              </w:rPr>
              <w:t xml:space="preserve">Users entering this scan will have been given various terms. The platform must recognise and address all of the following as synonyms for the same degenerative spectrum:</w:t>
            </w:r>
          </w:p>
          <w:p>
            <w:pPr>
              <w:spacing w:before="60" w:after="120"/>
            </w:pPr>
          </w:p>
          <w:p>
            <w:pPr>
              <w:pStyle w:val="ListParagraph"/>
              <w:numPr>
                <w:ilvl w:val="0"/>
                <w:numId w:val="2"/>
              </w:numPr>
              <w:spacing w:before="60" w:after="60"/>
            </w:pPr>
            <w:r>
              <w:rPr>
                <w:rFonts w:ascii="Arial" w:cs="Arial" w:eastAsia="Arial" w:hAnsi="Arial"/>
                <w:b w:val="false"/>
                <w:bCs w:val="false"/>
                <w:color w:val="1A1A1A"/>
                <w:sz w:val="20"/>
                <w:szCs w:val="20"/>
              </w:rPr>
              <w:t xml:space="preserve">Cervical spondylosis  /  cervical degeneration  /  cervical arthritis</w:t>
            </w:r>
          </w:p>
          <w:p>
            <w:pPr>
              <w:pStyle w:val="ListParagraph"/>
              <w:numPr>
                <w:ilvl w:val="0"/>
                <w:numId w:val="2"/>
              </w:numPr>
              <w:spacing w:before="60" w:after="60"/>
            </w:pPr>
            <w:r>
              <w:rPr>
                <w:rFonts w:ascii="Arial" w:cs="Arial" w:eastAsia="Arial" w:hAnsi="Arial"/>
                <w:b w:val="false"/>
                <w:bCs w:val="false"/>
                <w:color w:val="1A1A1A"/>
                <w:sz w:val="20"/>
                <w:szCs w:val="20"/>
              </w:rPr>
              <w:t xml:space="preserve">Lumbar spondylosis  /  lumbar degeneration  /  lumbar osteoarthritis  /  degenerative disc disease</w:t>
            </w:r>
          </w:p>
          <w:p>
            <w:pPr>
              <w:pStyle w:val="ListParagraph"/>
              <w:numPr>
                <w:ilvl w:val="0"/>
                <w:numId w:val="2"/>
              </w:numPr>
              <w:spacing w:before="60" w:after="60"/>
            </w:pPr>
            <w:r>
              <w:rPr>
                <w:rFonts w:ascii="Arial" w:cs="Arial" w:eastAsia="Arial" w:hAnsi="Arial"/>
                <w:b w:val="false"/>
                <w:bCs w:val="false"/>
                <w:color w:val="1A1A1A"/>
                <w:sz w:val="20"/>
                <w:szCs w:val="20"/>
              </w:rPr>
              <w:t xml:space="preserve">Spondylitic changes  /  osteophytes  /  bone spurs  /  vertebral bridging</w:t>
            </w:r>
          </w:p>
          <w:p>
            <w:pPr>
              <w:pStyle w:val="ListParagraph"/>
              <w:numPr>
                <w:ilvl w:val="0"/>
                <w:numId w:val="2"/>
              </w:numPr>
              <w:spacing w:before="60" w:after="60"/>
            </w:pPr>
            <w:r>
              <w:rPr>
                <w:rFonts w:ascii="Arial" w:cs="Arial" w:eastAsia="Arial" w:hAnsi="Arial"/>
                <w:b w:val="false"/>
                <w:bCs w:val="false"/>
                <w:color w:val="1A1A1A"/>
                <w:sz w:val="20"/>
                <w:szCs w:val="20"/>
              </w:rPr>
              <w:t xml:space="preserve">Foraminal narrowing  /  foraminal stenosis  /  nerve root canal stenosis</w:t>
            </w:r>
          </w:p>
          <w:p>
            <w:pPr>
              <w:pStyle w:val="ListParagraph"/>
              <w:numPr>
                <w:ilvl w:val="0"/>
                <w:numId w:val="2"/>
              </w:numPr>
              <w:spacing w:before="60" w:after="60"/>
            </w:pPr>
            <w:r>
              <w:rPr>
                <w:rFonts w:ascii="Arial" w:cs="Arial" w:eastAsia="Arial" w:hAnsi="Arial"/>
                <w:b w:val="false"/>
                <w:bCs w:val="false"/>
                <w:color w:val="1A1A1A"/>
                <w:sz w:val="20"/>
                <w:szCs w:val="20"/>
              </w:rPr>
              <w:t xml:space="preserve">Spinal stenosis (when referring to canal narrowing secondary to spondylosis)</w:t>
            </w:r>
          </w:p>
          <w:p>
            <w:pPr>
              <w:spacing w:before="80" w:after="80"/>
              <w:jc w:val="left"/>
            </w:pPr>
            <w:r>
              <w:rPr>
                <w:rFonts w:ascii="Arial" w:cs="Arial" w:eastAsia="Arial" w:hAnsi="Arial"/>
                <w:b w:val="false"/>
                <w:bCs w:val="false"/>
                <w:color w:val="1A1A1A"/>
                <w:sz w:val="20"/>
                <w:szCs w:val="20"/>
              </w:rPr>
              <w:t xml:space="preserve">The onboarding screen for this scan should include a brief plain-language explainer: 'Spondylosis refers to age-related changes in your spine — including wear on the discs and joints between vertebrae. It is sometimes called spinal degeneration, spinal arthritis, or bone spurs.'</w:t>
            </w:r>
          </w:p>
        </w:tc>
      </w:tr>
    </w:tbl>
    <w:p>
      <w:pPr>
        <w:spacing w:before="120" w:after="120"/>
      </w:pPr>
    </w:p>
    <w:p>
      <w:pPr>
        <w:pStyle w:val="Heading3"/>
        <w:spacing w:before="240" w:after="80"/>
      </w:pPr>
      <w:r>
        <w:rPr>
          <w:rFonts w:ascii="Arial" w:cs="Arial" w:eastAsia="Arial" w:hAnsi="Arial"/>
          <w:b/>
          <w:bCs/>
          <w:color w:val="2C3E50"/>
          <w:sz w:val="22"/>
          <w:szCs w:val="22"/>
        </w:rPr>
        <w:t xml:space="preserve">1.4  Out of Scope for v1.0</w:t>
      </w:r>
    </w:p>
    <w:p>
      <w:pPr>
        <w:pStyle w:val="ListParagraph"/>
        <w:numPr>
          <w:ilvl w:val="0"/>
          <w:numId w:val="2"/>
        </w:numPr>
        <w:spacing w:before="60" w:after="60"/>
      </w:pPr>
      <w:r>
        <w:rPr>
          <w:rFonts w:ascii="Arial" w:cs="Arial" w:eastAsia="Arial" w:hAnsi="Arial"/>
          <w:b w:val="false"/>
          <w:bCs w:val="false"/>
          <w:color w:val="1A1A1A"/>
          <w:sz w:val="22"/>
          <w:szCs w:val="22"/>
        </w:rPr>
        <w:t xml:space="preserve">Ankylosing Spondylitis — inflammatory spondyloarthropathy; distinct from degenerative spondylosis; requires separate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Spondylolisthesis — vertebral slippage; related but distinct structural entity; future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Thoracic spondylosis — less common; to be addressed in future thoracic module</w:t>
      </w:r>
    </w:p>
    <w:p>
      <w:pPr>
        <w:pStyle w:val="ListParagraph"/>
        <w:numPr>
          <w:ilvl w:val="0"/>
          <w:numId w:val="2"/>
        </w:numPr>
        <w:spacing w:before="60" w:after="60"/>
      </w:pPr>
      <w:r>
        <w:rPr>
          <w:rFonts w:ascii="Arial" w:cs="Arial" w:eastAsia="Arial" w:hAnsi="Arial"/>
          <w:b w:val="false"/>
          <w:bCs w:val="false"/>
          <w:color w:val="1A1A1A"/>
          <w:sz w:val="22"/>
          <w:szCs w:val="22"/>
        </w:rPr>
        <w:t xml:space="preserve">Facet joint injection or surgical decompression guidance — clinical decision territory</w:t>
      </w:r>
    </w:p>
    <w:p>
      <w:pPr>
        <w:pStyle w:val="ListParagraph"/>
        <w:numPr>
          <w:ilvl w:val="0"/>
          <w:numId w:val="2"/>
        </w:numPr>
        <w:spacing w:before="60" w:after="60"/>
      </w:pPr>
      <w:r>
        <w:rPr>
          <w:rFonts w:ascii="Arial" w:cs="Arial" w:eastAsia="Arial" w:hAnsi="Arial"/>
          <w:b w:val="false"/>
          <w:bCs w:val="false"/>
          <w:color w:val="1A1A1A"/>
          <w:sz w:val="22"/>
          <w:szCs w:val="22"/>
        </w:rPr>
        <w:t xml:space="preserve">DeepScan — Spondylosis (separate PRD)</w:t>
      </w:r>
    </w:p>
    <w:p>
      <w:pPr>
        <w:pStyle w:val="ListParagraph"/>
        <w:numPr>
          <w:ilvl w:val="0"/>
          <w:numId w:val="2"/>
        </w:numPr>
        <w:spacing w:before="60" w:after="60"/>
      </w:pPr>
      <w:r>
        <w:rPr>
          <w:rFonts w:ascii="Arial" w:cs="Arial" w:eastAsia="Arial" w:hAnsi="Arial"/>
          <w:b w:val="false"/>
          <w:bCs w:val="false"/>
          <w:color w:val="1A1A1A"/>
          <w:sz w:val="22"/>
          <w:szCs w:val="22"/>
        </w:rPr>
        <w:t xml:space="preserve">Native mobile app deployment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2.  Regulatory &amp; Compliance Framework</w:t>
      </w:r>
    </w:p>
    <w:p>
      <w:pPr>
        <w:pBdr>
          <w:bottom w:val="single" w:color="0D7377"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Governing Principle</w:t>
            </w:r>
          </w:p>
          <w:p>
            <w:pPr>
              <w:spacing w:before="80" w:after="80"/>
              <w:jc w:val="left"/>
            </w:pPr>
            <w:r>
              <w:rPr>
                <w:rFonts w:ascii="Arial" w:cs="Arial" w:eastAsia="Arial" w:hAnsi="Arial"/>
                <w:b w:val="false"/>
                <w:bCs w:val="false"/>
                <w:color w:val="1A1A1A"/>
                <w:sz w:val="20"/>
                <w:szCs w:val="20"/>
              </w:rPr>
              <w:t xml:space="preserve">Kriya QuickScan — Spondylosis is a </w:t>
            </w:r>
            <w:r>
              <w:rPr>
                <w:rFonts w:ascii="Arial" w:cs="Arial" w:eastAsia="Arial" w:hAnsi="Arial"/>
                <w:b/>
                <w:bCs/>
                <w:color w:val="1A1A1A"/>
                <w:sz w:val="20"/>
                <w:szCs w:val="20"/>
              </w:rPr>
              <w:t xml:space="preserve">spinal degeneration risk signal tool</w:t>
            </w:r>
            <w:r>
              <w:rPr>
                <w:rFonts w:ascii="Arial" w:cs="Arial" w:eastAsia="Arial" w:hAnsi="Arial"/>
                <w:b w:val="false"/>
                <w:bCs w:val="false"/>
                <w:color w:val="1A1A1A"/>
                <w:sz w:val="20"/>
                <w:szCs w:val="20"/>
              </w:rPr>
              <w:t xml:space="preserve">, not a diagnostic instrument. It identifies the clinical severity of degenerative spinal changes based on self-reported symptoms, functional limitation, and neurological signs — without interpreting imaging findings, grading spondylotic severity, or recommending surgical interventions.</w:t>
            </w:r>
          </w:p>
        </w:tc>
      </w:tr>
    </w:tbl>
    <w:p>
      <w:pPr>
        <w:spacing w:before="120" w:after="120"/>
      </w:pPr>
    </w:p>
    <w:p>
      <w:pPr>
        <w:pStyle w:val="Heading3"/>
        <w:spacing w:before="240" w:after="80"/>
      </w:pPr>
      <w:r>
        <w:rPr>
          <w:rFonts w:ascii="Arial" w:cs="Arial" w:eastAsia="Arial" w:hAnsi="Arial"/>
          <w:b/>
          <w:bCs/>
          <w:color w:val="2C3E50"/>
          <w:sz w:val="22"/>
          <w:szCs w:val="22"/>
        </w:rPr>
        <w:t xml:space="preserve">2.1  Spondylosis-Specific Regulatory Considerations</w:t>
      </w:r>
    </w:p>
    <w:p>
      <w:pPr>
        <w:pStyle w:val="ListParagraph"/>
        <w:numPr>
          <w:ilvl w:val="0"/>
          <w:numId w:val="2"/>
        </w:numPr>
        <w:spacing w:before="60" w:after="60"/>
      </w:pPr>
      <w:r>
        <w:rPr>
          <w:rFonts w:ascii="Arial" w:cs="Arial" w:eastAsia="Arial" w:hAnsi="Arial"/>
          <w:b/>
          <w:bCs/>
          <w:color w:val="1A1A1A"/>
          <w:sz w:val="22"/>
          <w:szCs w:val="22"/>
        </w:rPr>
        <w:t xml:space="preserve">Spinal stenosis is not a separate diagnosis for platform purposes:</w:t>
      </w:r>
      <w:r>
        <w:rPr>
          <w:rFonts w:ascii="Arial" w:cs="Arial" w:eastAsia="Arial" w:hAnsi="Arial"/>
          <w:b w:val="false"/>
          <w:bCs w:val="false"/>
          <w:color w:val="1A1A1A"/>
          <w:sz w:val="22"/>
          <w:szCs w:val="22"/>
        </w:rPr>
        <w:t xml:space="preserve">  Neurogenic claudication (walking-limited leg symptoms that relieve with sitting/flexion) will be captured as a symptom pattern and flagged as a stenosis signal — but the platform does not diagnose spinal stenosis. It flags the symptom pattern as warranting specialist evaluation.</w:t>
      </w:r>
    </w:p>
    <w:p>
      <w:pPr>
        <w:pStyle w:val="ListParagraph"/>
        <w:numPr>
          <w:ilvl w:val="0"/>
          <w:numId w:val="2"/>
        </w:numPr>
        <w:spacing w:before="60" w:after="60"/>
      </w:pPr>
      <w:r>
        <w:rPr>
          <w:rFonts w:ascii="Arial" w:cs="Arial" w:eastAsia="Arial" w:hAnsi="Arial"/>
          <w:b/>
          <w:bCs/>
          <w:color w:val="1A1A1A"/>
          <w:sz w:val="22"/>
          <w:szCs w:val="22"/>
        </w:rPr>
        <w:t xml:space="preserve">Myelopathy screen must be maintained identically to Disc Bulge module:</w:t>
      </w:r>
      <w:r>
        <w:rPr>
          <w:rFonts w:ascii="Arial" w:cs="Arial" w:eastAsia="Arial" w:hAnsi="Arial"/>
          <w:b w:val="false"/>
          <w:bCs w:val="false"/>
          <w:color w:val="1A1A1A"/>
          <w:sz w:val="22"/>
          <w:szCs w:val="22"/>
        </w:rPr>
        <w:t xml:space="preserve">  The Cervical Myelopathy screen (Q0.1 Section B) must use identical wording to the Disc Bulge module — forming a consistent three-module emergency screen for cord compression across Neck Pain QuickScan, Disc Bulge, and Spondylosis.</w:t>
      </w:r>
    </w:p>
    <w:p>
      <w:pPr>
        <w:pStyle w:val="ListParagraph"/>
        <w:numPr>
          <w:ilvl w:val="0"/>
          <w:numId w:val="2"/>
        </w:numPr>
        <w:spacing w:before="60" w:after="60"/>
      </w:pPr>
      <w:r>
        <w:rPr>
          <w:rFonts w:ascii="Arial" w:cs="Arial" w:eastAsia="Arial" w:hAnsi="Arial"/>
          <w:b/>
          <w:bCs/>
          <w:color w:val="1A1A1A"/>
          <w:sz w:val="22"/>
          <w:szCs w:val="22"/>
        </w:rPr>
        <w:t xml:space="preserve">Ankylosing Spondylitis differentiation:</w:t>
      </w:r>
      <w:r>
        <w:rPr>
          <w:rFonts w:ascii="Arial" w:cs="Arial" w:eastAsia="Arial" w:hAnsi="Arial"/>
          <w:b w:val="false"/>
          <w:bCs w:val="false"/>
          <w:color w:val="1A1A1A"/>
          <w:sz w:val="22"/>
          <w:szCs w:val="22"/>
        </w:rPr>
        <w:t xml:space="preserve">  AS presents with inflammatory back pain in young users (&lt; 40), morning stiffness &gt; 60 minutes, improvement with movement, and sacroiliac joint pain. A brief differentiation screen must be included to flag users whose pattern is more consistent with AS than degenerative spondylosis — routing them to rheumatology rather than standard spondylosis care.</w:t>
      </w:r>
    </w:p>
    <w:p>
      <w:pPr>
        <w:pStyle w:val="ListParagraph"/>
        <w:numPr>
          <w:ilvl w:val="0"/>
          <w:numId w:val="2"/>
        </w:numPr>
        <w:spacing w:before="60" w:after="60"/>
      </w:pPr>
      <w:r>
        <w:rPr>
          <w:rFonts w:ascii="Arial" w:cs="Arial" w:eastAsia="Arial" w:hAnsi="Arial"/>
          <w:b/>
          <w:bCs/>
          <w:color w:val="1A1A1A"/>
          <w:sz w:val="22"/>
          <w:szCs w:val="22"/>
        </w:rPr>
        <w:t xml:space="preserve">No imaging grade reproduction:</w:t>
      </w:r>
      <w:r>
        <w:rPr>
          <w:rFonts w:ascii="Arial" w:cs="Arial" w:eastAsia="Arial" w:hAnsi="Arial"/>
          <w:b w:val="false"/>
          <w:bCs w:val="false"/>
          <w:color w:val="1A1A1A"/>
          <w:sz w:val="22"/>
          <w:szCs w:val="22"/>
        </w:rPr>
        <w:t xml:space="preserve">  Terms from radiology reports ('moderate spondylotic changes', 'Grade 2 foraminal stenosis') must not be reproduced in output.</w:t>
      </w:r>
    </w:p>
    <w:p>
      <w:pPr>
        <w:pStyle w:val="ListParagraph"/>
        <w:numPr>
          <w:ilvl w:val="0"/>
          <w:numId w:val="2"/>
        </w:numPr>
        <w:spacing w:before="60" w:after="60"/>
      </w:pPr>
      <w:r>
        <w:rPr>
          <w:rFonts w:ascii="Arial" w:cs="Arial" w:eastAsia="Arial" w:hAnsi="Arial"/>
          <w:b/>
          <w:bCs/>
          <w:color w:val="1A1A1A"/>
          <w:sz w:val="22"/>
          <w:szCs w:val="22"/>
        </w:rPr>
        <w:t xml:space="preserve">No ICD-10 codes surfaced</w:t>
      </w:r>
      <w:r>
        <w:rPr>
          <w:rFonts w:ascii="Arial" w:cs="Arial" w:eastAsia="Arial" w:hAnsi="Arial"/>
          <w:b w:val="false"/>
          <w:bCs w:val="false"/>
          <w:color w:val="1A1A1A"/>
          <w:sz w:val="22"/>
          <w:szCs w:val="22"/>
        </w:rPr>
        <w:t xml:space="preserve"> (M47 Spondylosis, M47.1 Cervical spondylosis with myelopathy, M47.2 Cervical spondylosis with radiculopathy, M47.8 Lumbar spondylosis)</w:t>
      </w:r>
    </w:p>
    <w:p>
      <w:pPr>
        <w:spacing w:before="120" w:after="120"/>
      </w:pPr>
    </w:p>
    <w:p>
      <w:pPr>
        <w:pStyle w:val="Heading3"/>
        <w:spacing w:before="240" w:after="80"/>
      </w:pPr>
      <w:r>
        <w:rPr>
          <w:rFonts w:ascii="Arial" w:cs="Arial" w:eastAsia="Arial" w:hAnsi="Arial"/>
          <w:b/>
          <w:bCs/>
          <w:color w:val="2C3E50"/>
          <w:sz w:val="22"/>
          <w:szCs w:val="22"/>
        </w:rPr>
        <w:t xml:space="preserve">2.2  Mandatory Disclaimer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Standard Disclaimer + Degenerative Spinal Condition Addendum</w:t>
            </w:r>
          </w:p>
          <w:p>
            <w:pPr>
              <w:spacing w:before="80" w:after="80"/>
              <w:jc w:val="left"/>
            </w:pPr>
            <w:r>
              <w:rPr>
                <w:rFonts w:ascii="Arial" w:cs="Arial" w:eastAsia="Arial" w:hAnsi="Arial"/>
                <w:i/>
                <w:iCs/>
                <w:color w:val="2C3E50"/>
                <w:sz w:val="20"/>
                <w:szCs w:val="20"/>
              </w:rPr>
              <w:t xml:space="preserve">"Kriya QuickScan is a self-reported wellness risk tool and does not constitute a medical diagnosis. The risk signals generated are based on your responses and are intended to guide general awareness only. Please consult a qualified healthcare professional for clinical assessment, diagnosis, or treatment."</w:t>
            </w:r>
          </w:p>
          <w:p>
            <w:pPr>
              <w:spacing w:before="60" w:after="120"/>
            </w:pPr>
          </w:p>
          <w:p>
            <w:pPr>
              <w:spacing w:before="80" w:after="80"/>
              <w:jc w:val="left"/>
            </w:pPr>
            <w:r>
              <w:rPr>
                <w:rFonts w:ascii="Arial" w:cs="Arial" w:eastAsia="Arial" w:hAnsi="Arial"/>
                <w:i/>
                <w:iCs/>
                <w:color w:val="C0392B"/>
                <w:sz w:val="20"/>
                <w:szCs w:val="20"/>
              </w:rPr>
              <w:t xml:space="preserve">"This scan does not interpret imaging findings and cannot grade the severity of spondylotic changes on X-ray, CT, or MRI. Spondylotic changes are common findings in adults over 40 and are not always the cause of pain or neurological symptoms. A clinical assessment is required to determine the relevance of imaging findings to your current symptoms."</w:t>
            </w:r>
          </w:p>
        </w:tc>
      </w:tr>
    </w:tbl>
    <w:p>
      <w:pPr>
        <w:spacing w:before="120" w:after="120"/>
      </w:pPr>
    </w:p>
    <w:p>
      <w:pPr>
        <w:pStyle w:val="Heading3"/>
        <w:spacing w:before="240" w:after="80"/>
      </w:pPr>
      <w:r>
        <w:rPr>
          <w:rFonts w:ascii="Arial" w:cs="Arial" w:eastAsia="Arial" w:hAnsi="Arial"/>
          <w:b/>
          <w:bCs/>
          <w:color w:val="2C3E50"/>
          <w:sz w:val="22"/>
          <w:szCs w:val="22"/>
        </w:rPr>
        <w:t xml:space="preserve">2.3  Red Flag Protocol — Spondylosis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Red Flag Symptom</w:t>
            </w:r>
          </w:p>
        </w:tc>
        <w:tc>
          <w:tcPr>
            <w:tcW w:type="dxa" w:w="320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Concern</w:t>
            </w:r>
          </w:p>
        </w:tc>
        <w:tc>
          <w:tcPr>
            <w:tcW w:type="dxa" w:w="2960"/>
            <w:tcBorders>
              <w:top w:val="single" w:color="0D7377" w:sz="1"/>
              <w:left w:val="single" w:color="0D7377" w:sz="1"/>
              <w:bottom w:val="single" w:color="0D7377" w:sz="1"/>
              <w:right w:val="single" w:color="0D7377" w:sz="1"/>
            </w:tcBorders>
            <w:shd w:fill="C0392B"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Required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bladder or bowel control — lumbar spondylosis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 from severe lumbar stenosis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Saddle anaesthesia — groin or inner thigh numbness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Cauda Equina Syndrome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102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Gait disturbance, leg clumsiness, or coordination failure in cervical spondylosis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spondylotic myelopathy — cord compression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urgent neurosurgical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hand weakness or coordination failure with neck pain</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Immediate A&amp;E / urgent neurosurgical referral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Bilateral leg weakness, numbness, or claudication worsening over days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spinal stenosis — CES risk or cord compromise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specialist referral within 24–48 hrs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Back or neck pain with fever, night sweats, unexplained weight loss &gt; 5 kg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infection or malignancy</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A&amp;E / specialist evaluation same 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cancer + new or worsening spinal pain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metastasis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oncology / neurosurgical referral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Severe neck pain after minor trauma with pre-existing cervical spondylosis</w:t>
            </w:r>
          </w:p>
        </w:tc>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Fracture at degenerated vertebral level (higher fracture risk in spondylosis)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Emergency imaging and orthopaedic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Onset of spondylosis-like symptoms in user aged &lt; 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Ankylosing Spondylitis or inflammatory spondyloarthropathy — not degenerative spondylosis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Urgent rheumatology referral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Ankylosing Spondylitis Differentiation Alert — Design Requirement</w:t>
            </w:r>
          </w:p>
          <w:p>
            <w:pPr>
              <w:spacing w:before="80" w:after="80"/>
              <w:jc w:val="left"/>
            </w:pPr>
            <w:r>
              <w:rPr>
                <w:rFonts w:ascii="Arial" w:cs="Arial" w:eastAsia="Arial" w:hAnsi="Arial"/>
                <w:b w:val="false"/>
                <w:bCs w:val="false"/>
                <w:color w:val="1A1A1A"/>
                <w:sz w:val="20"/>
                <w:szCs w:val="20"/>
              </w:rPr>
              <w:t xml:space="preserve">Users aged &lt; 40 who report: (a) back pain onset before age 35; (b) morning stiffness lasting &gt; 60 minutes; (c) improvement with exercise but not rest; (d) pain in the sacroiliac joint area (deep buttock / SI joint) — must trigger an AS Differentiation Alert screen. This is distinct from the OA module's RA Differentiation Alert but follows the same architectural principle. AS is a systemic inflammatory condition requiring rheumatological management, not exercise-based degenerative spine management.</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3.  Persona Definitions</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Three personas spanning the cervical, lumbar, and multi-level spondylosis presentations are defined.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2"/>
                <w:szCs w:val="22"/>
              </w:rPr>
              <w:t xml:space="preserve">Persona 1 — Krishnamurthy, 67  |  The Long-term Lumbar Spondylosis Manager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Retired banker, Chennai. Has had lumbar spondylosis for over 12 years — confirmed on multiple X-rays and one MRI. Currently has daily lower back aching, morning stiffness for about 30 minutes, and increasing difficulty walking more than 200 metres before his legs feel heavy and tired. Has to stop and sit for relief. Manages with analgesics. Has never done a structured exercise programme.</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Referred by his son who uses Kriya. Low-to-moderate digital literacy — may need family support to complete scan.</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if his worsening walking limitation is normal for his condition or a sign of deterioration.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High. Long-standing lumbar spondylosis with classic neurogenic claudication (walking-limited bilateral leg heaviness relieving with sitting) = significant lumbar spinal stenosis signal. Requires specialist evaluation.</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Walking limitation pattern must be captured precisely. Output must address his implicit fear that his condition is deteriorating irreversibly, while clearly recommending specialist review. Route firmly to Kriya Care (seated and supported exercise programme) and orthopaedic/spine specialist referral.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C" w:val="clear"/>
            <w:tcMar>
              <w:top w:type="dxa" w:w="160"/>
              <w:left w:type="dxa" w:w="240"/>
              <w:bottom w:type="dxa" w:w="160"/>
              <w:right w:type="dxa" w:w="240"/>
            </w:tcMar>
          </w:tcPr>
          <w:p>
            <w:pPr>
              <w:spacing w:before="80" w:after="80"/>
              <w:jc w:val="left"/>
            </w:pPr>
            <w:r>
              <w:rPr>
                <w:rFonts w:ascii="Arial" w:cs="Arial" w:eastAsia="Arial" w:hAnsi="Arial"/>
                <w:b/>
                <w:bCs/>
                <w:color w:val="F39C12"/>
                <w:sz w:val="22"/>
                <w:szCs w:val="22"/>
              </w:rPr>
              <w:t xml:space="preserve">Persona 2 — Priya, 54  |  The Cervical Spondylosis &amp; Headache Sufferer</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Senior civil servant, New Delhi. Has had cervical spondylosis for 8 years — C4-C5 and C5-C6 changes on MRI. Main complaint is persistent neck stiffness and chronic bilateral headaches starting from the base of the skull. Occasional right arm tingling lasting a few hours. No walking difficulty or hand coordination problems. Desk-based work for 10+ hours daily.</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Used the Neck Pain QuickScan previously and was cross-recommended to this scan. Moderate digital literacy.</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why her headaches keep coming back and whether her cervical spondylosis is the cause. Concerned about long-term dependency on analgesics.</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Moderate. Cervicogenic headache + cervical spondylosis + intermittent arm tingling = established cervical spondylosis with early radiculopathy signals. No myelopathy signs. Physiotherapy and posture management are the primary interventions.</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Headache association with cervical spondylosis must be acknowledged and explained. Screen-based occupation is the primary modifiable driver. Route to Kriya Care (cervical programme) and Myo AI for headache-spondylosis education.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8449" w:sz="1"/>
              <w:left w:val="single" w:color="1E8449" w:sz="1"/>
              <w:bottom w:val="single" w:color="1E8449" w:sz="1"/>
              <w:right w:val="single" w:color="1E8449" w:sz="1"/>
            </w:tcBorders>
            <w:shd w:fill="EAFAF1" w:val="clear"/>
            <w:tcMar>
              <w:top w:type="dxa" w:w="160"/>
              <w:left w:type="dxa" w:w="240"/>
              <w:bottom w:type="dxa" w:w="160"/>
              <w:right w:type="dxa" w:w="240"/>
            </w:tcMar>
          </w:tcPr>
          <w:p>
            <w:pPr>
              <w:spacing w:before="80" w:after="80"/>
              <w:jc w:val="left"/>
            </w:pPr>
            <w:r>
              <w:rPr>
                <w:rFonts w:ascii="Arial" w:cs="Arial" w:eastAsia="Arial" w:hAnsi="Arial"/>
                <w:b/>
                <w:bCs/>
                <w:color w:val="1E8449"/>
                <w:sz w:val="22"/>
                <w:szCs w:val="22"/>
              </w:rPr>
              <w:t xml:space="preserve">Persona 3 — Harish, 48  |  The Active User with Early Multi-level Changes</w:t>
            </w:r>
          </w:p>
          <w:p>
            <w:pPr>
              <w:spacing w:before="60" w:after="120"/>
            </w:pPr>
          </w:p>
          <w:p>
            <w:pPr>
              <w:spacing w:before="80" w:after="80"/>
              <w:jc w:val="left"/>
            </w:pPr>
            <w:r>
              <w:rPr>
                <w:rFonts w:ascii="Arial" w:cs="Arial" w:eastAsia="Arial" w:hAnsi="Arial"/>
                <w:b/>
                <w:bCs/>
                <w:color w:val="1A1A1A"/>
                <w:sz w:val="20"/>
                <w:szCs w:val="20"/>
              </w:rPr>
              <w:t xml:space="preserve">Profile:</w:t>
            </w:r>
            <w:r>
              <w:rPr>
                <w:rFonts w:ascii="Arial" w:cs="Arial" w:eastAsia="Arial" w:hAnsi="Arial"/>
                <w:b w:val="false"/>
                <w:bCs w:val="false"/>
                <w:color w:val="1A1A1A"/>
                <w:sz w:val="20"/>
                <w:szCs w:val="20"/>
              </w:rPr>
              <w:t xml:space="preserve">  Fitness enthusiast and sales director, Pune. Recent MRI showed 'early multilevel cervical and lumbar spondylotic changes' incidentally during investigation for a sports injury. Has mild neck and back stiffness after exercise but no significant pain at rest, no neurological symptoms. Surprised by the finding — feels healthy and active.</w:t>
            </w:r>
          </w:p>
          <w:p>
            <w:pPr>
              <w:spacing w:before="80" w:after="80"/>
              <w:jc w:val="left"/>
            </w:pPr>
            <w:r>
              <w:rPr>
                <w:rFonts w:ascii="Arial" w:cs="Arial" w:eastAsia="Arial" w:hAnsi="Arial"/>
                <w:b/>
                <w:bCs/>
                <w:color w:val="1A1A1A"/>
                <w:sz w:val="20"/>
                <w:szCs w:val="20"/>
              </w:rPr>
              <w:t xml:space="preserve">Entry Point:</w:t>
            </w:r>
            <w:r>
              <w:rPr>
                <w:rFonts w:ascii="Arial" w:cs="Arial" w:eastAsia="Arial" w:hAnsi="Arial"/>
                <w:b w:val="false"/>
                <w:bCs w:val="false"/>
                <w:color w:val="1A1A1A"/>
                <w:sz w:val="20"/>
                <w:szCs w:val="20"/>
              </w:rPr>
              <w:t xml:space="preserve">  Self-directed after receiving MRI report. High digital literacy. Concerned about progression.</w:t>
            </w:r>
          </w:p>
          <w:p>
            <w:pPr>
              <w:spacing w:before="80" w:after="80"/>
              <w:jc w:val="left"/>
            </w:pPr>
            <w:r>
              <w:rPr>
                <w:rFonts w:ascii="Arial" w:cs="Arial" w:eastAsia="Arial" w:hAnsi="Arial"/>
                <w:b/>
                <w:bCs/>
                <w:color w:val="1A1A1A"/>
                <w:sz w:val="20"/>
                <w:szCs w:val="20"/>
              </w:rPr>
              <w:t xml:space="preserve">Primary Motivation:</w:t>
            </w:r>
            <w:r>
              <w:rPr>
                <w:rFonts w:ascii="Arial" w:cs="Arial" w:eastAsia="Arial" w:hAnsi="Arial"/>
                <w:b w:val="false"/>
                <w:bCs w:val="false"/>
                <w:color w:val="1A1A1A"/>
                <w:sz w:val="20"/>
                <w:szCs w:val="20"/>
              </w:rPr>
              <w:t xml:space="preserve">  Wants to understand whether his active lifestyle is contributing to spondylosis or protecting against it, and what he can do to slow progression.</w:t>
            </w:r>
          </w:p>
          <w:p>
            <w:pPr>
              <w:spacing w:before="80" w:after="80"/>
              <w:jc w:val="left"/>
            </w:pPr>
            <w:r>
              <w:rPr>
                <w:rFonts w:ascii="Arial" w:cs="Arial" w:eastAsia="Arial" w:hAnsi="Arial"/>
                <w:b/>
                <w:bCs/>
                <w:color w:val="1A1A1A"/>
                <w:sz w:val="20"/>
                <w:szCs w:val="20"/>
              </w:rPr>
              <w:t xml:space="preserve">Risk Expectation:</w:t>
            </w:r>
            <w:r>
              <w:rPr>
                <w:rFonts w:ascii="Arial" w:cs="Arial" w:eastAsia="Arial" w:hAnsi="Arial"/>
                <w:b w:val="false"/>
                <w:bCs w:val="false"/>
                <w:color w:val="1A1A1A"/>
                <w:sz w:val="20"/>
                <w:szCs w:val="20"/>
              </w:rPr>
              <w:t xml:space="preserve">  Low to Moderate. Incidental early changes with minimal functional impact — appropriate exercise is the most protective intervention. Classic case for the 'normal ageing in context' messaging and the exercise-as-protection narrative.</w:t>
            </w:r>
          </w:p>
          <w:p>
            <w:pPr>
              <w:spacing w:before="80" w:after="80"/>
              <w:jc w:val="left"/>
            </w:pPr>
            <w:r>
              <w:rPr>
                <w:rFonts w:ascii="Arial" w:cs="Arial" w:eastAsia="Arial" w:hAnsi="Arial"/>
                <w:b/>
                <w:bCs/>
                <w:color w:val="1A1A1A"/>
                <w:sz w:val="20"/>
                <w:szCs w:val="20"/>
              </w:rPr>
              <w:t xml:space="preserve">UX Implication:</w:t>
            </w:r>
            <w:r>
              <w:rPr>
                <w:rFonts w:ascii="Arial" w:cs="Arial" w:eastAsia="Arial" w:hAnsi="Arial"/>
                <w:b w:val="false"/>
                <w:bCs w:val="false"/>
                <w:color w:val="1A1A1A"/>
                <w:sz w:val="20"/>
                <w:szCs w:val="20"/>
              </w:rPr>
              <w:t xml:space="preserve">  Reassurance framing is important — activity is protective, not harmful. Output should address the imaging finding context proactively. Route to Kriya Play Muscle Age and Kriya Care as a preventive maintenance programme.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4.  Question Bank Architecture</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4.1  Clinical Validation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Validated Instrument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Application in QuickScan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 Neck Disability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stream functional impact items — pain, personal care, lifting, work, driving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ODI — Oswestry Disability Index</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stream functional impact items — pain intensity, sitting, standing, walking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NRS Pain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intensity scoring adapted as categorical severity options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LANSS Neuropathic Pain Scale</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quality items for radiculopathy characterisation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Swiss Spinal Stenosis Questionnaire (SSSQ)</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Neurogenic claudication symptoms — walking distance limitation and posture-dependent relief</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Guidelines — Neck Pain and Low Back Pain (NG59 / CKS)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Spondylosis management pathway criteria and referral thresholds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Nurick Scale (conceptual adaptation)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Myelopathy severity items — gait and hand coordination screens</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Korean Pain Assessment Tool (KPAT) — spondylosis items</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pattern and duration items for degenerative spinal conditions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 AxSpA differentiation criteria (ASAS)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Inflammatory back pain criteria for Ankylosing Spondylitis differentiation screen</w:t>
            </w:r>
          </w:p>
        </w:tc>
      </w:tr>
    </w:tbl>
    <w:p>
      <w:pPr>
        <w:spacing w:before="120" w:after="120"/>
      </w:pPr>
    </w:p>
    <w:p>
      <w:pPr>
        <w:pStyle w:val="Heading3"/>
        <w:spacing w:before="240" w:after="80"/>
      </w:pPr>
      <w:r>
        <w:rPr>
          <w:rFonts w:ascii="Arial" w:cs="Arial" w:eastAsia="Arial" w:hAnsi="Arial"/>
          <w:b/>
          <w:bCs/>
          <w:color w:val="2C3E50"/>
          <w:sz w:val="22"/>
          <w:szCs w:val="22"/>
        </w:rPr>
        <w:t xml:space="preserve">4.2  Question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Layer</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Question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CES + Myelopathy + AS Differentiation Screen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screen (identical to LBP/Sciatica/Disc Bulge Q0.1), Cervical Myelopathy screen (identical to Disc Bulge Q0.1 Section B), AS differentiation 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mandatory Q</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Degenerative &amp; Structural Context</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region (stream classifier), diagnosis/imaging confirmation, duration and progression, multi-level involvement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3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Current Symptom &amp; Neurological Profile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character + stiffness pattern, radiculopathy signals (arm/leg), stenosis claudication screen, neurological signs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 questions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Functional Impact &amp; Psychosocial</w:t>
            </w:r>
          </w:p>
        </w:tc>
        <w:tc>
          <w:tcPr>
            <w:tcW w:type="dxa" w:w="4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ADL limitation (stream-matched), activity restriction, fear-avoidance and acceptance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 questions</w:t>
            </w:r>
          </w:p>
        </w:tc>
      </w:tr>
    </w:tbl>
    <w:p>
      <w:pPr>
        <w:spacing w:before="120" w:after="120"/>
      </w:pPr>
    </w:p>
    <w:p>
      <w:pPr>
        <w:pStyle w:val="Heading3"/>
        <w:spacing w:before="240" w:after="80"/>
      </w:pPr>
      <w:r>
        <w:rPr>
          <w:rFonts w:ascii="Arial" w:cs="Arial" w:eastAsia="Arial" w:hAnsi="Arial"/>
          <w:b/>
          <w:bCs/>
          <w:color w:val="2C3E50"/>
          <w:sz w:val="22"/>
          <w:szCs w:val="22"/>
        </w:rPr>
        <w:t xml:space="preserve">4.3  Question Bank — Full Specification</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LAYER 0 — CES + Myelopathy + AS Differentiation Screen  (Mandatory, Non-scored)</w:t>
            </w:r>
          </w:p>
          <w:p>
            <w:pPr>
              <w:spacing w:before="80" w:after="80"/>
              <w:jc w:val="left"/>
            </w:pPr>
            <w:r>
              <w:rPr>
                <w:rFonts w:ascii="Arial" w:cs="Arial" w:eastAsia="Arial" w:hAnsi="Arial"/>
                <w:i/>
                <w:iCs/>
                <w:color w:val="C0392B"/>
                <w:sz w:val="20"/>
                <w:szCs w:val="20"/>
              </w:rPr>
              <w:t xml:space="preserve">Three-part Layer 0: CES screen (Section A — identical to LBP/Sciatica/Disc Bulge Q0.1), Cervical Myelopathy screen (Section B — identical to Disc Bulge Q0.1 Section B), and AS Differentiation gate (Section C — new to this module). Any positive in A or B halts the scan. Positive in C triggers AS Differentiation Alert (does not halt — routes to specialist with AS context).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Q0.1  — Three-Part Emergency &amp; Differentiation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Section A — CES Screen (Lumbar)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[Multi-select — identical wording to Low Back Pain, Sciatica, and Disc Bulge Q0.1 Section 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A1</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Loss of control over bladder or bowels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Numbness or tingling in the groin, inner thighs, or between the legs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A3</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Sudden severe weakness in both legs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any A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Cauda Equina Emergency Screen (A&amp;E / 102 immediately)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Section B — Cervical Myelopathy Screen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"Also check: are you experiencing any of the following?" [Multi-select — identical to Disc Bulge Q0.1 Section 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walking — legs feel clumsy, unsteady, or you are tripping more than usual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B2</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Difficulty with fine hand movements — fumbling with buttons, keys, or small objects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Weakness or heaviness in both arms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B4</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Shock-like sensation down the spine when you bend your neck forward (Lhermitte's 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any B positive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Cervical Myelopathy Emergency Screen (A&amp;E / urgent neurosurgical referral)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Section C — AS Differentiation Gate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your back pain fit this pattern?" [Yes / No / Not sure] — 'My back pain started before age 35, is worst in the morning (lasting more than 60 minutes), improves with movement or exercise, does not improve much with rest, and I sometimes feel pain deep in one or both buttocks'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C = Yes or Not 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Alert triggered — scan continues but output includes AS referral note: 'Your pain pattern may be consistent with inflammatory spinal arthritis (such as Ankylosing Spondylitis) rather than degenerative spondylosis. We recommend a rheumatology assessment alongside this evaluation.'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all negative / No</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Q0.2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NICE NG59 (identical across 4 modules); Myelopathy: Nurick + Lhermitte (identical to Disc Bulge); AS: ASAS inflammatory back pain criteria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Q0.2  — Systemic &amp; Progressive Neurological Red Flag Screen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"Are you currently experiencing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bilateral leg or arm weakness worsening over 48–72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Fever, significant night sweats, or unexplained weight loss &gt; 5 kg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history of cancer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pain following a fall or trauma with known spondylosis (higher fracture risk)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Progressive Neurological Deficit Urgent Screen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B, C or D</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HALT → Systemic / Trauma Urgent Referral 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If 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Proceed to Layer 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NG59; NASS guidelines for degenerative spine red flags; fracture risk in osteoporotic/spondylotic spine</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1 — Degenerative &amp; Structural Context  (Scored — ~40%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Q1.1  — Spinal Region &amp; Stream Classifier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part of your spine does your spondylosis affect?"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Neck (cervical spine) — spondylosis in the neck or upper back [CERVICAL_STREAM]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Lower back (lumbar spine) — spondylosis in the lower back [LUMBAR_STREAM]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 neck and lower back — multi-level or multi-region spondylosis [BOTH_STREAMS]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Mid-back (thoracic spine) — I am not sure / doctor mentioned the middle back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Stream Classification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 → CERVICAL_STREAM; B → LUMBAR_STREAM; C → BOTH_STREAMS (+1 risk modifier); D → defaults to LUMBAR_STREAM with thoracic note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Pre-population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Pain QuickScan Degenerative tag → pre-selects LUMBAR_STREAM; Neck Pain QuickScan Cervical Radiculopathy tag → pre-selects CERVICAL_STREAM; Disc Bulge Multi-level tag → pre-selects BOTH_STREAMS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spinal region classification; cross-module stream alignment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Q1.2  — Diagnosis Confirmation &amp; Duration</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of the following describes your spondylosis history?"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formally diagnosed with spondylosis by a doctor or specialist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Spondylosis or spinal degeneration was mentioned in my X-ray or MRI report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doctor told me my spine is showing signs of ageing or wear, but I have not had imaging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spondylosis for more than 5 years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spondylosis for more than 10 years, or my degeneration is described as moderate to severe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imaging showed changes at more than one spinal level (multi-level)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G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am not sure if I have spondylosis but suspect I might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 +1 additional modifier; set LONG_DURATION flag; Option F → set MULTILEVEL flag; MULTILEVEL + BOTH_STREAMS → combined degenerative burden flag; Options D + E together → Established Spondylosis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diagnosis confirmation framework; NASS degenerative spine staging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Q1.3  — Progression &amp; Co-existing Spinal Conditions</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any of the following apply to your condition?"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symptoms have been getting gradually worse over the past 6–12 months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been told I also have a disc bulge or disc herniation alongside spondylosis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previously had sciatica or radiating arm/leg pain related to my spine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osteoporosis or low bone density alongside my spinal degeneration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had one or more spinal injections (steroid, nerve block) in the past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F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 set PROGRESSIVE_TREND flag; +1 modifier; Option B → Disc + Spondylosis Composite tag; cross-link Disc Bulge scan highlighted in output; Option C → Prior Radiculopathy tag; Options D + A together → elevated fracture risk flag; Option E → Prior Injection tag (surfaced in output as care history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comorbidity profiling; NASS composite degenerative disease assessment</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2 — Current Symptom &amp; Neurological Profile  (Scored — ~35%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Q2.1  — Pain Pattern &amp; Stiffness Character</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"Which best describes your current spinal pain and stiffness?" [Select up to 2]</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dull ache or stiffness — present most days, worst in the morning or after rest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Pain that worsens with prolonged activity (standing, walking, sitting for long periods) and improves with rest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Sharp or burning pain that radiates — into the arm (cervical) or leg (lumbar)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Clicking, grinding, or crepitus sensation when moving the neck or lower back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Headaches originating from the base of the skull — associated with neck stiffness (cervicogenic headache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 set RADICULOPATHY_SIGNAL flag; triggers Q2.2 (radiation extent); Option E with CERVICAL_STREAM → Cervicogenic Headache tag; +1 modifier; Option D → Facet Crepitus tag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NICE CKS neck pain and back pain pattern recognition; NDI and ODI pain character items; cervicogenic headache clinical criteria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Q2.2  — Radiculopathy — Arm or Leg Radiation  (Triggered if Q2.1 Option C selected)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(CERVICAL_STREAM)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does the pain or tingling travel into your 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shoulder or upper arm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elbow — into the forearm</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hand or fingers — including specific finger tingling or numbness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(LUMBAR_STREAM)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"Where does the pain or tingling travel into your leg?"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A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Into the buttock or upper thigh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B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Below the knee — into the calf or lower leg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Option C (3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the way to the foot or toes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Options C (both streams) → Foraminal Radiculopathy tag; +1 modifier; hard floor MODERATE RISK; aligns with Sciatica Q1.2 and Disc Bulge Q2.1 for cross-module consistency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PRD Q1.2 (aligned); Disc Bulge PRD Q2.1 (aligned); dermatomal mapping self-report adaptation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Q2.3  — Neurogenic Claudication Screen  (Lumbar Stream — Stenosis Signal)</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"Does this describe your leg symptoms?" [Shown to LUMBAR_STREAM and BOTH_STREAMS users]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A</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I walk, my legs develop pain, heaviness, or tingling after a predictable distance — and I have to stop and rest." — Yes / No / Sometimes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B (if Part A = Yes or Sometimes)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"When I stop walking, does the pain or heaviness in your legs go away more easily when you: (a) Sit down or lean forward — or (b) Simply stand still?"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Stenosis Signal Logic</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A Yes + Part B Option (a) = sit/lean forward relief → strong neurogenic claudication signal (Spinal Stenosis candidate)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Claudication Distinction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A Yes + Part B Option (b) = stand still relieves → more consistent with vascular claudication — adds note: 'Your walking pattern may warrant a vascular check alongside your spinal assessment'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Neurogenic claudication signal → set STENOSIS_SIGNAL flag; +2 risk modifier; hard floor HIGH RISK if combined with LONG_DURATION or MULTILEVEL flag; vascular flag → Vascular Claudication Note added to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Swiss Spinal Stenosis Questionnaire (SSSQ) walking impairment sub-scale; neurogenic vs vascular claudication differentiation criteria; NICE NG59 stenosis recognition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Q2.4  — Neurological Signs  (Motor + Sensory)</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"Do you currently have any of the following?" [Multi-select]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Persistent tingling or numbness in part of the arm, hand, leg, or foot — not just occasional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numbness — an area that feels completely numb or 'wooden'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Mild weakness — the arm or leg feels slightly weaker than normal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Moderate to significant weakness — difficulty with specific movements (grip, foot lift, climbing stairs)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E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None of the above — pain only, no numbness or weakness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 SIGNIFICANT_SENSORY flag; +1 modifier; Options C or D → MOTOR_SIGN flag; hard floor HIGH RISK for Option D; aligns with Sciatica Q2.1 + Q2.2 and Disc Bulge Q2.2 for cross-module consistency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PRD Q2.1 + Q2.2 (aligned wording); Disc Bulge PRD Q2.2 (aligned); clinical motor and sensory assessment adaptation</w:t>
            </w:r>
          </w:p>
        </w:tc>
      </w:tr>
    </w:tbl>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2F3F4" w:val="clear"/>
            <w:tcMar>
              <w:top w:type="dxa" w:w="160"/>
              <w:left w:type="dxa" w:w="240"/>
              <w:bottom w:type="dxa" w:w="160"/>
              <w:right w:type="dxa" w:w="240"/>
            </w:tcMar>
          </w:tcPr>
          <w:p>
            <w:pPr>
              <w:spacing w:before="80" w:after="80"/>
              <w:jc w:val="left"/>
            </w:pPr>
            <w:r>
              <w:rPr>
                <w:rFonts w:ascii="Arial" w:cs="Arial" w:eastAsia="Arial" w:hAnsi="Arial"/>
                <w:b/>
                <w:bCs/>
                <w:color w:val="2C3E50"/>
                <w:sz w:val="20"/>
                <w:szCs w:val="20"/>
              </w:rPr>
              <w:t xml:space="preserve">LAYER 3 — Functional Impact &amp; Psychosocial  (Scored — ~25% weight)</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Q3.1  — Daily Functional Limitation  (Stream-Matched)</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"In the past 2 weeks, how much has your spondylosis affected your ability to do the following?" [Rate each: Not at all / A little / Quite a bit / Cannot do]</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(CERVICAL)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Turning your head fully to look sideways or over your shoulder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(CERVICAL)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Using a phone, reading, or working at a desk or screen without neck pain or headache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A (LUMBAR)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Walking on flat ground for more than 200 metres before needing to stop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B (LUMBAR)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Bending forward or squatting for daily tasks — household work, putting on footwear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Sub-item C (BOTH)</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Work performance — has your spine condition significantly affected your ability to do your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 at all = 0, A little = 1, Quite a bit = 2, Cannot do = 3; stream-appropriate sub-items shown; max sub-score = 9</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Sub-score ≥ 6 → +2 risk modifier; Sub-item A (Lumbar) 'Cannot do' walking 200m → STENOSIS_SIGNAL reinforced; Sub-item A (Cervical) 'Cannot do' head rotation → Cervical Mobility Limitation tag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NDI Q9 (driving), Q6 (concentration/work) — cervical; ODI Q4 (walking), Q5 (sitting), Q6 (standing) — lumbar; SSSQ walking impairment items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Q3.2  — Acceptance, Activity &amp; Psychosocial Context</w:t>
            </w:r>
          </w:p>
        </w:tc>
        <w:tc>
          <w:tcPr>
            <w:tcW w:type="dxa" w:w="6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"Thinking about your spondylosis, which statement feels closest to how you feel?"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understand it is a long-term condition and focus on staying as active and functional as 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largely accepted it but feel uncertain about what I should and should not be doing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tend to limit my activity significantly because I am worried about making the degeneration worse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D (3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 spinal condition significantly affects my mood, independence, and sense of what I can do in life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Question Text — Part B</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"Has your activity level changed because of spondylosis?"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A (0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remain as active as I can — I exercise regularly despite the condition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B (1 pt)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reduced activity somewhat as a precaution or due to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Option C (2 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 have significantly reduced physical activity — concerned about worsening the condition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Branching Rule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Part A Option C or D → Psychosocial Risk flag; +2 modifier; combined with LONG_DURATION flag → Chronic Deconditioning Risk tag; critical for Kriya Care programme framing (acceptance and commitment to exercise despite spondylosis)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Source Instrument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STarT Back psychosocial items; acceptance and action framing from ACT-based chronic pain literature; ODI and NDI work and lifestyle disruption items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5.  Risk Stratification Matrix</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5.1  Scoring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Component</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Max 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 Non-scored gate (AS flag continues; does not halt)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Q1.1 Stream Classifier (BOTH_STREAMS modifier)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base + up to +1</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Q1.2 Diagnosis Confirmation &amp; Duration (multi-select)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8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1 — Q1.3 Progression &amp; Co-existing Conditions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 (+1 PROGRESSIVE modifier)</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Q2.1 Pain Pattern &amp; Stiffness (up to 2 selections)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4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Q2.2 Radiculopathy Extent (if triggered)</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3 pts (conditional)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Q2.3 Neurogenic Claudication Screen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+2 pts (STENOSIS_SIGNAL modifier)</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2 — Q2.4 Neurological Signs (multi-select)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7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Q3.1 Functional Limitation (sub-score)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9 pts</w:t>
            </w:r>
          </w:p>
        </w:tc>
      </w:tr>
      <w:tr>
        <w:tc>
          <w:tcPr>
            <w:tcW w:type="dxa" w:w="5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3 — Q3.2 Psychosocial &amp; Activity Context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up to 5 pts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~42 pts possible (degenerative + functional hybrid)</w:t>
            </w:r>
          </w:p>
        </w:tc>
      </w:tr>
    </w:tbl>
    <w:p>
      <w:pPr>
        <w:spacing w:before="120" w:after="120"/>
      </w:pPr>
    </w:p>
    <w:p>
      <w:pPr>
        <w:pStyle w:val="Heading3"/>
        <w:spacing w:before="240" w:after="80"/>
      </w:pPr>
      <w:r>
        <w:rPr>
          <w:rFonts w:ascii="Arial" w:cs="Arial" w:eastAsia="Arial" w:hAnsi="Arial"/>
          <w:b/>
          <w:bCs/>
          <w:color w:val="2C3E50"/>
          <w:sz w:val="22"/>
          <w:szCs w:val="22"/>
        </w:rPr>
        <w:t xml:space="preserve">5.2  Risk Tier Definitions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Risk Tier</w:t>
            </w:r>
          </w:p>
        </w:tc>
        <w:tc>
          <w:tcPr>
            <w:tcW w:type="dxa" w:w="1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 Range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Clinical 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 – 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Early or mild spondylosis with minimal clinical impact. Short duration, single region, no radiculopathy signals, no neurological signs, limited functional restriction. May be incidental or early-stage finding. Exercise is protective — structured spinal strengthening programme indicated as primary intervention. Reassurance and activity promotion are the key messages.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 – 22</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spondylosis with meaningful symptom burden. Multi-year duration, possible multi-level involvement, radiculopathy signals or cervicogenic headaches present. Functional limitation in daily activities. Physiotherapy-guided management and specialist review are appropriate. Structured exercise programme with clinical guidance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any hard flag*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Significant spondylosis burden with neurological compromise or severe functional limitation. Neurogenic claudication, motor weakness, multi-level disease with progressive symptoms, or major psychosocial burden. Specialist orthopaedic/neurosurgical evaluation required. Imaging review and clinical management plan needed.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160"/>
              <w:left w:type="dxa" w:w="240"/>
              <w:bottom w:type="dxa" w:w="160"/>
              <w:right w:type="dxa" w:w="240"/>
            </w:tcMar>
          </w:tcPr>
          <w:p>
            <w:pPr>
              <w:spacing w:before="80" w:after="80"/>
              <w:jc w:val="left"/>
            </w:pPr>
            <w:r>
              <w:rPr>
                <w:rFonts w:ascii="Arial" w:cs="Arial" w:eastAsia="Arial" w:hAnsi="Arial"/>
                <w:b/>
                <w:bCs/>
                <w:color w:val="C0392B"/>
                <w:sz w:val="20"/>
                <w:szCs w:val="20"/>
              </w:rPr>
              <w:t xml:space="preserve">Hard Flag Rules  (*)</w:t>
            </w:r>
          </w:p>
          <w:p>
            <w:pPr>
              <w:pStyle w:val="ListParagraph"/>
              <w:numPr>
                <w:ilvl w:val="0"/>
                <w:numId w:val="2"/>
              </w:numPr>
              <w:spacing w:before="60" w:after="60"/>
            </w:pPr>
            <w:r>
              <w:rPr>
                <w:rFonts w:ascii="Arial" w:cs="Arial" w:eastAsia="Arial" w:hAnsi="Arial"/>
                <w:b/>
                <w:bCs/>
                <w:color w:val="1A1A1A"/>
                <w:sz w:val="22"/>
                <w:szCs w:val="22"/>
              </w:rPr>
              <w:t xml:space="preserve">Q2.4 Option D (moderate-significant motor weakness)</w:t>
            </w:r>
            <w:r>
              <w:rPr>
                <w:rFonts w:ascii="Arial" w:cs="Arial" w:eastAsia="Arial" w:hAnsi="Arial"/>
                <w:b w:val="false"/>
                <w:bCs w:val="false"/>
                <w:color w:val="1A1A1A"/>
                <w:sz w:val="20"/>
                <w:szCs w:val="20"/>
              </w:rPr>
              <w:t xml:space="preserve"> → hard floor HIGH RISK</w:t>
            </w:r>
          </w:p>
          <w:p>
            <w:pPr>
              <w:pStyle w:val="ListParagraph"/>
              <w:numPr>
                <w:ilvl w:val="0"/>
                <w:numId w:val="2"/>
              </w:numPr>
              <w:spacing w:before="60" w:after="60"/>
            </w:pPr>
            <w:r>
              <w:rPr>
                <w:rFonts w:ascii="Arial" w:cs="Arial" w:eastAsia="Arial" w:hAnsi="Arial"/>
                <w:b/>
                <w:bCs/>
                <w:color w:val="1A1A1A"/>
                <w:sz w:val="22"/>
                <w:szCs w:val="22"/>
              </w:rPr>
              <w:t xml:space="preserve">Q2.3 STENOSIS_SIGNAL flag + Q1.2 Options D or E (&gt; 5 years + severe)</w:t>
            </w:r>
            <w:r>
              <w:rPr>
                <w:rFonts w:ascii="Arial" w:cs="Arial" w:eastAsia="Arial" w:hAnsi="Arial"/>
                <w:b w:val="false"/>
                <w:bCs w:val="false"/>
                <w:color w:val="1A1A1A"/>
                <w:sz w:val="20"/>
                <w:szCs w:val="20"/>
              </w:rPr>
              <w:t xml:space="preserve"> → hard floor HIGH RISK</w:t>
            </w:r>
          </w:p>
          <w:p>
            <w:pPr>
              <w:pStyle w:val="ListParagraph"/>
              <w:numPr>
                <w:ilvl w:val="0"/>
                <w:numId w:val="2"/>
              </w:numPr>
              <w:spacing w:before="60" w:after="60"/>
            </w:pPr>
            <w:r>
              <w:rPr>
                <w:rFonts w:ascii="Arial" w:cs="Arial" w:eastAsia="Arial" w:hAnsi="Arial"/>
                <w:b/>
                <w:bCs/>
                <w:color w:val="1A1A1A"/>
                <w:sz w:val="22"/>
                <w:szCs w:val="22"/>
              </w:rPr>
              <w:t xml:space="preserve">BOTH_STREAMS + MULTILEVEL + PROGRESSIVE_TREND</w:t>
            </w:r>
            <w:r>
              <w:rPr>
                <w:rFonts w:ascii="Arial" w:cs="Arial" w:eastAsia="Arial" w:hAnsi="Arial"/>
                <w:b w:val="false"/>
                <w:bCs w:val="false"/>
                <w:color w:val="1A1A1A"/>
                <w:sz w:val="20"/>
                <w:szCs w:val="20"/>
              </w:rPr>
              <w:t xml:space="preserve"> → hard floor HIGH RISK — tri-factor degenerative burden</w:t>
            </w:r>
          </w:p>
          <w:p>
            <w:pPr>
              <w:pStyle w:val="ListParagraph"/>
              <w:numPr>
                <w:ilvl w:val="0"/>
                <w:numId w:val="2"/>
              </w:numPr>
              <w:spacing w:before="60" w:after="60"/>
            </w:pPr>
            <w:r>
              <w:rPr>
                <w:rFonts w:ascii="Arial" w:cs="Arial" w:eastAsia="Arial" w:hAnsi="Arial"/>
                <w:b/>
                <w:bCs/>
                <w:color w:val="1A1A1A"/>
                <w:sz w:val="22"/>
                <w:szCs w:val="22"/>
              </w:rPr>
              <w:t xml:space="preserve">Q2.2 Option C (foot/finger radiculopathy)</w:t>
            </w:r>
            <w:r>
              <w:rPr>
                <w:rFonts w:ascii="Arial" w:cs="Arial" w:eastAsia="Arial" w:hAnsi="Arial"/>
                <w:b w:val="false"/>
                <w:bCs w:val="false"/>
                <w:color w:val="1A1A1A"/>
                <w:sz w:val="20"/>
                <w:szCs w:val="20"/>
              </w:rPr>
              <w:t xml:space="preserve"> → hard floor MODERATE RISK — foraminal compression signal</w:t>
            </w:r>
          </w:p>
          <w:p>
            <w:pPr>
              <w:pStyle w:val="ListParagraph"/>
              <w:numPr>
                <w:ilvl w:val="0"/>
                <w:numId w:val="2"/>
              </w:numPr>
              <w:spacing w:before="60" w:after="60"/>
            </w:pPr>
            <w:r>
              <w:rPr>
                <w:rFonts w:ascii="Arial" w:cs="Arial" w:eastAsia="Arial" w:hAnsi="Arial"/>
                <w:b/>
                <w:bCs/>
                <w:color w:val="1A1A1A"/>
                <w:sz w:val="22"/>
                <w:szCs w:val="22"/>
              </w:rPr>
              <w:t xml:space="preserve">AS Differentiation Alert from Q0.1 Section C</w:t>
            </w:r>
            <w:r>
              <w:rPr>
                <w:rFonts w:ascii="Arial" w:cs="Arial" w:eastAsia="Arial" w:hAnsi="Arial"/>
                <w:b w:val="false"/>
                <w:bCs w:val="false"/>
                <w:color w:val="1A1A1A"/>
                <w:sz w:val="20"/>
                <w:szCs w:val="20"/>
              </w:rPr>
              <w:t xml:space="preserve"> → does not halt scan but adds AS referral note to ALL output tiers regardless of risk score</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6.  Severity Routing Engine</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Spondylosis routing introduces the </w:t>
      </w:r>
      <w:r>
        <w:rPr>
          <w:rFonts w:ascii="Arial" w:cs="Arial" w:eastAsia="Arial" w:hAnsi="Arial"/>
          <w:b/>
          <w:bCs/>
          <w:color w:val="1A1A1A"/>
          <w:sz w:val="22"/>
          <w:szCs w:val="22"/>
        </w:rPr>
        <w:t xml:space="preserve">'Exercise as Protection' card</w:t>
      </w:r>
      <w:r>
        <w:rPr>
          <w:rFonts w:ascii="Arial" w:cs="Arial" w:eastAsia="Arial" w:hAnsi="Arial"/>
          <w:b w:val="false"/>
          <w:bCs w:val="false"/>
          <w:color w:val="1A1A1A"/>
          <w:sz w:val="22"/>
          <w:szCs w:val="22"/>
        </w:rPr>
        <w:t xml:space="preserve"> — a mandatory output element at all tiers that counters the prevalent clinical nihilism ('nothing can be done for spondylosis') with the evidence-based message that exercise slows degeneration and maintains function. This is the module's equivalent of the Disc Bulge Imaging Context Card and the Sciatica Rest vs Movement card — the defining clinical communication design challenge of the condition.</w:t>
      </w:r>
    </w:p>
    <w:p>
      <w:pPr>
        <w:spacing w:before="120" w:after="120"/>
      </w:pPr>
    </w:p>
    <w:p>
      <w:pPr>
        <w:pStyle w:val="Heading3"/>
        <w:spacing w:before="240" w:after="80"/>
      </w:pPr>
      <w:r>
        <w:rPr>
          <w:rFonts w:ascii="Arial" w:cs="Arial" w:eastAsia="Arial" w:hAnsi="Arial"/>
          <w:b/>
          <w:bCs/>
          <w:color w:val="2C3E50"/>
          <w:sz w:val="22"/>
          <w:szCs w:val="22"/>
        </w:rPr>
        <w:t xml:space="preserve">6.1  Routing Logic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Tier</w:t>
            </w:r>
          </w:p>
        </w:tc>
        <w:tc>
          <w:tcPr>
            <w:tcW w:type="dxa" w:w="2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Score</w:t>
            </w:r>
          </w:p>
        </w:tc>
        <w:tc>
          <w:tcPr>
            <w:tcW w:type="dxa" w:w="2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Primary Route</w:t>
            </w:r>
          </w:p>
        </w:tc>
        <w:tc>
          <w:tcPr>
            <w:tcW w:type="dxa" w:w="2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Secondary Route</w:t>
            </w:r>
          </w:p>
        </w:tc>
      </w:tr>
      <w:tr>
        <w:tc>
          <w:tcPr>
            <w:tcW w:type="dxa" w:w="20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bCs/>
                <w:color w:val="1E8449"/>
                <w:sz w:val="20"/>
                <w:szCs w:val="20"/>
              </w:rPr>
              <w:t xml:space="preserve">LOW RISK</w:t>
            </w:r>
          </w:p>
        </w:tc>
        <w:tc>
          <w:tcPr>
            <w:tcW w:type="dxa" w:w="22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0–10</w:t>
            </w:r>
          </w:p>
        </w:tc>
        <w:tc>
          <w:tcPr>
            <w:tcW w:type="dxa" w:w="26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Play — Muscle Age + Muscle Memory (spinal mobility and core stability games)</w:t>
            </w:r>
          </w:p>
        </w:tc>
        <w:tc>
          <w:tcPr>
            <w:tcW w:type="dxa" w:w="2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Protection card + reassurance: incidental finding context if applicable</w:t>
            </w:r>
          </w:p>
        </w:tc>
      </w:tr>
      <w:tr>
        <w:tc>
          <w:tcPr>
            <w:tcW w:type="dxa" w:w="20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bCs/>
                <w:color w:val="F39C12"/>
                <w:sz w:val="20"/>
                <w:szCs w:val="20"/>
              </w:rPr>
              <w:t xml:space="preserve">MODERATE RISK</w:t>
            </w:r>
          </w:p>
        </w:tc>
        <w:tc>
          <w:tcPr>
            <w:tcW w:type="dxa" w:w="22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11–22</w:t>
            </w:r>
          </w:p>
        </w:tc>
        <w:tc>
          <w:tcPr>
            <w:tcW w:type="dxa" w:w="260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Spondylosis Management Programme (stream-matched) + physiotherapy referral prompt</w:t>
            </w:r>
          </w:p>
        </w:tc>
        <w:tc>
          <w:tcPr>
            <w:tcW w:type="dxa" w:w="2560"/>
            <w:tcBorders>
              <w:top w:val="single" w:color="CCCCCC" w:sz="1"/>
              <w:left w:val="single" w:color="CCCCCC" w:sz="1"/>
              <w:bottom w:val="single" w:color="CCCCCC" w:sz="1"/>
              <w:right w:val="single" w:color="CCCCCC" w:sz="1"/>
            </w:tcBorders>
            <w:shd w:fill="FEF9EC"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for spondylosis education + Disc Bulge scan cross-recommendation + DeepScan invitation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HIGH RISK</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23+ or Hard Flag</w:t>
            </w:r>
          </w:p>
        </w:tc>
        <w:tc>
          <w:tcPr>
            <w:tcW w:type="dxa" w:w="2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Specialist orthopaedic/neurosurgical referral + Kriya Care while awaiting appointment</w:t>
            </w:r>
          </w:p>
        </w:tc>
        <w:tc>
          <w:tcPr>
            <w:tcW w:type="dxa" w:w="25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Myo AI + DeepScan strongly recommended; imaging review discussion note</w:t>
            </w:r>
          </w:p>
        </w:tc>
      </w:tr>
      <w:tr>
        <w:tc>
          <w:tcPr>
            <w:tcW w:type="dxa" w:w="20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RED FLAG</w:t>
            </w:r>
          </w:p>
        </w:tc>
        <w:tc>
          <w:tcPr>
            <w:tcW w:type="dxa" w:w="22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Layer 0 positive</w:t>
            </w:r>
          </w:p>
        </w:tc>
        <w:tc>
          <w:tcPr>
            <w:tcW w:type="dxa" w:w="260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bCs/>
                <w:color w:val="C0392B"/>
                <w:sz w:val="20"/>
                <w:szCs w:val="20"/>
              </w:rPr>
              <w:t xml:space="preserve">Emergency screens</w:t>
            </w:r>
            <w:r>
              <w:rPr>
                <w:rFonts w:ascii="Arial" w:cs="Arial" w:eastAsia="Arial" w:hAnsi="Arial"/>
                <w:b w:val="false"/>
                <w:bCs w:val="false"/>
                <w:color w:val="1A1A1A"/>
                <w:sz w:val="20"/>
                <w:szCs w:val="20"/>
              </w:rPr>
              <w:t xml:space="preserve">: CES (A&amp;E), Cervical Myelopathy (A&amp;E), Progressive Deficit (urgent), Systemic/Trauma (urgent) — 4 variants</w:t>
            </w:r>
          </w:p>
        </w:tc>
        <w:tc>
          <w:tcPr>
            <w:tcW w:type="dxa" w:w="2560"/>
            <w:tcBorders>
              <w:top w:val="single" w:color="C0392B" w:sz="1"/>
              <w:left w:val="single" w:color="C0392B" w:sz="1"/>
              <w:bottom w:val="single" w:color="C0392B" w:sz="1"/>
              <w:right w:val="single" w:color="C0392B" w:sz="1"/>
            </w:tcBorders>
            <w:shd w:fill="FFE5E5"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halted. AS Alert continues — does not halt scan, adds rheumatology note to output</w:t>
            </w:r>
          </w:p>
        </w:tc>
      </w:tr>
    </w:tbl>
    <w:p>
      <w:pPr>
        <w:spacing w:before="120" w:after="120"/>
      </w:pPr>
    </w:p>
    <w:p>
      <w:pPr>
        <w:pStyle w:val="Heading3"/>
        <w:spacing w:before="240" w:after="80"/>
      </w:pPr>
      <w:r>
        <w:rPr>
          <w:rFonts w:ascii="Arial" w:cs="Arial" w:eastAsia="Arial" w:hAnsi="Arial"/>
          <w:b/>
          <w:bCs/>
          <w:color w:val="2C3E50"/>
          <w:sz w:val="22"/>
          <w:szCs w:val="22"/>
        </w:rPr>
        <w:t xml:space="preserve">6.2  Exercise as Protection Card — Mandatory at All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'Exercise as Protection' — Clinical Messaging Design</w:t>
            </w:r>
          </w:p>
          <w:p>
            <w:pPr>
              <w:spacing w:before="80" w:after="80"/>
              <w:jc w:val="left"/>
            </w:pPr>
            <w:r>
              <w:rPr>
                <w:rFonts w:ascii="Arial" w:cs="Arial" w:eastAsia="Arial" w:hAnsi="Arial"/>
                <w:b w:val="false"/>
                <w:bCs w:val="false"/>
                <w:color w:val="1A1A1A"/>
                <w:sz w:val="20"/>
                <w:szCs w:val="20"/>
              </w:rPr>
              <w:t xml:space="preserve">The single most harmful belief among Indian spondylosis patients is that exercise will worsen their degeneration. This card must appear at all three risk tiers, calibrated to tier:</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LOW RISK:</w:t>
            </w:r>
            <w:r>
              <w:rPr>
                <w:rFonts w:ascii="Arial" w:cs="Arial" w:eastAsia="Arial" w:hAnsi="Arial"/>
                <w:b w:val="false"/>
                <w:bCs w:val="false"/>
                <w:color w:val="1A1A1A"/>
                <w:sz w:val="20"/>
                <w:szCs w:val="20"/>
              </w:rPr>
              <w:t xml:space="preserve">  "Exercise is the most powerful protection against spondylosis progression. Strong muscles around your spine reduce load on the discs and joints — your active lifestyle is one of the best things you can do for your spine long-term."</w:t>
            </w:r>
          </w:p>
          <w:p>
            <w:pPr>
              <w:pStyle w:val="ListParagraph"/>
              <w:numPr>
                <w:ilvl w:val="0"/>
                <w:numId w:val="2"/>
              </w:numPr>
              <w:spacing w:before="60" w:after="60"/>
            </w:pPr>
            <w:r>
              <w:rPr>
                <w:rFonts w:ascii="Arial" w:cs="Arial" w:eastAsia="Arial" w:hAnsi="Arial"/>
                <w:b/>
                <w:bCs/>
                <w:color w:val="1A1A1A"/>
                <w:sz w:val="22"/>
                <w:szCs w:val="22"/>
              </w:rPr>
              <w:t xml:space="preserve">MODERATE RISK:</w:t>
            </w:r>
            <w:r>
              <w:rPr>
                <w:rFonts w:ascii="Arial" w:cs="Arial" w:eastAsia="Arial" w:hAnsi="Arial"/>
                <w:b w:val="false"/>
                <w:bCs w:val="false"/>
                <w:color w:val="1A1A1A"/>
                <w:sz w:val="20"/>
                <w:szCs w:val="20"/>
              </w:rPr>
              <w:t xml:space="preserve">  "Exercise — the right kind, guided by a physiotherapist — is the most evidence-based intervention for spondylosis management. Avoiding movement actually accelerates degeneration. Kriya Care is designed specifically for your stage of spondylosis."</w:t>
            </w:r>
          </w:p>
          <w:p>
            <w:pPr>
              <w:pStyle w:val="ListParagraph"/>
              <w:numPr>
                <w:ilvl w:val="0"/>
                <w:numId w:val="2"/>
              </w:numPr>
              <w:spacing w:before="60" w:after="60"/>
            </w:pPr>
            <w:r>
              <w:rPr>
                <w:rFonts w:ascii="Arial" w:cs="Arial" w:eastAsia="Arial" w:hAnsi="Arial"/>
                <w:b/>
                <w:bCs/>
                <w:color w:val="1A1A1A"/>
                <w:sz w:val="22"/>
                <w:szCs w:val="22"/>
              </w:rPr>
              <w:t xml:space="preserve">HIGH RISK:</w:t>
            </w:r>
            <w:r>
              <w:rPr>
                <w:rFonts w:ascii="Arial" w:cs="Arial" w:eastAsia="Arial" w:hAnsi="Arial"/>
                <w:b w:val="false"/>
                <w:bCs w:val="false"/>
                <w:color w:val="1A1A1A"/>
                <w:sz w:val="20"/>
                <w:szCs w:val="20"/>
              </w:rPr>
              <w:t xml:space="preserve">  "While awaiting your specialist assessment, gentle movement within your comfort level is generally beneficial. Your physiotherapist or specialist will guide the appropriate exercise level for your current neurological status."</w:t>
            </w:r>
          </w:p>
          <w:p>
            <w:pPr>
              <w:pStyle w:val="ListParagraph"/>
              <w:numPr>
                <w:ilvl w:val="0"/>
                <w:numId w:val="2"/>
              </w:numPr>
              <w:spacing w:before="60" w:after="60"/>
            </w:pPr>
            <w:r>
              <w:rPr>
                <w:rFonts w:ascii="Arial" w:cs="Arial" w:eastAsia="Arial" w:hAnsi="Arial"/>
                <w:b/>
                <w:bCs/>
                <w:color w:val="1A1A1A"/>
                <w:sz w:val="22"/>
                <w:szCs w:val="22"/>
              </w:rPr>
              <w:t xml:space="preserve">Exception — motor sign caveat:</w:t>
            </w:r>
            <w:r>
              <w:rPr>
                <w:rFonts w:ascii="Arial" w:cs="Arial" w:eastAsia="Arial" w:hAnsi="Arial"/>
                <w:b w:val="false"/>
                <w:bCs w:val="false"/>
                <w:color w:val="1A1A1A"/>
                <w:sz w:val="20"/>
                <w:szCs w:val="20"/>
              </w:rPr>
              <w:t xml:space="preserve">  If MOTOR_SIGN flag is set: "Exercise guidance should be provided by your physiotherapist or specialist given your current neurological findings." Do not encourage unsupervised exercise when motor signs are present.</w:t>
            </w:r>
          </w:p>
        </w:tc>
      </w:tr>
    </w:tbl>
    <w:p>
      <w:pPr>
        <w:spacing w:before="120" w:after="120"/>
      </w:pPr>
    </w:p>
    <w:p>
      <w:pPr>
        <w:pStyle w:val="Heading3"/>
        <w:spacing w:before="240" w:after="80"/>
      </w:pPr>
      <w:r>
        <w:rPr>
          <w:rFonts w:ascii="Arial" w:cs="Arial" w:eastAsia="Arial" w:hAnsi="Arial"/>
          <w:b/>
          <w:bCs/>
          <w:color w:val="2C3E50"/>
          <w:sz w:val="22"/>
          <w:szCs w:val="22"/>
        </w:rPr>
        <w:t xml:space="preserve">6.3  AS Differentiation Alert — Routing Overlay</w:t>
      </w:r>
    </w:p>
    <w:p>
      <w:pPr>
        <w:pStyle w:val="ListParagraph"/>
        <w:numPr>
          <w:ilvl w:val="0"/>
          <w:numId w:val="2"/>
        </w:numPr>
        <w:spacing w:before="60" w:after="60"/>
      </w:pPr>
      <w:r>
        <w:rPr>
          <w:rFonts w:ascii="Arial" w:cs="Arial" w:eastAsia="Arial" w:hAnsi="Arial"/>
          <w:b/>
          <w:bCs/>
          <w:color w:val="1A1A1A"/>
          <w:sz w:val="22"/>
          <w:szCs w:val="22"/>
        </w:rPr>
        <w:t xml:space="preserve">Triggered by Q0.1 Section C (inflammatory back pain pattern + age &lt; 40):</w:t>
      </w:r>
      <w:r>
        <w:rPr>
          <w:rFonts w:ascii="Arial" w:cs="Arial" w:eastAsia="Arial" w:hAnsi="Arial"/>
          <w:b w:val="false"/>
          <w:bCs w:val="false"/>
          <w:color w:val="1A1A1A"/>
          <w:sz w:val="22"/>
          <w:szCs w:val="22"/>
        </w:rPr>
        <w:t xml:space="preserve">  AS Alert note added to output at ALL risk tiers, separate from the standard risk output</w:t>
      </w:r>
    </w:p>
    <w:p>
      <w:pPr>
        <w:pStyle w:val="ListParagraph"/>
        <w:numPr>
          <w:ilvl w:val="0"/>
          <w:numId w:val="2"/>
        </w:numPr>
        <w:spacing w:before="60" w:after="60"/>
      </w:pPr>
      <w:r>
        <w:rPr>
          <w:rFonts w:ascii="Arial" w:cs="Arial" w:eastAsia="Arial" w:hAnsi="Arial"/>
          <w:b/>
          <w:bCs/>
          <w:color w:val="1A1A1A"/>
          <w:sz w:val="22"/>
          <w:szCs w:val="22"/>
        </w:rPr>
        <w:t xml:space="preserve">AS Alert output text:</w:t>
      </w:r>
      <w:r>
        <w:rPr>
          <w:rFonts w:ascii="Arial" w:cs="Arial" w:eastAsia="Arial" w:hAnsi="Arial"/>
          <w:b w:val="false"/>
          <w:bCs w:val="false"/>
          <w:color w:val="1A1A1A"/>
          <w:sz w:val="22"/>
          <w:szCs w:val="22"/>
        </w:rPr>
        <w:t xml:space="preserve">  "Some features of your responses — including morning stiffness lasting more than an hour, pain that improves with exercise, and possible sacroiliac joint pain — may be more consistent with inflammatory spinal arthritis (such as Ankylosing Spondylitis) than degenerative spondylosis. We recommend a rheumatology assessment to clarify this. These are different conditions that require different management approaches."</w:t>
      </w:r>
    </w:p>
    <w:p>
      <w:pPr>
        <w:pStyle w:val="ListParagraph"/>
        <w:numPr>
          <w:ilvl w:val="0"/>
          <w:numId w:val="2"/>
        </w:numPr>
        <w:spacing w:before="60" w:after="60"/>
      </w:pPr>
      <w:r>
        <w:rPr>
          <w:rFonts w:ascii="Arial" w:cs="Arial" w:eastAsia="Arial" w:hAnsi="Arial"/>
          <w:b/>
          <w:bCs/>
          <w:color w:val="1A1A1A"/>
          <w:sz w:val="22"/>
          <w:szCs w:val="22"/>
        </w:rPr>
        <w:t xml:space="preserve">CTA:</w:t>
      </w:r>
      <w:r>
        <w:rPr>
          <w:rFonts w:ascii="Arial" w:cs="Arial" w:eastAsia="Arial" w:hAnsi="Arial"/>
          <w:b w:val="false"/>
          <w:bCs w:val="false"/>
          <w:color w:val="1A1A1A"/>
          <w:sz w:val="22"/>
          <w:szCs w:val="22"/>
        </w:rPr>
        <w:t xml:space="preserve">  "Consult a rheumatologist" → added as a secondary CTA alongside the standard tier-based primary CTA</w:t>
      </w:r>
    </w:p>
    <w:p>
      <w:pPr>
        <w:pStyle w:val="ListParagraph"/>
        <w:numPr>
          <w:ilvl w:val="0"/>
          <w:numId w:val="2"/>
        </w:numPr>
        <w:spacing w:before="60" w:after="60"/>
      </w:pPr>
      <w:r>
        <w:rPr>
          <w:rFonts w:ascii="Arial" w:cs="Arial" w:eastAsia="Arial" w:hAnsi="Arial"/>
          <w:b/>
          <w:bCs/>
          <w:color w:val="1A1A1A"/>
          <w:sz w:val="22"/>
          <w:szCs w:val="22"/>
        </w:rPr>
        <w:t xml:space="preserve">Myo AI context:</w:t>
      </w:r>
      <w:r>
        <w:rPr>
          <w:rFonts w:ascii="Arial" w:cs="Arial" w:eastAsia="Arial" w:hAnsi="Arial"/>
          <w:b w:val="false"/>
          <w:bCs w:val="false"/>
          <w:color w:val="1A1A1A"/>
          <w:sz w:val="22"/>
          <w:szCs w:val="22"/>
        </w:rPr>
        <w:t xml:space="preserve">  AS query pre-loaded; user can ask about the difference between AS and spondylosis</w:t>
      </w:r>
    </w:p>
    <w:p>
      <w:pPr>
        <w:spacing w:before="120" w:after="120"/>
      </w:pPr>
    </w:p>
    <w:p>
      <w:pPr>
        <w:pStyle w:val="Heading3"/>
        <w:spacing w:before="240" w:after="80"/>
      </w:pPr>
      <w:r>
        <w:rPr>
          <w:rFonts w:ascii="Arial" w:cs="Arial" w:eastAsia="Arial" w:hAnsi="Arial"/>
          <w:b/>
          <w:bCs/>
          <w:color w:val="2C3E50"/>
          <w:sz w:val="22"/>
          <w:szCs w:val="22"/>
        </w:rPr>
        <w:t xml:space="preserve">6.4  Neurogenic Claudication Routing — Stenosis Pathway</w:t>
      </w:r>
    </w:p>
    <w:p>
      <w:pPr>
        <w:pStyle w:val="ListParagraph"/>
        <w:numPr>
          <w:ilvl w:val="0"/>
          <w:numId w:val="2"/>
        </w:numPr>
        <w:spacing w:before="60" w:after="60"/>
      </w:pPr>
      <w:r>
        <w:rPr>
          <w:rFonts w:ascii="Arial" w:cs="Arial" w:eastAsia="Arial" w:hAnsi="Arial"/>
          <w:b/>
          <w:bCs/>
          <w:color w:val="1A1A1A"/>
          <w:sz w:val="22"/>
          <w:szCs w:val="22"/>
        </w:rPr>
        <w:t xml:space="preserve">STENOSIS_SIGNAL flag at HIGH RISK:</w:t>
      </w:r>
      <w:r>
        <w:rPr>
          <w:rFonts w:ascii="Arial" w:cs="Arial" w:eastAsia="Arial" w:hAnsi="Arial"/>
          <w:b w:val="false"/>
          <w:bCs w:val="false"/>
          <w:color w:val="1A1A1A"/>
          <w:sz w:val="22"/>
          <w:szCs w:val="22"/>
        </w:rPr>
        <w:t xml:space="preserve">  Output includes: "Your pattern of walking-limited leg heaviness that eases when you sit is a signal that the canal in your lower spine may be narrowed. This is worth a specialist assessment — an orthopaedic or neurosurgical evaluation will determine whether any intervention is appropriate."</w:t>
      </w:r>
    </w:p>
    <w:p>
      <w:pPr>
        <w:pStyle w:val="ListParagraph"/>
        <w:numPr>
          <w:ilvl w:val="0"/>
          <w:numId w:val="2"/>
        </w:numPr>
        <w:spacing w:before="60" w:after="60"/>
      </w:pPr>
      <w:r>
        <w:rPr>
          <w:rFonts w:ascii="Arial" w:cs="Arial" w:eastAsia="Arial" w:hAnsi="Arial"/>
          <w:b/>
          <w:bCs/>
          <w:color w:val="1A1A1A"/>
          <w:sz w:val="22"/>
          <w:szCs w:val="22"/>
        </w:rPr>
        <w:t xml:space="preserve">Vascular Claudication Note:</w:t>
      </w:r>
      <w:r>
        <w:rPr>
          <w:rFonts w:ascii="Arial" w:cs="Arial" w:eastAsia="Arial" w:hAnsi="Arial"/>
          <w:b w:val="false"/>
          <w:bCs w:val="false"/>
          <w:color w:val="1A1A1A"/>
          <w:sz w:val="22"/>
          <w:szCs w:val="22"/>
        </w:rPr>
        <w:t xml:space="preserve">  If walking relieves with standing still: "Your walking pattern may warrant a vascular check alongside your spinal assessment — a GP can arrange this." CTA includes both spinal specialist and GP referral.</w:t>
      </w:r>
    </w:p>
    <w:p>
      <w:pPr>
        <w:pStyle w:val="ListParagraph"/>
        <w:numPr>
          <w:ilvl w:val="0"/>
          <w:numId w:val="2"/>
        </w:numPr>
        <w:spacing w:before="60" w:after="60"/>
      </w:pPr>
      <w:r>
        <w:rPr>
          <w:rFonts w:ascii="Arial" w:cs="Arial" w:eastAsia="Arial" w:hAnsi="Arial"/>
          <w:b/>
          <w:bCs/>
          <w:color w:val="1A1A1A"/>
          <w:sz w:val="22"/>
          <w:szCs w:val="22"/>
        </w:rPr>
        <w:t xml:space="preserve">Kriya Care for stenosis:</w:t>
      </w:r>
      <w:r>
        <w:rPr>
          <w:rFonts w:ascii="Arial" w:cs="Arial" w:eastAsia="Arial" w:hAnsi="Arial"/>
          <w:b w:val="false"/>
          <w:bCs w:val="false"/>
          <w:color w:val="1A1A1A"/>
          <w:sz w:val="22"/>
          <w:szCs w:val="22"/>
        </w:rPr>
        <w:t xml:space="preserve">  Chair-based and supported exercise programme, aquatic walking if available, Nordic walking — all of which maintain activity without axial loading</w:t>
      </w:r>
    </w:p>
    <w:p>
      <w:pPr>
        <w:spacing w:before="120" w:after="120"/>
      </w:pPr>
    </w:p>
    <w:p>
      <w:pPr>
        <w:pStyle w:val="Heading3"/>
        <w:spacing w:before="240" w:after="80"/>
      </w:pPr>
      <w:r>
        <w:rPr>
          <w:rFonts w:ascii="Arial" w:cs="Arial" w:eastAsia="Arial" w:hAnsi="Arial"/>
          <w:b/>
          <w:bCs/>
          <w:color w:val="2C3E50"/>
          <w:sz w:val="22"/>
          <w:szCs w:val="22"/>
        </w:rPr>
        <w:t xml:space="preserve">6.5  Stream-Specific Routing</w:t>
      </w:r>
    </w:p>
    <w:p>
      <w:pPr>
        <w:pStyle w:val="ListParagraph"/>
        <w:numPr>
          <w:ilvl w:val="0"/>
          <w:numId w:val="2"/>
        </w:numPr>
        <w:spacing w:before="60" w:after="60"/>
      </w:pPr>
      <w:r>
        <w:rPr>
          <w:rFonts w:ascii="Arial" w:cs="Arial" w:eastAsia="Arial" w:hAnsi="Arial"/>
          <w:b/>
          <w:bCs/>
          <w:color w:val="1A1A1A"/>
          <w:sz w:val="22"/>
          <w:szCs w:val="22"/>
        </w:rPr>
        <w:t xml:space="preserve">CERVICAL_STREAM (Moderate/High):</w:t>
      </w:r>
      <w:r>
        <w:rPr>
          <w:rFonts w:ascii="Arial" w:cs="Arial" w:eastAsia="Arial" w:hAnsi="Arial"/>
          <w:b w:val="false"/>
          <w:bCs w:val="false"/>
          <w:color w:val="1A1A1A"/>
          <w:sz w:val="22"/>
          <w:szCs w:val="22"/>
        </w:rPr>
        <w:t xml:space="preserve">  Kriya Care → deep neck flexor strengthening, postural correction, cervical mobility programme. Cross-link Neck Pain QuickScan if not recently completed. Cervicogenic headache management component if Cervicogenic Headache tag set.</w:t>
      </w:r>
    </w:p>
    <w:p>
      <w:pPr>
        <w:pStyle w:val="ListParagraph"/>
        <w:numPr>
          <w:ilvl w:val="0"/>
          <w:numId w:val="2"/>
        </w:numPr>
        <w:spacing w:before="60" w:after="60"/>
      </w:pPr>
      <w:r>
        <w:rPr>
          <w:rFonts w:ascii="Arial" w:cs="Arial" w:eastAsia="Arial" w:hAnsi="Arial"/>
          <w:b/>
          <w:bCs/>
          <w:color w:val="1A1A1A"/>
          <w:sz w:val="22"/>
          <w:szCs w:val="22"/>
        </w:rPr>
        <w:t xml:space="preserve">LUMBAR_STREAM (Moderate/High):</w:t>
      </w:r>
      <w:r>
        <w:rPr>
          <w:rFonts w:ascii="Arial" w:cs="Arial" w:eastAsia="Arial" w:hAnsi="Arial"/>
          <w:b w:val="false"/>
          <w:bCs w:val="false"/>
          <w:color w:val="1A1A1A"/>
          <w:sz w:val="22"/>
          <w:szCs w:val="22"/>
        </w:rPr>
        <w:t xml:space="preserve">  Kriya Care → core stability, lumbar extension programme, hip strengthening. Cross-link Low Back Pain QuickScan. Stenosis-adapted programme if STENOSIS_SIGNAL flag.</w:t>
      </w:r>
    </w:p>
    <w:p>
      <w:pPr>
        <w:pStyle w:val="ListParagraph"/>
        <w:numPr>
          <w:ilvl w:val="0"/>
          <w:numId w:val="2"/>
        </w:numPr>
        <w:spacing w:before="60" w:after="60"/>
      </w:pPr>
      <w:r>
        <w:rPr>
          <w:rFonts w:ascii="Arial" w:cs="Arial" w:eastAsia="Arial" w:hAnsi="Arial"/>
          <w:b/>
          <w:bCs/>
          <w:color w:val="1A1A1A"/>
          <w:sz w:val="22"/>
          <w:szCs w:val="22"/>
        </w:rPr>
        <w:t xml:space="preserve">BOTH_STREAMS:</w:t>
      </w:r>
      <w:r>
        <w:rPr>
          <w:rFonts w:ascii="Arial" w:cs="Arial" w:eastAsia="Arial" w:hAnsi="Arial"/>
          <w:b w:val="false"/>
          <w:bCs w:val="false"/>
          <w:color w:val="1A1A1A"/>
          <w:sz w:val="22"/>
          <w:szCs w:val="22"/>
        </w:rPr>
        <w:t xml:space="preserve">  Kriya Care → comprehensive multi-region programme; specialist referral at all tiers above LOW given burden of multi-level disease.</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7.  Output Design Specification</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7.1  Results Screen Architecture</w:t>
      </w:r>
    </w:p>
    <w:p>
      <w:pPr>
        <w:spacing w:before="80" w:after="80"/>
        <w:jc w:val="left"/>
      </w:pPr>
      <w:r>
        <w:rPr>
          <w:rFonts w:ascii="Arial" w:cs="Arial" w:eastAsia="Arial" w:hAnsi="Arial"/>
          <w:b w:val="false"/>
          <w:bCs w:val="false"/>
          <w:color w:val="1A1A1A"/>
          <w:sz w:val="22"/>
          <w:szCs w:val="22"/>
        </w:rPr>
        <w:t xml:space="preserve">The Spondylosis results screen builds on the Disc Bulge template — retaining the Symptom Trend Indicator and Neurological Signs Summary — and adds the </w:t>
      </w:r>
      <w:r>
        <w:rPr>
          <w:rFonts w:ascii="Arial" w:cs="Arial" w:eastAsia="Arial" w:hAnsi="Arial"/>
          <w:b/>
          <w:bCs/>
          <w:color w:val="1A1A1A"/>
          <w:sz w:val="22"/>
          <w:szCs w:val="22"/>
        </w:rPr>
        <w:t xml:space="preserve">Exercise as Protection Card</w:t>
      </w:r>
      <w:r>
        <w:rPr>
          <w:rFonts w:ascii="Arial" w:cs="Arial" w:eastAsia="Arial" w:hAnsi="Arial"/>
          <w:b w:val="false"/>
          <w:bCs w:val="false"/>
          <w:color w:val="1A1A1A"/>
          <w:sz w:val="22"/>
          <w:szCs w:val="22"/>
        </w:rPr>
        <w:t xml:space="preserve"> (mandatory at all tiers), the </w:t>
      </w:r>
      <w:r>
        <w:rPr>
          <w:rFonts w:ascii="Arial" w:cs="Arial" w:eastAsia="Arial" w:hAnsi="Arial"/>
          <w:b/>
          <w:bCs/>
          <w:color w:val="1A1A1A"/>
          <w:sz w:val="22"/>
          <w:szCs w:val="22"/>
        </w:rPr>
        <w:t xml:space="preserve">AS Differentiation Alert</w:t>
      </w:r>
      <w:r>
        <w:rPr>
          <w:rFonts w:ascii="Arial" w:cs="Arial" w:eastAsia="Arial" w:hAnsi="Arial"/>
          <w:b w:val="false"/>
          <w:bCs w:val="false"/>
          <w:color w:val="1A1A1A"/>
          <w:sz w:val="22"/>
          <w:szCs w:val="22"/>
        </w:rPr>
        <w:t xml:space="preserve"> (conditional), and the </w:t>
      </w:r>
      <w:r>
        <w:rPr>
          <w:rFonts w:ascii="Arial" w:cs="Arial" w:eastAsia="Arial" w:hAnsi="Arial"/>
          <w:b/>
          <w:bCs/>
          <w:color w:val="1A1A1A"/>
          <w:sz w:val="22"/>
          <w:szCs w:val="22"/>
        </w:rPr>
        <w:t xml:space="preserve">Stenosis Walking Pattern Note</w:t>
      </w:r>
      <w:r>
        <w:rPr>
          <w:rFonts w:ascii="Arial" w:cs="Arial" w:eastAsia="Arial" w:hAnsi="Arial"/>
          <w:b w:val="false"/>
          <w:bCs w:val="false"/>
          <w:color w:val="1A1A1A"/>
          <w:sz w:val="22"/>
          <w:szCs w:val="22"/>
        </w:rPr>
        <w:t xml:space="preserve"> (if STENOSIS_SIGNAL flag).</w:t>
      </w:r>
    </w:p>
    <w:p>
      <w:pPr>
        <w:spacing w:before="80" w:after="120"/>
      </w:pPr>
    </w:p>
    <w:p>
      <w:pPr>
        <w:pStyle w:val="ListParagraph"/>
        <w:numPr>
          <w:ilvl w:val="0"/>
          <w:numId w:val="3"/>
        </w:numPr>
        <w:spacing w:before="60" w:after="60"/>
      </w:pPr>
      <w:r>
        <w:rPr>
          <w:rFonts w:ascii="Arial" w:cs="Arial" w:eastAsia="Arial" w:hAnsi="Arial"/>
          <w:b/>
          <w:bCs/>
          <w:color w:val="1A1A1A"/>
          <w:sz w:val="22"/>
          <w:szCs w:val="22"/>
        </w:rPr>
        <w:t xml:space="preserve">Spondylosis Risk Signal Header</w:t>
      </w:r>
      <w:r>
        <w:rPr>
          <w:rFonts w:ascii="Arial" w:cs="Arial" w:eastAsia="Arial" w:hAnsi="Arial"/>
          <w:b w:val="false"/>
          <w:bCs w:val="false"/>
          <w:color w:val="1A1A1A"/>
          <w:sz w:val="22"/>
          <w:szCs w:val="22"/>
        </w:rPr>
        <w:t xml:space="preserve"> — Tier + colour arc + Stream label (Cervical / Lumbar / Both)</w:t>
      </w:r>
    </w:p>
    <w:p>
      <w:pPr>
        <w:pStyle w:val="ListParagraph"/>
        <w:numPr>
          <w:ilvl w:val="0"/>
          <w:numId w:val="3"/>
        </w:numPr>
        <w:spacing w:before="60" w:after="60"/>
      </w:pPr>
      <w:r>
        <w:rPr>
          <w:rFonts w:ascii="Arial" w:cs="Arial" w:eastAsia="Arial" w:hAnsi="Arial"/>
          <w:b/>
          <w:bCs/>
          <w:color w:val="1A1A1A"/>
          <w:sz w:val="22"/>
          <w:szCs w:val="22"/>
        </w:rPr>
        <w:t xml:space="preserve">Disclaimer Strip</w:t>
      </w:r>
      <w:r>
        <w:rPr>
          <w:rFonts w:ascii="Arial" w:cs="Arial" w:eastAsia="Arial" w:hAnsi="Arial"/>
          <w:b w:val="false"/>
          <w:bCs w:val="false"/>
          <w:color w:val="1A1A1A"/>
          <w:sz w:val="22"/>
          <w:szCs w:val="22"/>
        </w:rPr>
        <w:t xml:space="preserve"> — Standard + degenerative spinal condition addendum</w:t>
      </w:r>
    </w:p>
    <w:p>
      <w:pPr>
        <w:pStyle w:val="ListParagraph"/>
        <w:numPr>
          <w:ilvl w:val="0"/>
          <w:numId w:val="3"/>
        </w:numPr>
        <w:spacing w:before="60" w:after="60"/>
      </w:pPr>
      <w:r>
        <w:rPr>
          <w:rFonts w:ascii="Arial" w:cs="Arial" w:eastAsia="Arial" w:hAnsi="Arial"/>
          <w:b/>
          <w:bCs/>
          <w:color w:val="1A1A1A"/>
          <w:sz w:val="22"/>
          <w:szCs w:val="22"/>
        </w:rPr>
        <w:t xml:space="preserve">AS Differentiation Alert</w:t>
      </w:r>
      <w:r>
        <w:rPr>
          <w:rFonts w:ascii="Arial" w:cs="Arial" w:eastAsia="Arial" w:hAnsi="Arial"/>
          <w:b w:val="false"/>
          <w:bCs w:val="false"/>
          <w:color w:val="1A1A1A"/>
          <w:sz w:val="22"/>
          <w:szCs w:val="22"/>
        </w:rPr>
        <w:t xml:space="preserve"> — Conditional: shown at ALL tiers if AS flag triggered from Q0.1 Section C</w:t>
      </w:r>
    </w:p>
    <w:p>
      <w:pPr>
        <w:pStyle w:val="ListParagraph"/>
        <w:numPr>
          <w:ilvl w:val="0"/>
          <w:numId w:val="3"/>
        </w:numPr>
        <w:spacing w:before="60" w:after="60"/>
      </w:pPr>
      <w:r>
        <w:rPr>
          <w:rFonts w:ascii="Arial" w:cs="Arial" w:eastAsia="Arial" w:hAnsi="Arial"/>
          <w:b/>
          <w:bCs/>
          <w:color w:val="1A1A1A"/>
          <w:sz w:val="22"/>
          <w:szCs w:val="22"/>
        </w:rPr>
        <w:t xml:space="preserve">Risk Factor Summary</w:t>
      </w:r>
      <w:r>
        <w:rPr>
          <w:rFonts w:ascii="Arial" w:cs="Arial" w:eastAsia="Arial" w:hAnsi="Arial"/>
          <w:b w:val="false"/>
          <w:bCs w:val="false"/>
          <w:color w:val="1A1A1A"/>
          <w:sz w:val="22"/>
          <w:szCs w:val="22"/>
        </w:rPr>
        <w:t xml:space="preserve"> — Identified degenerative risk factors: duration, multi-level, progression, co-existing conditions</w:t>
      </w:r>
    </w:p>
    <w:p>
      <w:pPr>
        <w:pStyle w:val="ListParagraph"/>
        <w:numPr>
          <w:ilvl w:val="0"/>
          <w:numId w:val="3"/>
        </w:numPr>
        <w:spacing w:before="60" w:after="60"/>
      </w:pPr>
      <w:r>
        <w:rPr>
          <w:rFonts w:ascii="Arial" w:cs="Arial" w:eastAsia="Arial" w:hAnsi="Arial"/>
          <w:b/>
          <w:bCs/>
          <w:color w:val="1A1A1A"/>
          <w:sz w:val="22"/>
          <w:szCs w:val="22"/>
        </w:rPr>
        <w:t xml:space="preserve">Neurological Signs Summary</w:t>
      </w:r>
      <w:r>
        <w:rPr>
          <w:rFonts w:ascii="Arial" w:cs="Arial" w:eastAsia="Arial" w:hAnsi="Arial"/>
          <w:b w:val="false"/>
          <w:bCs w:val="false"/>
          <w:color w:val="1A1A1A"/>
          <w:sz w:val="22"/>
          <w:szCs w:val="22"/>
        </w:rPr>
        <w:t xml:space="preserve"> — Plain-language motor/sensory findings (aligned with Sciatica and Disc Bulge modules)</w:t>
      </w:r>
    </w:p>
    <w:p>
      <w:pPr>
        <w:pStyle w:val="ListParagraph"/>
        <w:numPr>
          <w:ilvl w:val="0"/>
          <w:numId w:val="3"/>
        </w:numPr>
        <w:spacing w:before="60" w:after="60"/>
      </w:pPr>
      <w:r>
        <w:rPr>
          <w:rFonts w:ascii="Arial" w:cs="Arial" w:eastAsia="Arial" w:hAnsi="Arial"/>
          <w:b/>
          <w:bCs/>
          <w:color w:val="1A1A1A"/>
          <w:sz w:val="22"/>
          <w:szCs w:val="22"/>
        </w:rPr>
        <w:t xml:space="preserve">Stenosis Walking Pattern Note</w:t>
      </w:r>
      <w:r>
        <w:rPr>
          <w:rFonts w:ascii="Arial" w:cs="Arial" w:eastAsia="Arial" w:hAnsi="Arial"/>
          <w:b w:val="false"/>
          <w:bCs w:val="false"/>
          <w:color w:val="1A1A1A"/>
          <w:sz w:val="22"/>
          <w:szCs w:val="22"/>
        </w:rPr>
        <w:t xml:space="preserve"> — If STENOSIS_SIGNAL flag: plain-language explanation of neurogenic claudication</w:t>
      </w:r>
    </w:p>
    <w:p>
      <w:pPr>
        <w:pStyle w:val="ListParagraph"/>
        <w:numPr>
          <w:ilvl w:val="0"/>
          <w:numId w:val="3"/>
        </w:numPr>
        <w:spacing w:before="60" w:after="60"/>
      </w:pPr>
      <w:r>
        <w:rPr>
          <w:rFonts w:ascii="Arial" w:cs="Arial" w:eastAsia="Arial" w:hAnsi="Arial"/>
          <w:b/>
          <w:bCs/>
          <w:color w:val="1A1A1A"/>
          <w:sz w:val="22"/>
          <w:szCs w:val="22"/>
        </w:rPr>
        <w:t xml:space="preserve">Risk Signal Summary</w:t>
      </w:r>
      <w:r>
        <w:rPr>
          <w:rFonts w:ascii="Arial" w:cs="Arial" w:eastAsia="Arial" w:hAnsi="Arial"/>
          <w:b w:val="false"/>
          <w:bCs w:val="false"/>
          <w:color w:val="1A1A1A"/>
          <w:sz w:val="22"/>
          <w:szCs w:val="22"/>
        </w:rPr>
        <w:t xml:space="preserve"> — 2–3 sentences personalised interpretation</w:t>
      </w:r>
    </w:p>
    <w:p>
      <w:pPr>
        <w:pStyle w:val="ListParagraph"/>
        <w:numPr>
          <w:ilvl w:val="0"/>
          <w:numId w:val="3"/>
        </w:numPr>
        <w:spacing w:before="60" w:after="60"/>
      </w:pPr>
      <w:r>
        <w:rPr>
          <w:rFonts w:ascii="Arial" w:cs="Arial" w:eastAsia="Arial" w:hAnsi="Arial"/>
          <w:b/>
          <w:bCs/>
          <w:color w:val="1A1A1A"/>
          <w:sz w:val="22"/>
          <w:szCs w:val="22"/>
        </w:rPr>
        <w:t xml:space="preserve">Exercise as Protection Card</w:t>
      </w:r>
      <w:r>
        <w:rPr>
          <w:rFonts w:ascii="Arial" w:cs="Arial" w:eastAsia="Arial" w:hAnsi="Arial"/>
          <w:b w:val="false"/>
          <w:bCs w:val="false"/>
          <w:color w:val="1A1A1A"/>
          <w:sz w:val="22"/>
          <w:szCs w:val="22"/>
        </w:rPr>
        <w:t xml:space="preserve"> — Mandatory at all tiers; tier-calibrated messaging</w:t>
      </w:r>
    </w:p>
    <w:p>
      <w:pPr>
        <w:pStyle w:val="ListParagraph"/>
        <w:numPr>
          <w:ilvl w:val="0"/>
          <w:numId w:val="3"/>
        </w:numPr>
        <w:spacing w:before="60" w:after="60"/>
      </w:pPr>
      <w:r>
        <w:rPr>
          <w:rFonts w:ascii="Arial" w:cs="Arial" w:eastAsia="Arial" w:hAnsi="Arial"/>
          <w:b/>
          <w:bCs/>
          <w:color w:val="1A1A1A"/>
          <w:sz w:val="22"/>
          <w:szCs w:val="22"/>
        </w:rPr>
        <w:t xml:space="preserve">Your Next Steps</w:t>
      </w:r>
      <w:r>
        <w:rPr>
          <w:rFonts w:ascii="Arial" w:cs="Arial" w:eastAsia="Arial" w:hAnsi="Arial"/>
          <w:b w:val="false"/>
          <w:bCs w:val="false"/>
          <w:color w:val="1A1A1A"/>
          <w:sz w:val="22"/>
          <w:szCs w:val="22"/>
        </w:rPr>
        <w:t xml:space="preserve"> — Primary + Secondary CTAs (tier and stream matched)</w:t>
      </w:r>
    </w:p>
    <w:p>
      <w:pPr>
        <w:pStyle w:val="ListParagraph"/>
        <w:numPr>
          <w:ilvl w:val="0"/>
          <w:numId w:val="3"/>
        </w:numPr>
        <w:spacing w:before="60" w:after="60"/>
      </w:pPr>
      <w:r>
        <w:rPr>
          <w:rFonts w:ascii="Arial" w:cs="Arial" w:eastAsia="Arial" w:hAnsi="Arial"/>
          <w:b/>
          <w:bCs/>
          <w:color w:val="1A1A1A"/>
          <w:sz w:val="22"/>
          <w:szCs w:val="22"/>
        </w:rPr>
        <w:t xml:space="preserve">Cross-Scan Recommendations</w:t>
      </w:r>
      <w:r>
        <w:rPr>
          <w:rFonts w:ascii="Arial" w:cs="Arial" w:eastAsia="Arial" w:hAnsi="Arial"/>
          <w:b w:val="false"/>
          <w:bCs w:val="false"/>
          <w:color w:val="1A1A1A"/>
          <w:sz w:val="22"/>
          <w:szCs w:val="22"/>
        </w:rPr>
        <w:t xml:space="preserve"> — Disc Bulge scan (if disc co-existence tag); OA scan (if peripheral joint involvement)</w:t>
      </w:r>
    </w:p>
    <w:p>
      <w:pPr>
        <w:pStyle w:val="ListParagraph"/>
        <w:numPr>
          <w:ilvl w:val="0"/>
          <w:numId w:val="3"/>
        </w:numPr>
        <w:spacing w:before="60" w:after="60"/>
      </w:pPr>
      <w:r>
        <w:rPr>
          <w:rFonts w:ascii="Arial" w:cs="Arial" w:eastAsia="Arial" w:hAnsi="Arial"/>
          <w:b/>
          <w:bCs/>
          <w:color w:val="1A1A1A"/>
          <w:sz w:val="22"/>
          <w:szCs w:val="22"/>
        </w:rPr>
        <w:t xml:space="preserve">Share &amp; Save</w:t>
      </w:r>
      <w:r>
        <w:rPr>
          <w:rFonts w:ascii="Arial" w:cs="Arial" w:eastAsia="Arial" w:hAnsi="Arial"/>
          <w:b w:val="false"/>
          <w:bCs w:val="false"/>
          <w:color w:val="1A1A1A"/>
          <w:sz w:val="22"/>
          <w:szCs w:val="22"/>
        </w:rPr>
        <w:t xml:space="preserve"> — PDF with full disclaimer and risk factor summary</w:t>
      </w:r>
    </w:p>
    <w:p>
      <w:pPr>
        <w:spacing w:before="120" w:after="120"/>
      </w:pPr>
    </w:p>
    <w:p>
      <w:pPr>
        <w:pStyle w:val="Heading3"/>
        <w:spacing w:before="240" w:after="80"/>
      </w:pPr>
      <w:r>
        <w:rPr>
          <w:rFonts w:ascii="Arial" w:cs="Arial" w:eastAsia="Arial" w:hAnsi="Arial"/>
          <w:b/>
          <w:bCs/>
          <w:color w:val="2C3E50"/>
          <w:sz w:val="22"/>
          <w:szCs w:val="22"/>
        </w:rPr>
        <w:t xml:space="preserve">7.2  Language Guardrails — Spondylosis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Never Use</w:t>
            </w:r>
          </w:p>
        </w:tc>
        <w:tc>
          <w:tcPr>
            <w:tcW w:type="dxa" w:w="5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Always Use Instead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spine is degenerating" (alarming)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spine is showing changes that are common with age — what matters is how we manage them"</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"Nothing can be done for spondylosis"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therapy significantly slows spondylosis progression and maintains function — there is a great deal you can 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bone spurs are causing damage"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"Bony changes in the spine are common findings — their clinical significance depends on your current symptoms"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spinal stenosis" (diagnosis)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"Your walking pattern suggests possible narrowing in the spinal canal — a specialist assessment can confirm this"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"Avoid all exercise / rest the spine"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is protective for the degenerating spine — avoiding movement accelerates the very changes you want to prevent"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"You have AS" (diagnosis from Q0.1)</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"Some features of your pattern may suggest inflammatory arthritis — a rheumatologist can clarify this"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Minimising neurological signs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Always flag motor or sensory signs clearly — they represent the urgency trigger in spondylosis management</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Alarming age-related messaging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Empowering: "These changes are common, manageable, and significantly influenced by the choices you make now"</w:t>
            </w:r>
          </w:p>
        </w:tc>
      </w:tr>
    </w:tbl>
    <w:p>
      <w:pPr>
        <w:spacing w:before="120" w:after="120"/>
      </w:pPr>
    </w:p>
    <w:p>
      <w:pPr>
        <w:pStyle w:val="Heading3"/>
        <w:spacing w:before="240" w:after="80"/>
      </w:pPr>
      <w:r>
        <w:rPr>
          <w:rFonts w:ascii="Arial" w:cs="Arial" w:eastAsia="Arial" w:hAnsi="Arial"/>
          <w:b/>
          <w:bCs/>
          <w:color w:val="2C3E50"/>
          <w:sz w:val="22"/>
          <w:szCs w:val="22"/>
        </w:rPr>
        <w:t xml:space="preserve">7.3  Condition Tags for Output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Condition Tag</w:t>
            </w:r>
          </w:p>
        </w:tc>
        <w:tc>
          <w:tcPr>
            <w:tcW w:type="dxa" w:w="55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Trigger Condition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Spondylosis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 Spondylosis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LUMBAR_STREAM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Multi-level Spondylosis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BOTH_STREAMS or MULTILEVEL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Established Spondylosis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Options D + E (&gt; 5 or 10 years)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 Duration Spondylosis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Q1.2 Option E — LONG_DURATION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Spondylosis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A — PROGRESSIVE_TREND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Disc + Spondylosis Composite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B (co-existing disc bulge)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Prior Radiculopathy</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Q1.3 Option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Cervicogenic Headache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E + CERVICAL_STREAM</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Facet Crepitus</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Q2.1 Option 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Foraminal Radiculopathy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Q2.2 Options C (both streams) — hard floor MODERATE</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Stenosis Signal</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neurogenic claudication confirmed — hard floor HIGH if combined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Claudication Query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Q2.3 standing-still relief pattern</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Sensory Deficit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Q2.4 Option A or 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Sign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Q2.4 Option C or D — MOTOR_SIGN flag</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Alert</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Q0.1 Section C positive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Q3.2 Part A Option C or 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Deconditioning Risk</w:t>
            </w:r>
          </w:p>
        </w:tc>
        <w:tc>
          <w:tcPr>
            <w:tcW w:type="dxa" w:w="55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 LONG_DURATION flag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Mobility Limitation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Q3.1 Sub-item A Cervical 'Cannot do'</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8.  Data &amp; Analytics Requirements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8.1  Data Points to Capture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Data Point</w:t>
            </w:r>
          </w:p>
        </w:tc>
        <w:tc>
          <w:tcPr>
            <w:tcW w:type="dxa" w:w="5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User ID (anonymous or authenticated)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Longitudinal tracking — long-term degenerative condition monitoring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Scan timestamp</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Re-scan cadence tracking (6-month recommended for established spondylosis)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All question responses (raw)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Model refinement and clinical audit trail</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Computed risk score (internal only)</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Analytics; not surfaced to user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assigned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Cohort segmentation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Spinal stream (Cervical / Lumbar / Both)</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Programme matching and cross-scan routing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Alert triggered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referral cohort — epidemiological signal; unexpected positive rate monitoring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MULTILEVEL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Multi-level disease burden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PROGRESSIVE_TREND flag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 worsening cohort — priority for clinical follow-up</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STENOSIS_SIGNAL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Neurogenic claudication cohort — specialist referral conversion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MOTOR_SIGN flag (Y/N + severity)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Motor deficit safety audit — weekly review during launch phase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Psychosocial Risk flag (Y/N)</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Chronic deconditioning cohort for enhanced Kriya Care programme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Protection Card engaged (Y/N)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Behaviour change engagement metric — key KPI for this module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behaviour change post-scan (Kriya Care enrolment)</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Primary long-term outcome metric for spondylosis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Cross-scan recommendations clicked (Y/N + which)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Cross-module pipeline conversion</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Condition tags generated</w:t>
            </w:r>
          </w:p>
        </w:tc>
        <w:tc>
          <w:tcPr>
            <w:tcW w:type="dxa" w:w="5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DeepScan seeding; Myo AI context; Kriya Care matching</w:t>
            </w:r>
          </w:p>
        </w:tc>
      </w:tr>
    </w:tbl>
    <w:p>
      <w:pPr>
        <w:spacing w:before="120" w:after="120"/>
      </w:pPr>
    </w:p>
    <w:p>
      <w:pPr>
        <w:pStyle w:val="Heading3"/>
        <w:spacing w:before="240" w:after="80"/>
      </w:pPr>
      <w:r>
        <w:rPr>
          <w:rFonts w:ascii="Arial" w:cs="Arial" w:eastAsia="Arial" w:hAnsi="Arial"/>
          <w:b/>
          <w:bCs/>
          <w:color w:val="2C3E50"/>
          <w:sz w:val="22"/>
          <w:szCs w:val="22"/>
        </w:rPr>
        <w:t xml:space="preserve">8.2  Cross-Condition &amp; Cross-Location Intelligence</w:t>
      </w:r>
    </w:p>
    <w:p>
      <w:pPr>
        <w:pStyle w:val="ListParagraph"/>
        <w:numPr>
          <w:ilvl w:val="0"/>
          <w:numId w:val="2"/>
        </w:numPr>
        <w:spacing w:before="60" w:after="60"/>
      </w:pPr>
      <w:r>
        <w:rPr>
          <w:rFonts w:ascii="Arial" w:cs="Arial" w:eastAsia="Arial" w:hAnsi="Arial"/>
          <w:b/>
          <w:bCs/>
          <w:color w:val="1A1A1A"/>
          <w:sz w:val="22"/>
          <w:szCs w:val="22"/>
        </w:rPr>
        <w:t xml:space="preserve">Spondylosis + Disc Bulge (Module 4):</w:t>
      </w:r>
      <w:r>
        <w:rPr>
          <w:rFonts w:ascii="Arial" w:cs="Arial" w:eastAsia="Arial" w:hAnsi="Arial"/>
          <w:b w:val="false"/>
          <w:bCs w:val="false"/>
          <w:color w:val="1A1A1A"/>
          <w:sz w:val="22"/>
          <w:szCs w:val="22"/>
        </w:rPr>
        <w:t xml:space="preserve">  Most clinically co-occurring pair in the spinal cluster. Users with both conditions represent the highest spinal degeneration burden cohort. Combined risk tiers and condition tags should feed a composite Spinal Degeneration Profile for DeepScan seeding.</w:t>
      </w:r>
    </w:p>
    <w:p>
      <w:pPr>
        <w:pStyle w:val="ListParagraph"/>
        <w:numPr>
          <w:ilvl w:val="0"/>
          <w:numId w:val="2"/>
        </w:numPr>
        <w:spacing w:before="60" w:after="60"/>
      </w:pPr>
      <w:r>
        <w:rPr>
          <w:rFonts w:ascii="Arial" w:cs="Arial" w:eastAsia="Arial" w:hAnsi="Arial"/>
          <w:b/>
          <w:bCs/>
          <w:color w:val="1A1A1A"/>
          <w:sz w:val="22"/>
          <w:szCs w:val="22"/>
        </w:rPr>
        <w:t xml:space="preserve">Spondylosis + Sciatica (Module 3):</w:t>
      </w:r>
      <w:r>
        <w:rPr>
          <w:rFonts w:ascii="Arial" w:cs="Arial" w:eastAsia="Arial" w:hAnsi="Arial"/>
          <w:b w:val="false"/>
          <w:bCs w:val="false"/>
          <w:color w:val="1A1A1A"/>
          <w:sz w:val="22"/>
          <w:szCs w:val="22"/>
        </w:rPr>
        <w:t xml:space="preserve">  Spondylosis-driven foraminal narrowing is one of the major causes of sciatica in users over 45. Combined profile: FORAMINAL_RADICULOPATHY tag from Spondylosis + BELOW_KNEE flag from Sciatica = highest specificity spinal nerve compression cohort.</w:t>
      </w:r>
    </w:p>
    <w:p>
      <w:pPr>
        <w:pStyle w:val="ListParagraph"/>
        <w:numPr>
          <w:ilvl w:val="0"/>
          <w:numId w:val="2"/>
        </w:numPr>
        <w:spacing w:before="60" w:after="60"/>
      </w:pPr>
      <w:r>
        <w:rPr>
          <w:rFonts w:ascii="Arial" w:cs="Arial" w:eastAsia="Arial" w:hAnsi="Arial"/>
          <w:b/>
          <w:bCs/>
          <w:color w:val="1A1A1A"/>
          <w:sz w:val="22"/>
          <w:szCs w:val="22"/>
        </w:rPr>
        <w:t xml:space="preserve">Spondylosis + OA (Module 2):</w:t>
      </w:r>
      <w:r>
        <w:rPr>
          <w:rFonts w:ascii="Arial" w:cs="Arial" w:eastAsia="Arial" w:hAnsi="Arial"/>
          <w:b w:val="false"/>
          <w:bCs w:val="false"/>
          <w:color w:val="1A1A1A"/>
          <w:sz w:val="22"/>
          <w:szCs w:val="22"/>
        </w:rPr>
        <w:t xml:space="preserve">  Multi-region degenerative disease — users with both lumbar spondylosis and peripheral joint OA represent a polyarthritic degenerative cohort with the highest functional burden and greatest Kriya Care programme need.</w:t>
      </w:r>
    </w:p>
    <w:p>
      <w:pPr>
        <w:pStyle w:val="ListParagraph"/>
        <w:numPr>
          <w:ilvl w:val="0"/>
          <w:numId w:val="2"/>
        </w:numPr>
        <w:spacing w:before="60" w:after="60"/>
      </w:pPr>
      <w:r>
        <w:rPr>
          <w:rFonts w:ascii="Arial" w:cs="Arial" w:eastAsia="Arial" w:hAnsi="Arial"/>
          <w:b/>
          <w:bCs/>
          <w:color w:val="1A1A1A"/>
          <w:sz w:val="22"/>
          <w:szCs w:val="22"/>
        </w:rPr>
        <w:t xml:space="preserve">Spondylosis + Osteoporosis (Module 1):</w:t>
      </w:r>
      <w:r>
        <w:rPr>
          <w:rFonts w:ascii="Arial" w:cs="Arial" w:eastAsia="Arial" w:hAnsi="Arial"/>
          <w:b w:val="false"/>
          <w:bCs w:val="false"/>
          <w:color w:val="1A1A1A"/>
          <w:sz w:val="22"/>
          <w:szCs w:val="22"/>
        </w:rPr>
        <w:t xml:space="preserve">  Vertebral compression fractures at degenerated disc levels — users with both conditions have compounded spinal fragility risk. Combined flags should trigger an enhanced fracture risk note in output.</w:t>
      </w:r>
    </w:p>
    <w:p>
      <w:pPr>
        <w:spacing w:before="120" w:after="120"/>
      </w:pPr>
    </w:p>
    <w:p>
      <w:pPr>
        <w:pStyle w:val="Heading3"/>
        <w:spacing w:before="240" w:after="80"/>
      </w:pPr>
      <w:r>
        <w:rPr>
          <w:rFonts w:ascii="Arial" w:cs="Arial" w:eastAsia="Arial" w:hAnsi="Arial"/>
          <w:b/>
          <w:bCs/>
          <w:color w:val="2C3E50"/>
          <w:sz w:val="22"/>
          <w:szCs w:val="22"/>
        </w:rPr>
        <w:t xml:space="preserve">8.3  Privacy &amp; Data Governance</w:t>
      </w:r>
    </w:p>
    <w:p>
      <w:pPr>
        <w:pStyle w:val="ListParagraph"/>
        <w:numPr>
          <w:ilvl w:val="0"/>
          <w:numId w:val="2"/>
        </w:numPr>
        <w:spacing w:before="60" w:after="60"/>
      </w:pPr>
      <w:r>
        <w:rPr>
          <w:rFonts w:ascii="Arial" w:cs="Arial" w:eastAsia="Arial" w:hAnsi="Arial"/>
          <w:b/>
          <w:bCs/>
          <w:color w:val="1A1A1A"/>
          <w:sz w:val="22"/>
          <w:szCs w:val="22"/>
        </w:rPr>
        <w:t xml:space="preserve">DPDP Act 2023 compliance</w:t>
      </w:r>
      <w:r>
        <w:rPr>
          <w:rFonts w:ascii="Arial" w:cs="Arial" w:eastAsia="Arial" w:hAnsi="Arial"/>
          <w:b w:val="false"/>
          <w:bCs w:val="false"/>
          <w:color w:val="1A1A1A"/>
          <w:sz w:val="22"/>
          <w:szCs w:val="22"/>
        </w:rPr>
        <w:t xml:space="preserve"> — all health data classified as Sensitive Personal Data</w:t>
      </w:r>
    </w:p>
    <w:p>
      <w:pPr>
        <w:pStyle w:val="ListParagraph"/>
        <w:numPr>
          <w:ilvl w:val="0"/>
          <w:numId w:val="2"/>
        </w:numPr>
        <w:spacing w:before="60" w:after="60"/>
      </w:pPr>
      <w:r>
        <w:rPr>
          <w:rFonts w:ascii="Arial" w:cs="Arial" w:eastAsia="Arial" w:hAnsi="Arial"/>
          <w:b/>
          <w:bCs/>
          <w:color w:val="1A1A1A"/>
          <w:sz w:val="22"/>
          <w:szCs w:val="22"/>
        </w:rPr>
        <w:t xml:space="preserve">AS Differentiation Alert data</w:t>
      </w:r>
      <w:r>
        <w:rPr>
          <w:rFonts w:ascii="Arial" w:cs="Arial" w:eastAsia="Arial" w:hAnsi="Arial"/>
          <w:b w:val="false"/>
          <w:bCs w:val="false"/>
          <w:color w:val="1A1A1A"/>
          <w:sz w:val="22"/>
          <w:szCs w:val="22"/>
        </w:rPr>
        <w:t xml:space="preserve"> — unexpected positive rate must be monitored; if higher than expected, question calibration review required</w:t>
      </w:r>
    </w:p>
    <w:p>
      <w:pPr>
        <w:pStyle w:val="ListParagraph"/>
        <w:numPr>
          <w:ilvl w:val="0"/>
          <w:numId w:val="2"/>
        </w:numPr>
        <w:spacing w:before="60" w:after="60"/>
      </w:pPr>
      <w:r>
        <w:rPr>
          <w:rFonts w:ascii="Arial" w:cs="Arial" w:eastAsia="Arial" w:hAnsi="Arial"/>
          <w:b/>
          <w:bCs/>
          <w:color w:val="1A1A1A"/>
          <w:sz w:val="22"/>
          <w:szCs w:val="22"/>
        </w:rPr>
        <w:t xml:space="preserve">Motor sign data</w:t>
      </w:r>
      <w:r>
        <w:rPr>
          <w:rFonts w:ascii="Arial" w:cs="Arial" w:eastAsia="Arial" w:hAnsi="Arial"/>
          <w:b w:val="false"/>
          <w:bCs w:val="false"/>
          <w:color w:val="1A1A1A"/>
          <w:sz w:val="22"/>
          <w:szCs w:val="22"/>
        </w:rPr>
        <w:t xml:space="preserve"> — highest clinical sensitivity; restricted access and weekly safety review</w:t>
      </w:r>
    </w:p>
    <w:p>
      <w:pPr>
        <w:pStyle w:val="ListParagraph"/>
        <w:numPr>
          <w:ilvl w:val="0"/>
          <w:numId w:val="2"/>
        </w:numPr>
        <w:spacing w:before="60" w:after="60"/>
      </w:pPr>
      <w:r>
        <w:rPr>
          <w:rFonts w:ascii="Arial" w:cs="Arial" w:eastAsia="Arial" w:hAnsi="Arial"/>
          <w:b/>
          <w:bCs/>
          <w:color w:val="1A1A1A"/>
          <w:sz w:val="22"/>
          <w:szCs w:val="22"/>
        </w:rPr>
        <w:t xml:space="preserve">Data retention:</w:t>
      </w:r>
      <w:r>
        <w:rPr>
          <w:rFonts w:ascii="Arial" w:cs="Arial" w:eastAsia="Arial" w:hAnsi="Arial"/>
          <w:b w:val="false"/>
          <w:bCs w:val="false"/>
          <w:color w:val="1A1A1A"/>
          <w:sz w:val="22"/>
          <w:szCs w:val="22"/>
        </w:rPr>
        <w:t xml:space="preserve">  24 months from last activity; deletable on request</w:t>
      </w:r>
    </w:p>
    <w:p>
      <w:pPr>
        <w:spacing w:before="200" w:after="120"/>
      </w:pPr>
    </w:p>
    <w:p>
      <w:r>
        <w:br w:type="page"/>
      </w:r>
    </w:p>
    <w:p>
      <w:pPr>
        <w:pStyle w:val="Heading1"/>
        <w:spacing w:before="400" w:after="160"/>
      </w:pPr>
      <w:r>
        <w:rPr>
          <w:rFonts w:ascii="Arial" w:cs="Arial" w:eastAsia="Arial" w:hAnsi="Arial"/>
          <w:b/>
          <w:bCs/>
          <w:color w:val="0D7377"/>
          <w:sz w:val="32"/>
          <w:szCs w:val="32"/>
        </w:rPr>
        <w:t xml:space="preserve">9.  Scan by Condition Architecture — Five Module Summary</w:t>
      </w:r>
    </w:p>
    <w:p>
      <w:pPr>
        <w:pBdr>
          <w:bottom w:val="single" w:color="0D7377" w:sz="8" w:space="1"/>
        </w:pBdr>
        <w:spacing w:before="0" w:after="160"/>
      </w:pPr>
    </w:p>
    <w:p>
      <w:pPr>
        <w:spacing w:before="80" w:after="80"/>
        <w:jc w:val="left"/>
      </w:pPr>
      <w:r>
        <w:rPr>
          <w:rFonts w:ascii="Arial" w:cs="Arial" w:eastAsia="Arial" w:hAnsi="Arial"/>
          <w:b w:val="false"/>
          <w:bCs w:val="false"/>
          <w:color w:val="1A1A1A"/>
          <w:sz w:val="22"/>
          <w:szCs w:val="22"/>
        </w:rPr>
        <w:t xml:space="preserve">Five of the ten Scan by Condition modules are now documented. The spinal cluster (Sciatica, Disc Bulge, Spondylosis) is complete. The table below captures the full architectural evolution and serves as the reference framework for the remaining five modules.</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Design Dimension</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Osteoporosis</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Osteoarthritis</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Sciatica</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Disc Bulge</w:t>
            </w:r>
          </w:p>
        </w:tc>
        <w:tc>
          <w:tcPr>
            <w:tcW w:type="dxa" w:w="144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Spondylosis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Architecture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Risk-factor dominant 70/30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Hybrid 40/60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Symptom-dominant 30/70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Structural + symptom 35/35/30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Degenerative + functional 40/35/25</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Entry driver</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suspicion</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pain</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Radiating leg/arm pain</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Known imaging finding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Diagnosed or suspected spinal degeneration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Key L1 discriminator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Hormonal/medical risk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 OA risk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dominance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history + region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Duration + multi-level + progression</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Key L2 discriminator</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Lifestyle + secondary risk</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Stiffness pattern + crepitus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Dermatomal distribution</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Current symptom + neuro signs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Neurogenic claudication + radiculopathy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Layer 0 element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Vertebral fracture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RA Differentiation Alert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Progressive deficit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Cervical Myelopathy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Gate (non-halting)</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output card</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Factor Summary</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Joint Profile Panel</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 Pain Distribution Map</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 Context Card</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Protection Card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Unique clinical message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DEXA referral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primary Rx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Rest vs movement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Imaging-symptom mismatch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Counter clinical nihilism — exercise protects</w:t>
            </w:r>
          </w:p>
        </w:tc>
      </w:tr>
      <w:tr>
        <w:tc>
          <w:tcPr>
            <w:tcW w:type="dxa" w:w="21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Series cross-links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 Heel &amp; Foot</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Osteoporosis + RA</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Low Back (approved) + Disc Bulge</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 Low Back + Neck</w:t>
            </w:r>
          </w:p>
        </w:tc>
        <w:tc>
          <w:tcPr>
            <w:tcW w:type="dxa" w:w="144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Sciatica + Disc Bulge + OA + Osteoporosis</w:t>
            </w:r>
          </w:p>
        </w:tc>
      </w:tr>
    </w:tbl>
    <w:p>
      <w:pPr>
        <w:spacing w:before="200" w:after="120"/>
      </w:pPr>
    </w:p>
    <w:p>
      <w:r>
        <w:br w:type="page"/>
      </w:r>
    </w:p>
    <w:p>
      <w:pPr>
        <w:pStyle w:val="Heading1"/>
        <w:spacing w:before="400" w:after="160"/>
      </w:pPr>
      <w:r>
        <w:rPr>
          <w:rFonts w:ascii="Arial" w:cs="Arial" w:eastAsia="Arial" w:hAnsi="Arial"/>
          <w:b/>
          <w:bCs/>
          <w:color w:val="0D7377"/>
          <w:sz w:val="32"/>
          <w:szCs w:val="32"/>
        </w:rPr>
        <w:t xml:space="preserve">10.  Open Items &amp; Next Steps</w:t>
      </w:r>
    </w:p>
    <w:p>
      <w:pPr>
        <w:pBdr>
          <w:bottom w:val="single" w:color="0D7377" w:sz="8" w:space="1"/>
        </w:pBdr>
        <w:spacing w:before="0" w:after="160"/>
      </w:pPr>
    </w:p>
    <w:p>
      <w:pPr>
        <w:pStyle w:val="Heading3"/>
        <w:spacing w:before="240" w:after="80"/>
      </w:pPr>
      <w:r>
        <w:rPr>
          <w:rFonts w:ascii="Arial" w:cs="Arial" w:eastAsia="Arial" w:hAnsi="Arial"/>
          <w:b/>
          <w:bCs/>
          <w:color w:val="2C3E50"/>
          <w:sz w:val="22"/>
          <w:szCs w:val="22"/>
        </w:rPr>
        <w:t xml:space="preserve">10.1  Items Requiring Clinical Advisory Board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Item</w:t>
            </w:r>
          </w:p>
        </w:tc>
        <w:tc>
          <w:tcPr>
            <w:tcW w:type="dxa" w:w="33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Priority</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CES + Myelopathy screen Q0.1 Sections A and B — confirm four-module wording consistency (LBP, Sciatica, Disc Bulge, Spondylosis)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AS Differentiation Gate Q0.1 Section C — ASAS inflammatory back pain criteria adaptation validity and age threshold (&lt; 40)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Neurogenic claudication screen Q2.3 — self-report validity of sitting-relief vs standing-relief discrimination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Q2.4 neurological signs — confirm four-module alignment with Sciatica Q2.1+Q2.2 and Disc Bulge Q2.2</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Risk tier calibration — 0–10 / 11–22 / 23+ for degenerative + functional scoring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Exercise as Protection card copy — clinical accuracy and appropriate tier-calibrated messaging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P0 — Pre-launch blocker</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STENOSIS_SIGNAL hard floor rule validation — stenosis + long duration → HIGH RISK trigger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Vascular claudication differentiation — clinical validity of standing-still relief as self-report discriminator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Multi-level hard floor rule — BOTH_STREAMS + MULTILEVEL + PROGRESSIVE → HIGH RISK validity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r>
        <w:tc>
          <w:tcPr>
            <w:tcW w:type="dxa" w:w="6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Natural history messaging for spondylosis — clinical accuracy of exercise-slows-progression claims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P1 — Pre-launch</w:t>
            </w:r>
          </w:p>
        </w:tc>
      </w:tr>
    </w:tbl>
    <w:p>
      <w:pPr>
        <w:spacing w:before="120" w:after="120"/>
      </w:pPr>
    </w:p>
    <w:p>
      <w:pPr>
        <w:pStyle w:val="Heading3"/>
        <w:spacing w:before="240" w:after="80"/>
      </w:pPr>
      <w:r>
        <w:rPr>
          <w:rFonts w:ascii="Arial" w:cs="Arial" w:eastAsia="Arial" w:hAnsi="Arial"/>
          <w:b/>
          <w:bCs/>
          <w:color w:val="2C3E50"/>
          <w:sz w:val="22"/>
          <w:szCs w:val="22"/>
        </w:rPr>
        <w:t xml:space="preserve">10.2  Spinal Cluster Complete — Remaining Series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Spinal Cluster Complete. Remaining Five Conditions:</w:t>
            </w:r>
          </w:p>
          <w:p>
            <w:pPr>
              <w:spacing w:before="60" w:after="120"/>
            </w:pPr>
          </w:p>
          <w:p>
            <w:pPr>
              <w:pStyle w:val="ListParagraph"/>
              <w:numPr>
                <w:ilvl w:val="0"/>
                <w:numId w:val="2"/>
              </w:numPr>
              <w:spacing w:before="60" w:after="60"/>
            </w:pPr>
            <w:r>
              <w:rPr>
                <w:rFonts w:ascii="Arial" w:cs="Arial" w:eastAsia="Arial" w:hAnsi="Arial"/>
                <w:b/>
                <w:bCs/>
                <w:color w:val="1A1A1A"/>
                <w:sz w:val="22"/>
                <w:szCs w:val="22"/>
              </w:rPr>
              <w:t xml:space="preserve">Rheumatoid Arthritis  (Module 6 — next):</w:t>
            </w:r>
            <w:r>
              <w:rPr>
                <w:rFonts w:ascii="Arial" w:cs="Arial" w:eastAsia="Arial" w:hAnsi="Arial"/>
                <w:b w:val="false"/>
                <w:bCs w:val="false"/>
                <w:color w:val="1A1A1A"/>
                <w:sz w:val="20"/>
                <w:szCs w:val="20"/>
              </w:rPr>
              <w:t xml:space="preserve">  Systemic inflammatory arthritis; receives RA-flagged users from OA module; distinct risk-factor dominant architecture with inflammatory markers as primary drivers; cross-references Osteoporosis (secondary cause) and OA (differential)</w:t>
            </w:r>
          </w:p>
          <w:p>
            <w:pPr>
              <w:pStyle w:val="ListParagraph"/>
              <w:numPr>
                <w:ilvl w:val="0"/>
                <w:numId w:val="2"/>
              </w:numPr>
              <w:spacing w:before="60" w:after="60"/>
            </w:pPr>
            <w:r>
              <w:rPr>
                <w:rFonts w:ascii="Arial" w:cs="Arial" w:eastAsia="Arial" w:hAnsi="Arial"/>
                <w:b/>
                <w:bCs/>
                <w:color w:val="1A1A1A"/>
                <w:sz w:val="22"/>
                <w:szCs w:val="22"/>
              </w:rPr>
              <w:t xml:space="preserve">Plantar Fasciitis  (Module 7):</w:t>
            </w:r>
            <w:r>
              <w:rPr>
                <w:rFonts w:ascii="Arial" w:cs="Arial" w:eastAsia="Arial" w:hAnsi="Arial"/>
                <w:b w:val="false"/>
                <w:bCs w:val="false"/>
                <w:color w:val="1A1A1A"/>
                <w:sz w:val="20"/>
                <w:szCs w:val="20"/>
              </w:rPr>
              <w:t xml:space="preserve">  Symptom-dominant architecture; directly seeded from Heel &amp; Foot QuickScan Plantar Fasciitis Confirmed Candidate tag; biomechanical and footwear focus</w:t>
            </w:r>
          </w:p>
          <w:p>
            <w:pPr>
              <w:pStyle w:val="ListParagraph"/>
              <w:numPr>
                <w:ilvl w:val="0"/>
                <w:numId w:val="2"/>
              </w:numPr>
              <w:spacing w:before="60" w:after="60"/>
            </w:pPr>
            <w:r>
              <w:rPr>
                <w:rFonts w:ascii="Arial" w:cs="Arial" w:eastAsia="Arial" w:hAnsi="Arial"/>
                <w:b/>
                <w:bCs/>
                <w:color w:val="1A1A1A"/>
                <w:sz w:val="22"/>
                <w:szCs w:val="22"/>
              </w:rPr>
              <w:t xml:space="preserve">Rotator Cuff Injury  (Module 8):</w:t>
            </w:r>
            <w:r>
              <w:rPr>
                <w:rFonts w:ascii="Arial" w:cs="Arial" w:eastAsia="Arial" w:hAnsi="Arial"/>
                <w:b w:val="false"/>
                <w:bCs w:val="false"/>
                <w:color w:val="1A1A1A"/>
                <w:sz w:val="20"/>
                <w:szCs w:val="20"/>
              </w:rPr>
              <w:t xml:space="preserve">  Structural-pathology hybrid; seeded from Shoulder QuickScan Rotator Cuff Weakness and Significant Rotator Cuff Signal tags; imaging history entry (similar to Disc Bulge)</w:t>
            </w:r>
          </w:p>
          <w:p>
            <w:pPr>
              <w:pStyle w:val="ListParagraph"/>
              <w:numPr>
                <w:ilvl w:val="0"/>
                <w:numId w:val="2"/>
              </w:numPr>
              <w:spacing w:before="60" w:after="60"/>
            </w:pPr>
            <w:r>
              <w:rPr>
                <w:rFonts w:ascii="Arial" w:cs="Arial" w:eastAsia="Arial" w:hAnsi="Arial"/>
                <w:b/>
                <w:bCs/>
                <w:color w:val="1A1A1A"/>
                <w:sz w:val="22"/>
                <w:szCs w:val="22"/>
              </w:rPr>
              <w:t xml:space="preserve">Carpal Tunnel Syndrome  (Module 9):</w:t>
            </w:r>
            <w:r>
              <w:rPr>
                <w:rFonts w:ascii="Arial" w:cs="Arial" w:eastAsia="Arial" w:hAnsi="Arial"/>
                <w:b w:val="false"/>
                <w:bCs w:val="false"/>
                <w:color w:val="1A1A1A"/>
                <w:sz w:val="20"/>
                <w:szCs w:val="20"/>
              </w:rPr>
              <w:t xml:space="preserve">  Symptom-dominant; peripheral nerve entrapment; no location module yet — standalone entry point; unique symptom profile (nocturnal hand pain, specific finger distribution)</w:t>
            </w:r>
          </w:p>
          <w:p>
            <w:pPr>
              <w:pStyle w:val="ListParagraph"/>
              <w:numPr>
                <w:ilvl w:val="0"/>
                <w:numId w:val="2"/>
              </w:numPr>
              <w:spacing w:before="60" w:after="60"/>
            </w:pPr>
            <w:r>
              <w:rPr>
                <w:rFonts w:ascii="Arial" w:cs="Arial" w:eastAsia="Arial" w:hAnsi="Arial"/>
                <w:b/>
                <w:bCs/>
                <w:color w:val="1A1A1A"/>
                <w:sz w:val="22"/>
                <w:szCs w:val="22"/>
              </w:rPr>
              <w:t xml:space="preserve">Scoliosis  (Module 10):</w:t>
            </w:r>
            <w:r>
              <w:rPr>
                <w:rFonts w:ascii="Arial" w:cs="Arial" w:eastAsia="Arial" w:hAnsi="Arial"/>
                <w:b w:val="false"/>
                <w:bCs w:val="false"/>
                <w:color w:val="1A1A1A"/>
                <w:sz w:val="20"/>
                <w:szCs w:val="20"/>
              </w:rPr>
              <w:t xml:space="preserve">  Structural deformity; risk-factor dominant with postural and functional overlay; distinct from all prior modules; strong preventive care angle for younger users</w:t>
            </w:r>
          </w:p>
        </w:tc>
      </w:tr>
    </w:tbl>
    <w:p>
      <w:pPr>
        <w:spacing w:before="120" w:after="120"/>
      </w:pPr>
    </w:p>
    <w:p>
      <w:pPr>
        <w:pStyle w:val="Heading3"/>
        <w:spacing w:before="240" w:after="80"/>
      </w:pPr>
      <w:r>
        <w:rPr>
          <w:rFonts w:ascii="Arial" w:cs="Arial" w:eastAsia="Arial" w:hAnsi="Arial"/>
          <w:b/>
          <w:bCs/>
          <w:color w:val="2C3E50"/>
          <w:sz w:val="22"/>
          <w:szCs w:val="22"/>
        </w:rPr>
        <w:t xml:space="preserve">10.3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Action</w:t>
            </w:r>
          </w:p>
        </w:tc>
        <w:tc>
          <w:tcPr>
            <w:tcW w:type="dxa" w:w="3600"/>
            <w:tcBorders>
              <w:top w:val="single" w:color="0D7377" w:sz="1"/>
              <w:left w:val="single" w:color="0D7377" w:sz="1"/>
              <w:bottom w:val="single" w:color="0D7377" w:sz="1"/>
              <w:right w:val="single" w:color="0D7377" w:sz="1"/>
            </w:tcBorders>
            <w:shd w:fill="0D7377" w:val="clear"/>
            <w:tcMar>
              <w:top w:type="dxa" w:w="100"/>
              <w:left w:type="dxa" w:w="140"/>
              <w:bottom w:type="dxa" w:w="100"/>
              <w:right w:type="dxa" w:w="140"/>
            </w:tcMar>
          </w:tcPr>
          <w:p>
            <w:pPr>
              <w:spacing w:before="80" w:after="80"/>
              <w:jc w:val="left"/>
            </w:pPr>
            <w:r>
              <w:rPr>
                <w:rFonts w:ascii="Arial" w:cs="Arial" w:eastAsia="Arial" w:hAnsi="Arial"/>
                <w:b/>
                <w:bCs/>
                <w:color w:val="FFFFFF"/>
                <w:sz w:val="20"/>
                <w:szCs w:val="20"/>
              </w:rPr>
              <w:t xml:space="preserve">Owner</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Advisory Board batch session — four-module CES wording consistency review; AS gate and neurogenic claudication screen are P0 priorities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review — Exercise as Protection card messaging; vascular claudication note; AS alert language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Legal / Compliance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UX wireframe — Three-part Q0.1 screen design; Stenosis Walking Pattern Note component; AS Alert panel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Design Lead</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Engineering — Four-module CES wording sync; AS flag non-halting logic; neurogenic claudication decision tree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Tech Lead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Kriya Care — Spondylosis programme specs: cervical (deep neck flexors + posture) and lumbar (core stability + extension) and stenosis-adapted (supported exercise) variants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Clinical + Product</w:t>
            </w:r>
          </w:p>
        </w:tc>
      </w:tr>
      <w:tr>
        <w:tc>
          <w:tcPr>
            <w:tcW w:type="dxa" w:w="57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Begin Rheumatoid Arthritis Scan by Condition PRD</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before="80" w:after="80"/>
              <w:jc w:val="left"/>
            </w:pPr>
            <w:r>
              <w:rPr>
                <w:rFonts w:ascii="Arial" w:cs="Arial" w:eastAsia="Arial" w:hAnsi="Arial"/>
                <w:b w:val="false"/>
                <w:bCs w:val="false"/>
                <w:color w:val="1A1A1A"/>
                <w:sz w:val="20"/>
                <w:szCs w:val="20"/>
              </w:rPr>
              <w:t xml:space="preserve">Product + Clinical Lead</w:t>
            </w:r>
          </w:p>
        </w:tc>
      </w:tr>
    </w:tbl>
    <w:p>
      <w:pPr>
        <w:spacing w:before="200" w:after="120"/>
      </w:pPr>
    </w:p>
    <w:p>
      <w:pPr>
        <w:pBdr>
          <w:bottom w:val="single" w:color="0D7377" w:sz="8" w:space="1"/>
        </w:pBdr>
        <w:spacing w:before="0" w:after="160"/>
      </w:pP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1"/>
              <w:left w:val="single" w:color="0D7377" w:sz="1"/>
              <w:bottom w:val="single" w:color="0D7377" w:sz="1"/>
              <w:right w:val="single" w:color="0D7377" w:sz="1"/>
            </w:tcBorders>
            <w:shd w:fill="E6F4F4" w:val="clear"/>
            <w:tcMar>
              <w:top w:type="dxa" w:w="160"/>
              <w:left w:type="dxa" w:w="240"/>
              <w:bottom w:type="dxa" w:w="160"/>
              <w:right w:type="dxa" w:w="240"/>
            </w:tcMar>
          </w:tcPr>
          <w:p>
            <w:pPr>
              <w:spacing w:before="80" w:after="80"/>
              <w:jc w:val="left"/>
            </w:pPr>
            <w:r>
              <w:rPr>
                <w:rFonts w:ascii="Arial" w:cs="Arial" w:eastAsia="Arial" w:hAnsi="Arial"/>
                <w:b/>
                <w:bCs/>
                <w:color w:val="0D7377"/>
                <w:sz w:val="20"/>
                <w:szCs w:val="20"/>
              </w:rPr>
              <w:t xml:space="preserve">Document Control</w:t>
            </w:r>
          </w:p>
          <w:p>
            <w:pPr>
              <w:spacing w:before="80" w:after="80"/>
              <w:jc w:val="left"/>
            </w:pPr>
            <w:r>
              <w:rPr>
                <w:rFonts w:ascii="Arial" w:cs="Arial" w:eastAsia="Arial" w:hAnsi="Arial"/>
                <w:b w:val="false"/>
                <w:bCs w:val="false"/>
                <w:color w:val="1A1A1A"/>
                <w:sz w:val="20"/>
                <w:szCs w:val="20"/>
              </w:rPr>
              <w:t xml:space="preserve">This is v1.0 of the QuickScan — Spondylosis PRD. It is the fifth document in the Scan by Condition series and completes the spinal condition cluster (Sciatica + Disc Bulge + Spondylosis). It introduces the three-part Layer 0 screen (CES + Myelopathy + AS Differentiation Gate), the neurogenic claudication screen with vascular claudication differentiation, and the Exercise as Protection Card. All clinical frameworks, four-module CES wording consistency requirements, AS differentiation criteria, neurogenic claudication self-report validity, and risk thresholds require validation by the Kriya Clinical Advisory Board before production implementation.</w:t>
            </w:r>
          </w:p>
          <w:p>
            <w:pPr>
              <w:spacing w:before="60" w:after="120"/>
            </w:pPr>
          </w:p>
          <w:p>
            <w:pPr>
              <w:spacing w:before="80" w:after="80"/>
              <w:jc w:val="left"/>
            </w:pPr>
            <w:r>
              <w:rPr>
                <w:rFonts w:ascii="Arial" w:cs="Arial" w:eastAsia="Arial" w:hAnsi="Arial"/>
                <w:b w:val="false"/>
                <w:bCs w:val="false"/>
                <w:color w:val="7F8C8D"/>
                <w:sz w:val="20"/>
                <w:szCs w:val="20"/>
              </w:rPr>
              <w:t xml:space="preserve">Next review milestone: Clinical Advisory Board batch review (spinal cluster: Sciatica + Disc Bulge + Spondylosis) → v1.1 documents with four-module CES wording confirmed, AS gate validated, claudication screen approved.</w:t>
            </w:r>
          </w:p>
          <w:p>
            <w:pPr>
              <w:spacing w:before="60" w:after="120"/>
            </w:pPr>
          </w:p>
          <w:p>
            <w:pPr>
              <w:spacing w:before="80" w:after="80"/>
              <w:jc w:val="left"/>
            </w:pPr>
            <w:r>
              <w:rPr>
                <w:rFonts w:ascii="Arial" w:cs="Arial" w:eastAsia="Arial" w:hAnsi="Arial"/>
                <w:b w:val="false"/>
                <w:bCs w:val="false"/>
                <w:color w:val="0D7377"/>
                <w:sz w:val="20"/>
                <w:szCs w:val="20"/>
              </w:rPr>
              <w:t xml:space="preserve">Scan by Condition PRD series status: Osteoporosis — pending  |  Osteoarthritis — pending  |  Sciatica — pending  |  Disc Bulge — pending  |  Spondylosis — pending  |  Rheumatoid Arthritis — next  |  4 further conditions pending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6" w:space="1"/>
      </w:pBdr>
      <w:spacing w:before="160"/>
    </w:pPr>
    <w:r>
      <w:rPr>
        <w:rFonts w:ascii="Arial" w:cs="Arial" w:eastAsia="Arial" w:hAnsi="Arial"/>
        <w:b w:val="false"/>
        <w:bCs w:val="false"/>
        <w:color w:val="7F8C8D"/>
        <w:sz w:val="18"/>
        <w:szCs w:val="18"/>
      </w:rPr>
      <w:t xml:space="preserve">Project Lotus — Bravo (Kriya Scan)  |  Scan by Condition  |  v1.0 Draft    |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b w:val="false"/>
        <w:bCs w:val="false"/>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1"/>
      </w:pBdr>
      <w:spacing w:after="200"/>
    </w:pPr>
    <w:r>
      <w:rPr>
        <w:rFonts w:ascii="Arial" w:cs="Arial" w:eastAsia="Arial" w:hAnsi="Arial"/>
        <w:b/>
        <w:bCs/>
        <w:color w:val="0D7377"/>
        <w:sz w:val="18"/>
        <w:szCs w:val="18"/>
      </w:rPr>
      <w:t xml:space="preserve">KRIYA  |  QUICKSCAN PRD</w:t>
    </w:r>
    <w:r>
      <w:rPr>
        <w:rFonts w:ascii="Arial" w:cs="Arial" w:eastAsia="Arial" w:hAnsi="Arial"/>
        <w:color w:val="7F8C8D"/>
        <w:sz w:val="18"/>
        <w:szCs w:val="18"/>
      </w:rPr>
      <w:t xml:space="preserve">        Scan by Condition — Spondylosis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7377"/>
      <w:sz w:val="32"/>
      <w:szCs w:val="32"/>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2026-03-21T18:17:19.770Z</dcterms:created>
  <dcterms:modified xsi:type="dcterms:W3CDTF">2026-03-21T18:17:19.771Z</dcterms:modified>
</cp:coreProperties>
</file>

<file path=docProps/custom.xml><?xml version="1.0" encoding="utf-8"?>
<Properties xmlns="http://schemas.openxmlformats.org/officeDocument/2006/custom-properties" xmlns:vt="http://schemas.openxmlformats.org/officeDocument/2006/docPropsVTypes"/>
</file>