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Land Access Consent</w:t>
      </w:r>
    </w:p>
    <w:p>
      <w:r>
        <w:t>Sahyadri Village Council - Community Forest Restoration 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APP-FOREST-004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APP-FOREST-004/D5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Community Forest Restoration Fund (SCHEME-FOREST)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Sahyadri Village Council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local authority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Sahyadri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2,100,000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land_access_consent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fair</w:t>
            </w:r>
          </w:p>
        </w:tc>
      </w:tr>
    </w:tbl>
    <w:p>
      <w:pPr>
        <w:pStyle w:val="Heading1"/>
      </w:pPr>
      <w:r>
        <w:t>Statement of record</w:t>
      </w:r>
    </w:p>
    <w:p>
      <w:r>
        <w:t>Council resolution grants access, but two plots are noted as subject to a pending customary-rights consultation.</w:t>
      </w:r>
    </w:p>
    <w:p>
      <w:pPr>
        <w:pStyle w:val="Heading1"/>
      </w:pPr>
      <w:r>
        <w:t>Basis of authority</w:t>
      </w:r>
    </w:p>
    <w:p>
      <w:r>
        <w:t>Issued in respect of the proposed activity of Sahyadri Village Council in Sahyadri under Community Forest Restoration Fund.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