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Water Risk Baseline</w:t>
      </w:r>
    </w:p>
    <w:p>
      <w:r>
        <w:t>Blue Horizon Research Foundation - Climate Resilient Watershed Innovation Scheme</w:t>
      </w:r>
    </w:p>
    <w:p>
      <w:r>
        <w:t>Scanned attachment for APP-WATER-002/D5. The page below was submitted as an image; the recorded evidence quality is 'poor'.</w:t>
      </w:r>
    </w:p>
    <w:p>
      <w:r>
        <w:drawing>
          <wp:inline xmlns:a="http://schemas.openxmlformats.org/drawingml/2006/main" xmlns:pic="http://schemas.openxmlformats.org/drawingml/2006/picture">
            <wp:extent cx="5669280" cy="8019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1928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