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Risk Baseline</w:t>
      </w:r>
    </w:p>
    <w:p>
      <w:r>
        <w:t>Asha Infrastructure Consortium - Climate Resilient Watershed Innovation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APP-WATER-004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APP-WATER-004/D5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Climate Resilient Watershed Innovation Scheme (SCHEME-WATER)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Asha Infrastructure Consortium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registered company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Kaveri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8,100,000</w:t>
            </w:r>
          </w:p>
        </w:tc>
      </w:tr>
      <w:tr>
        <w:tc>
          <w:tcPr>
            <w:tcW w:type="dxa" w:w="4320"/>
          </w:tcPr>
          <w:p>
            <w:r>
              <w:t>Declared match funding</w:t>
            </w:r>
          </w:p>
        </w:tc>
        <w:tc>
          <w:tcPr>
            <w:tcW w:type="dxa" w:w="4320"/>
          </w:tcPr>
          <w:p>
            <w:r>
              <w:t>INR 1,000,000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water_risk_baseline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fair</w:t>
            </w:r>
          </w:p>
        </w:tc>
      </w:tr>
    </w:tbl>
    <w:p>
      <w:pPr>
        <w:pStyle w:val="Heading1"/>
      </w:pPr>
      <w:r>
        <w:t>Statement of record</w:t>
      </w:r>
    </w:p>
    <w:p>
      <w:r>
        <w:t>Baseline uses generic regional flood statistics and no Kaveri measurements.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