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Water Risk Baseline</w:t>
      </w:r>
    </w:p>
    <w:p>
      <w:r>
        <w:t>Nadi Basin Producer Collective - Climate Resilient Watershed Innovation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APP-WATER-001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APP-WATER-001/D5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Climate Resilient Watershed Innovation Scheme (SCHEME-WATER)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Nadi Basin Producer Collective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producer collective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Nadi Basin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4,200,000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480,000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water_risk_baseline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Five-year records show seasonal water table decline and three flood-prone settlements.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