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Water Risk Baseline</w:t>
      </w:r>
    </w:p>
    <w:p>
      <w:r>
        <w:t>Resilient Delta Labs - Climate Resilient Watershed Innovation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APP-WATER-003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APP-WATER-003/D5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Climate Resilient Watershed Innovation Scheme (SCHEME-WATER)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Resilient Delta Labs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research institution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Delta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7,900,000</w:t>
            </w:r>
          </w:p>
        </w:tc>
      </w:tr>
      <w:tr>
        <w:tc>
          <w:tcPr>
            <w:tcW w:type="dxa" w:w="4320"/>
          </w:tcPr>
          <w:p>
            <w:r>
              <w:t>Declared match funding</w:t>
            </w:r>
          </w:p>
        </w:tc>
        <w:tc>
          <w:tcPr>
            <w:tcW w:type="dxa" w:w="4320"/>
          </w:tcPr>
          <w:p>
            <w:r>
              <w:t>INR 900,000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water_risk_baseline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Hydrological baseline supports flood exposure but covers only 45 hectares.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