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SKYNET allows you to browse through various platforms available for a course you would like to pursue. It currently offers the following courses: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 artificial intelligence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machine learning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deep learning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neural networking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embedded systems </w:t>
      </w:r>
    </w:p>
    <w:p w:rsidR="00000000" w:rsidDel="00000000" w:rsidP="00000000" w:rsidRDefault="00000000" w:rsidRPr="00000000" w14:paraId="00000007">
      <w:pPr>
        <w:rPr/>
      </w:pPr>
      <w:r w:rsidDel="00000000" w:rsidR="00000000" w:rsidRPr="00000000">
        <w:rPr>
          <w:rtl w:val="0"/>
        </w:rPr>
        <w:t xml:space="preserve">The platforms provided are: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Coursera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Udemy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Intellipaat </w:t>
      </w:r>
    </w:p>
    <w:p w:rsidR="00000000" w:rsidDel="00000000" w:rsidP="00000000" w:rsidRDefault="00000000" w:rsidRPr="00000000" w14:paraId="0000000B">
      <w:pPr>
        <w:rPr/>
      </w:pPr>
      <w:r w:rsidDel="00000000" w:rsidR="00000000" w:rsidRPr="00000000">
        <w:rPr>
          <w:rtl w:val="0"/>
        </w:rPr>
        <w:t xml:space="preserve">More courses and platforms could be in the course of time. The frontend development follows HTML and CSS whereas the backend follows Django. It helps in easy browsing and quick access to a number of platforms and courses. It allows you to choose between the best platforms for the same course.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