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Health Benefits 2026</w:t>
      </w:r>
    </w:p>
    <w:p>
      <w:r>
        <w:t>Medical, dental, and vision coverage starts on the first of the month after your start date.</w:t>
      </w:r>
    </w:p>
    <w:p>
      <w:r>
        <w:t>Wellness stipend: USD 500 per calendar year. Submit receipts in Rippling under Benefits &gt; Wellness.</w:t>
      </w:r>
    </w:p>
    <w:p>
      <w:r>
        <w:t>Mental health: 8 covered therapy sessions per year through Spring Health. The access code is ACME-CARE-26.</w:t>
      </w:r>
    </w:p>
    <w:p>
      <w:r>
        <w:t>Benefits questions go to priya.nair@acme.test.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