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b/>
          <w:bCs/>
          <w:color w:val="037272"/>
          <w:sz w:val="72"/>
          <w:szCs w:val="72"/>
        </w:rPr>
        <w:t xml:space="preserve">PORTFOLIO ONE</w:t>
      </w:r>
    </w:p>
    <w:p>
      <w:pPr>
        <w:spacing w:after="80" w:before="0"/>
        <w:jc w:val="center"/>
      </w:pPr>
      <w:r>
        <w:rPr>
          <w:color w:val="09090B"/>
          <w:sz w:val="52"/>
          <w:szCs w:val="52"/>
        </w:rPr>
        <w:t xml:space="preserve">Operating Manual</w:t>
      </w:r>
    </w:p>
    <w:p>
      <w:pPr>
        <w:spacing w:after="400" w:before="0"/>
        <w:jc w:val="center"/>
      </w:pPr>
      <w:r>
        <w:rPr>
          <w:i/>
          <w:iCs/>
          <w:color w:val="52525B"/>
          <w:sz w:val="28"/>
          <w:szCs w:val="28"/>
        </w:rPr>
        <w:t xml:space="preserve">AI-Powered Smart Building Intelligence Platform</w:t>
      </w:r>
    </w:p>
    <w:p>
      <w:pPr>
        <w:pBdr>
          <w:top w:val="single" w:color="037272" w:sz="8" w:space="2"/>
          <w:bottom w:val="single" w:color="037272" w:sz="8" w:space="2"/>
        </w:pBdr>
        <w:spacing w:after="80" w:before="80"/>
        <w:jc w:val="center"/>
      </w:pPr>
      <w:r>
        <w:rPr>
          <w:b/>
          <w:bCs/>
          <w:color w:val="037272"/>
          <w:sz w:val="28"/>
          <w:szCs w:val="28"/>
        </w:rPr>
        <w:t xml:space="preserve">Basic Tier  ·  Premium Tier</w:t>
      </w:r>
    </w:p>
    <w:p>
      <w:pPr>
        <w:spacing w:after="0" w:before="400"/>
      </w:pPr>
    </w:p>
    <w:p>
      <w:pPr>
        <w:spacing w:after="40" w:before="0"/>
        <w:jc w:val="center"/>
      </w:pPr>
      <w:r>
        <w:rPr>
          <w:color w:val="52525B"/>
          <w:sz w:val="22"/>
          <w:szCs w:val="22"/>
        </w:rPr>
        <w:t xml:space="preserve">Energy  ·  Utilities  ·  BMS  ·  Alerts  ·  Carbon  ·  Reports</w:t>
      </w:r>
    </w:p>
    <w:p>
      <w:pPr>
        <w:spacing w:after="400" w:before="0"/>
        <w:jc w:val="center"/>
      </w:pPr>
      <w:r>
        <w:rPr>
          <w:color w:val="52525B"/>
          <w:sz w:val="22"/>
          <w:szCs w:val="22"/>
        </w:rPr>
        <w:t xml:space="preserve">Across six regions — UK · EU · USA · Australia · Hong Kong · Caribbean</w:t>
      </w:r>
    </w:p>
    <w:p>
      <w:pPr>
        <w:jc w:val="center"/>
      </w:pPr>
      <w:r>
        <w:rPr>
          <w:color w:val="52525B"/>
          <w:sz w:val="22"/>
          <w:szCs w:val="22"/>
        </w:rPr>
        <w:t xml:space="preserve">Version 1.0  ·  June 2026</w:t>
      </w:r>
    </w:p>
    <w:p>
      <w:pPr>
        <w:spacing w:after="0" w:before="40"/>
        <w:jc w:val="center"/>
      </w:pPr>
      <w:r>
        <w:rPr>
          <w:color w:val="037272"/>
          <w:sz w:val="22"/>
          <w:szCs w:val="22"/>
        </w:rPr>
        <w:t xml:space="preserve">visionzeroconnect.com</w:t>
      </w:r>
    </w:p>
    <w:p>
      <w:r>
        <w:br w:type="page"/>
      </w:r>
    </w:p>
    <w:p>
      <w:pPr>
        <w:spacing w:after="240" w:before="0"/>
        <w:jc w:val="center"/>
      </w:pPr>
      <w:r>
        <w:rPr>
          <w:b/>
          <w:bCs/>
          <w:color w:val="037272"/>
          <w:sz w:val="40"/>
          <w:szCs w:val="40"/>
        </w:rPr>
        <w:t xml:space="preserve">Contents</w:t>
      </w:r>
    </w:p>
    <w:p>
      <w:pPr>
        <w:spacing w:after="0" w:before="80"/>
      </w:pPr>
      <w:r>
        <w:rPr>
          <w:color w:val="09090B"/>
          <w:sz w:val="22"/>
          <w:szCs w:val="22"/>
        </w:rPr>
        <w:t xml:space="preserve">1. Introduction</w:t>
      </w:r>
      <w:r>
        <w:rPr>
          <w:color w:val="52525B"/>
          <w:sz w:val="20"/>
          <w:szCs w:val="20"/>
        </w:rPr>
        <w:t xml:space="preserve"> ................................................ 3</w:t>
      </w:r>
    </w:p>
    <w:p>
      <w:pPr>
        <w:spacing w:after="0" w:before="80"/>
      </w:pPr>
      <w:r>
        <w:rPr>
          <w:color w:val="09090B"/>
          <w:sz w:val="22"/>
          <w:szCs w:val="22"/>
        </w:rPr>
        <w:t xml:space="preserve">2. Getting Started</w:t>
      </w:r>
      <w:r>
        <w:rPr>
          <w:color w:val="52525B"/>
          <w:sz w:val="20"/>
          <w:szCs w:val="20"/>
        </w:rPr>
        <w:t xml:space="preserve"> ............................................. 5</w:t>
      </w:r>
    </w:p>
    <w:p>
      <w:pPr>
        <w:spacing w:after="0" w:before="80"/>
      </w:pPr>
      <w:r>
        <w:rPr>
          <w:color w:val="09090B"/>
          <w:sz w:val="22"/>
          <w:szCs w:val="22"/>
        </w:rPr>
        <w:t xml:space="preserve">3. Dashboard</w:t>
      </w:r>
      <w:r>
        <w:rPr>
          <w:color w:val="52525B"/>
          <w:sz w:val="20"/>
          <w:szCs w:val="20"/>
        </w:rPr>
        <w:t xml:space="preserve"> ................................................... 11</w:t>
      </w:r>
    </w:p>
    <w:p>
      <w:pPr>
        <w:spacing w:after="0" w:before="80"/>
      </w:pPr>
      <w:r>
        <w:rPr>
          <w:color w:val="09090B"/>
          <w:sz w:val="22"/>
          <w:szCs w:val="22"/>
        </w:rPr>
        <w:t xml:space="preserve">4. Buildings Manager &amp; Per-Building Tabs</w:t>
      </w:r>
      <w:r>
        <w:rPr>
          <w:color w:val="52525B"/>
          <w:sz w:val="20"/>
          <w:szCs w:val="20"/>
        </w:rPr>
        <w:t xml:space="preserve"> ....................... 14</w:t>
      </w:r>
    </w:p>
    <w:p>
      <w:pPr>
        <w:spacing w:after="0" w:before="80"/>
      </w:pPr>
      <w:r>
        <w:rPr>
          <w:color w:val="09090B"/>
          <w:sz w:val="22"/>
          <w:szCs w:val="22"/>
        </w:rPr>
        <w:t xml:space="preserve">5. Status Manager (Alerts)</w:t>
      </w:r>
      <w:r>
        <w:rPr>
          <w:color w:val="52525B"/>
          <w:sz w:val="20"/>
          <w:szCs w:val="20"/>
        </w:rPr>
        <w:t xml:space="preserve"> ..................................... 28</w:t>
      </w:r>
    </w:p>
    <w:p>
      <w:pPr>
        <w:spacing w:after="0" w:before="80"/>
      </w:pPr>
      <w:r>
        <w:rPr>
          <w:color w:val="09090B"/>
          <w:sz w:val="22"/>
          <w:szCs w:val="22"/>
        </w:rPr>
        <w:t xml:space="preserve">6. Data Collection</w:t>
      </w:r>
      <w:r>
        <w:rPr>
          <w:color w:val="52525B"/>
          <w:sz w:val="20"/>
          <w:szCs w:val="20"/>
        </w:rPr>
        <w:t xml:space="preserve"> ............................................. 32</w:t>
      </w:r>
    </w:p>
    <w:p>
      <w:pPr>
        <w:spacing w:after="0" w:before="80"/>
      </w:pPr>
      <w:r>
        <w:rPr>
          <w:color w:val="09090B"/>
          <w:sz w:val="22"/>
          <w:szCs w:val="22"/>
        </w:rPr>
        <w:t xml:space="preserve">7. Carbon &amp; Emissions</w:t>
      </w:r>
      <w:r>
        <w:rPr>
          <w:color w:val="52525B"/>
          <w:sz w:val="20"/>
          <w:szCs w:val="20"/>
        </w:rPr>
        <w:t xml:space="preserve"> .......................................... 36</w:t>
      </w:r>
    </w:p>
    <w:p>
      <w:pPr>
        <w:spacing w:after="0" w:before="80"/>
      </w:pPr>
      <w:r>
        <w:rPr>
          <w:color w:val="09090B"/>
          <w:sz w:val="22"/>
          <w:szCs w:val="22"/>
        </w:rPr>
        <w:t xml:space="preserve">8. Reports</w:t>
      </w:r>
      <w:r>
        <w:rPr>
          <w:color w:val="52525B"/>
          <w:sz w:val="20"/>
          <w:szCs w:val="20"/>
        </w:rPr>
        <w:t xml:space="preserve"> ..................................................... 38</w:t>
      </w:r>
    </w:p>
    <w:p>
      <w:pPr>
        <w:spacing w:after="0" w:before="80"/>
      </w:pPr>
      <w:r>
        <w:rPr>
          <w:color w:val="09090B"/>
          <w:sz w:val="22"/>
          <w:szCs w:val="22"/>
        </w:rPr>
        <w:t xml:space="preserve">9. Analytics (Premium)</w:t>
      </w:r>
      <w:r>
        <w:rPr>
          <w:color w:val="52525B"/>
          <w:sz w:val="20"/>
          <w:szCs w:val="20"/>
        </w:rPr>
        <w:t xml:space="preserve"> ......................................... 42</w:t>
      </w:r>
    </w:p>
    <w:p>
      <w:pPr>
        <w:spacing w:after="0" w:before="80"/>
      </w:pPr>
      <w:r>
        <w:rPr>
          <w:color w:val="09090B"/>
          <w:sz w:val="22"/>
          <w:szCs w:val="22"/>
        </w:rPr>
        <w:t xml:space="preserve">10. Maps (Premium)</w:t>
      </w:r>
      <w:r>
        <w:rPr>
          <w:color w:val="52525B"/>
          <w:sz w:val="20"/>
          <w:szCs w:val="20"/>
        </w:rPr>
        <w:t xml:space="preserve"> .............................................. 44</w:t>
      </w:r>
    </w:p>
    <w:p>
      <w:pPr>
        <w:spacing w:after="0" w:before="80"/>
      </w:pPr>
      <w:r>
        <w:rPr>
          <w:color w:val="09090B"/>
          <w:sz w:val="22"/>
          <w:szCs w:val="22"/>
        </w:rPr>
        <w:t xml:space="preserve">11. Solar Monitor (Premium)</w:t>
      </w:r>
      <w:r>
        <w:rPr>
          <w:color w:val="52525B"/>
          <w:sz w:val="20"/>
          <w:szCs w:val="20"/>
        </w:rPr>
        <w:t xml:space="preserve"> ..................................... 46</w:t>
      </w:r>
    </w:p>
    <w:p>
      <w:pPr>
        <w:spacing w:after="0" w:before="80"/>
      </w:pPr>
      <w:r>
        <w:rPr>
          <w:color w:val="09090B"/>
          <w:sz w:val="22"/>
          <w:szCs w:val="22"/>
        </w:rPr>
        <w:t xml:space="preserve">12. Investment Planner</w:t>
      </w:r>
      <w:r>
        <w:rPr>
          <w:color w:val="52525B"/>
          <w:sz w:val="20"/>
          <w:szCs w:val="20"/>
        </w:rPr>
        <w:t xml:space="preserve"> .......................................... 48</w:t>
      </w:r>
    </w:p>
    <w:p>
      <w:pPr>
        <w:spacing w:after="0" w:before="80"/>
      </w:pPr>
      <w:r>
        <w:rPr>
          <w:color w:val="09090B"/>
          <w:sz w:val="22"/>
          <w:szCs w:val="22"/>
        </w:rPr>
        <w:t xml:space="preserve">13. Ask Your Building (AI Chat)</w:t>
      </w:r>
      <w:r>
        <w:rPr>
          <w:color w:val="52525B"/>
          <w:sz w:val="20"/>
          <w:szCs w:val="20"/>
        </w:rPr>
        <w:t xml:space="preserve"> ................................. 50</w:t>
      </w:r>
    </w:p>
    <w:p>
      <w:pPr>
        <w:spacing w:after="0" w:before="80"/>
      </w:pPr>
      <w:r>
        <w:rPr>
          <w:color w:val="09090B"/>
          <w:sz w:val="22"/>
          <w:szCs w:val="22"/>
        </w:rPr>
        <w:t xml:space="preserve">14. Settings</w:t>
      </w:r>
      <w:r>
        <w:rPr>
          <w:color w:val="52525B"/>
          <w:sz w:val="20"/>
          <w:szCs w:val="20"/>
        </w:rPr>
        <w:t xml:space="preserve"> .................................................... 52</w:t>
      </w:r>
    </w:p>
    <w:p>
      <w:pPr>
        <w:spacing w:after="0" w:before="80"/>
      </w:pPr>
      <w:r>
        <w:rPr>
          <w:color w:val="09090B"/>
          <w:sz w:val="22"/>
          <w:szCs w:val="22"/>
        </w:rPr>
        <w:t xml:space="preserve">15. Admin Portal (Internal Ops)</w:t>
      </w:r>
      <w:r>
        <w:rPr>
          <w:color w:val="52525B"/>
          <w:sz w:val="20"/>
          <w:szCs w:val="20"/>
        </w:rPr>
        <w:t xml:space="preserve"> ................................. 56</w:t>
      </w:r>
    </w:p>
    <w:p>
      <w:pPr>
        <w:spacing w:after="0" w:before="80"/>
      </w:pPr>
      <w:r>
        <w:rPr>
          <w:color w:val="09090B"/>
          <w:sz w:val="22"/>
          <w:szCs w:val="22"/>
        </w:rPr>
        <w:t xml:space="preserve">16. Operational Conventions &amp; Troubleshooting (Internal Ops)</w:t>
      </w:r>
      <w:r>
        <w:rPr>
          <w:color w:val="52525B"/>
          <w:sz w:val="20"/>
          <w:szCs w:val="20"/>
        </w:rPr>
        <w:t xml:space="preserve"> .... 60</w:t>
      </w:r>
    </w:p>
    <w:p>
      <w:r>
        <w:br w:type="page"/>
      </w:r>
    </w:p>
    <w:p>
      <w:pPr>
        <w:pStyle w:val="Heading1"/>
        <w:pBdr>
          <w:bottom w:val="single" w:color="037272" w:sz="8" w:space="4"/>
        </w:pBdr>
        <w:spacing w:after="160" w:before="480"/>
      </w:pPr>
      <w:r>
        <w:t xml:space="preserve">1. Introduction</w:t>
      </w:r>
    </w:p>
    <w:p>
      <w:pPr>
        <w:spacing w:after="100" w:before="60"/>
      </w:pPr>
      <w:r>
        <w:rPr>
          <w:color w:val="09090B"/>
          <w:sz w:val="22"/>
          <w:szCs w:val="22"/>
        </w:rPr>
        <w:t xml:space="preserve">Portfolio One is an AI-powered Smart Building Intelligence platform that monitors building operations across an entire portfolio — energy, utilities, BMS telemetry, alerts and carbon emissions. It works across any building type (office, hospital, hotel, restaurant, school, logistics warehouse, government, port, manufacturing) and any market.</w:t>
      </w:r>
    </w:p>
    <w:p>
      <w:pPr>
        <w:spacing w:after="100" w:before="60"/>
      </w:pPr>
      <w:r>
        <w:rPr>
          <w:color w:val="09090B"/>
          <w:sz w:val="22"/>
          <w:szCs w:val="22"/>
        </w:rPr>
        <w:t xml:space="preserve">This manual covers every screen, field and workflow available in the platform. It applies equally to the Basic tier and the Premium tier, with Premium-only features clearly marked throughout. Internal operations guidance (admin portal, deployment, troubleshooting) appears in the final chapters.</w:t>
      </w:r>
    </w:p>
    <w:p>
      <w:pPr>
        <w:pStyle w:val="Heading2"/>
        <w:spacing w:after="120" w:before="360"/>
      </w:pPr>
      <w:r>
        <w:t xml:space="preserve">1.1 What Portfolio One is — and what it is not</w:t>
      </w:r>
    </w:p>
    <w:p>
      <w:pPr>
        <w:spacing w:after="100" w:before="60"/>
      </w:pPr>
      <w:r>
        <w:rPr>
          <w:color w:val="09090B"/>
          <w:sz w:val="22"/>
          <w:szCs w:val="22"/>
        </w:rPr>
        <w:t xml:space="preserve">Portfolio One is a building operations platform. It is not an ESG disclosure reporting platform. Where you need to publish CSRD / ESRS / SECR disclosures, that is the job of VZC Essentials — a sibling product with its own onboarding and reporting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Capability</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Portfolio One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VZC Essentials</w:t>
            </w:r>
          </w:p>
        </w:tc>
      </w:tr>
      <w:tr>
        <w:tc>
          <w:tcPr>
            <w:tcW w:type="dxa" w:w="3000"/>
            <w:tcMar>
              <w:top w:type="dxa" w:w="80"/>
              <w:left w:type="dxa" w:w="120"/>
              <w:bottom w:type="dxa" w:w="80"/>
              <w:right w:type="dxa" w:w="120"/>
            </w:tcMar>
            <w:vAlign w:val="center"/>
          </w:tcPr>
          <w:p>
            <w:r>
              <w:rPr>
                <w:color w:val="09090B"/>
                <w:sz w:val="20"/>
                <w:szCs w:val="20"/>
              </w:rPr>
              <w:t xml:space="preserve">Live BMS telemetry, alerts, utility tracking</w:t>
            </w:r>
          </w:p>
        </w:tc>
        <w:tc>
          <w:tcPr>
            <w:tcW w:type="dxa" w:w="3000"/>
            <w:tcMar>
              <w:top w:type="dxa" w:w="80"/>
              <w:left w:type="dxa" w:w="120"/>
              <w:bottom w:type="dxa" w:w="80"/>
              <w:right w:type="dxa" w:w="120"/>
            </w:tcMar>
            <w:vAlign w:val="center"/>
          </w:tcPr>
          <w:p>
            <w:r>
              <w:rPr>
                <w:color w:val="09090B"/>
                <w:sz w:val="20"/>
                <w:szCs w:val="20"/>
              </w:rPr>
              <w:t xml:space="preserve">Yes</w:t>
            </w:r>
          </w:p>
        </w:tc>
        <w:tc>
          <w:tcPr>
            <w:tcW w:type="dxa" w:w="3000"/>
            <w:tcMar>
              <w:top w:type="dxa" w:w="80"/>
              <w:left w:type="dxa" w:w="120"/>
              <w:bottom w:type="dxa" w:w="80"/>
              <w:right w:type="dxa" w:w="120"/>
            </w:tcMar>
            <w:vAlign w:val="center"/>
          </w:tcPr>
          <w:p>
            <w:r>
              <w:rPr>
                <w:color w:val="09090B"/>
                <w:sz w:val="20"/>
                <w:szCs w:val="20"/>
              </w:rPr>
              <w:t xml:space="preserve">No</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Tier 1 / Tier 2 alerts with auto-email</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Yes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No</w:t>
            </w:r>
          </w:p>
        </w:tc>
      </w:tr>
      <w:tr>
        <w:tc>
          <w:tcPr>
            <w:tcW w:type="dxa" w:w="3000"/>
            <w:tcMar>
              <w:top w:type="dxa" w:w="80"/>
              <w:left w:type="dxa" w:w="120"/>
              <w:bottom w:type="dxa" w:w="80"/>
              <w:right w:type="dxa" w:w="120"/>
            </w:tcMar>
            <w:vAlign w:val="center"/>
          </w:tcPr>
          <w:p>
            <w:r>
              <w:rPr>
                <w:color w:val="09090B"/>
                <w:sz w:val="20"/>
                <w:szCs w:val="20"/>
              </w:rPr>
              <w:t xml:space="preserve">Per-building Carbon Intelligence, Net Zero Pathway</w:t>
            </w:r>
          </w:p>
        </w:tc>
        <w:tc>
          <w:tcPr>
            <w:tcW w:type="dxa" w:w="3000"/>
            <w:tcMar>
              <w:top w:type="dxa" w:w="80"/>
              <w:left w:type="dxa" w:w="120"/>
              <w:bottom w:type="dxa" w:w="80"/>
              <w:right w:type="dxa" w:w="120"/>
            </w:tcMar>
            <w:vAlign w:val="center"/>
          </w:tcPr>
          <w:p>
            <w:r>
              <w:rPr>
                <w:color w:val="09090B"/>
                <w:sz w:val="20"/>
                <w:szCs w:val="20"/>
              </w:rPr>
              <w:t xml:space="preserve">Yes</w:t>
            </w:r>
          </w:p>
        </w:tc>
        <w:tc>
          <w:tcPr>
            <w:tcW w:type="dxa" w:w="3000"/>
            <w:tcMar>
              <w:top w:type="dxa" w:w="80"/>
              <w:left w:type="dxa" w:w="120"/>
              <w:bottom w:type="dxa" w:w="80"/>
              <w:right w:type="dxa" w:w="120"/>
            </w:tcMar>
            <w:vAlign w:val="center"/>
          </w:tcPr>
          <w:p>
            <w:r>
              <w:rPr>
                <w:color w:val="09090B"/>
                <w:sz w:val="20"/>
                <w:szCs w:val="20"/>
              </w:rPr>
              <w:t xml:space="preserve">No</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ESRS / CSRD / SECR statutory disclosure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No</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Yes</w:t>
            </w:r>
          </w:p>
        </w:tc>
      </w:tr>
      <w:tr>
        <w:tc>
          <w:tcPr>
            <w:tcW w:type="dxa" w:w="3000"/>
            <w:tcMar>
              <w:top w:type="dxa" w:w="80"/>
              <w:left w:type="dxa" w:w="120"/>
              <w:bottom w:type="dxa" w:w="80"/>
              <w:right w:type="dxa" w:w="120"/>
            </w:tcMar>
            <w:vAlign w:val="center"/>
          </w:tcPr>
          <w:p>
            <w:r>
              <w:rPr>
                <w:color w:val="09090B"/>
                <w:sz w:val="20"/>
                <w:szCs w:val="20"/>
              </w:rPr>
              <w:t xml:space="preserve">Supply chain (Scope 3 Cat 1 / 2 / etc.)</w:t>
            </w:r>
          </w:p>
        </w:tc>
        <w:tc>
          <w:tcPr>
            <w:tcW w:type="dxa" w:w="3000"/>
            <w:tcMar>
              <w:top w:type="dxa" w:w="80"/>
              <w:left w:type="dxa" w:w="120"/>
              <w:bottom w:type="dxa" w:w="80"/>
              <w:right w:type="dxa" w:w="120"/>
            </w:tcMar>
            <w:vAlign w:val="center"/>
          </w:tcPr>
          <w:p>
            <w:r>
              <w:rPr>
                <w:color w:val="09090B"/>
                <w:sz w:val="20"/>
                <w:szCs w:val="20"/>
              </w:rPr>
              <w:t xml:space="preserve">No</w:t>
            </w:r>
          </w:p>
        </w:tc>
        <w:tc>
          <w:tcPr>
            <w:tcW w:type="dxa" w:w="3000"/>
            <w:tcMar>
              <w:top w:type="dxa" w:w="80"/>
              <w:left w:type="dxa" w:w="120"/>
              <w:bottom w:type="dxa" w:w="80"/>
              <w:right w:type="dxa" w:w="120"/>
            </w:tcMar>
            <w:vAlign w:val="center"/>
          </w:tcPr>
          <w:p>
            <w:r>
              <w:rPr>
                <w:color w:val="09090B"/>
                <w:sz w:val="20"/>
                <w:szCs w:val="20"/>
              </w:rPr>
              <w:t xml:space="preserve">Yes</w:t>
            </w:r>
          </w:p>
        </w:tc>
      </w:tr>
    </w:tbl>
    <w:p>
      <w:pPr>
        <w:pStyle w:val="Heading2"/>
        <w:spacing w:after="120" w:before="360"/>
      </w:pPr>
      <w:r>
        <w:t xml:space="preserve">1.2 Two licence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Tier</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Sidebar modules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3000"/>
            <w:tcMar>
              <w:top w:type="dxa" w:w="80"/>
              <w:left w:type="dxa" w:w="120"/>
              <w:bottom w:type="dxa" w:w="80"/>
              <w:right w:type="dxa" w:w="120"/>
            </w:tcMar>
            <w:vAlign w:val="center"/>
          </w:tcPr>
          <w:p>
            <w:r>
              <w:rPr>
                <w:color w:val="09090B"/>
                <w:sz w:val="20"/>
                <w:szCs w:val="20"/>
              </w:rPr>
              <w:t xml:space="preserve">Basic</w:t>
            </w:r>
          </w:p>
        </w:tc>
        <w:tc>
          <w:tcPr>
            <w:tcW w:type="dxa" w:w="3000"/>
            <w:tcMar>
              <w:top w:type="dxa" w:w="80"/>
              <w:left w:type="dxa" w:w="120"/>
              <w:bottom w:type="dxa" w:w="80"/>
              <w:right w:type="dxa" w:w="120"/>
            </w:tcMar>
            <w:vAlign w:val="center"/>
          </w:tcPr>
          <w:p>
            <w:r>
              <w:rPr>
                <w:color w:val="09090B"/>
                <w:sz w:val="20"/>
                <w:szCs w:val="20"/>
              </w:rPr>
              <w:t xml:space="preserve">Dashboard · Buildings · Status Manager · Data Collection · Reports</w:t>
            </w:r>
          </w:p>
        </w:tc>
        <w:tc>
          <w:tcPr>
            <w:tcW w:type="dxa" w:w="3000"/>
            <w:tcMar>
              <w:top w:type="dxa" w:w="80"/>
              <w:left w:type="dxa" w:w="120"/>
              <w:bottom w:type="dxa" w:w="80"/>
              <w:right w:type="dxa" w:w="120"/>
            </w:tcMar>
            <w:vAlign w:val="center"/>
          </w:tcPr>
          <w:p>
            <w:r>
              <w:rPr>
                <w:color w:val="09090B"/>
                <w:sz w:val="20"/>
                <w:szCs w:val="20"/>
              </w:rPr>
              <w:t xml:space="preserve">Includes Carbon module (used by shared components even though the standalone Carbon page is folded into Analytics)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Premium</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Basic + Analytics + Maps + Solar Monitor</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Plus the premium per-building tabs (Carbon Intelligence, Net Zero, Solar Energy, Investment)</w:t>
            </w:r>
          </w:p>
        </w:tc>
      </w:tr>
    </w:tbl>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Investment Planner sidebar, Ask Your Building, and the five AI sub-modules (anomaly, predict, optimise, benchmark, regulatory) are "legacy opt-in" — they are not part of either tier and require explicit activation by a VZC super admin per workspace.</w:t>
      </w:r>
    </w:p>
    <w:p>
      <w:pPr>
        <w:pStyle w:val="Heading2"/>
        <w:spacing w:after="120" w:before="360"/>
      </w:pPr>
      <w:r>
        <w:t xml:space="preserve">1.3 Supported regions</w:t>
      </w:r>
    </w:p>
    <w:p>
      <w:pPr>
        <w:spacing w:after="100" w:before="60"/>
      </w:pPr>
      <w:r>
        <w:rPr>
          <w:color w:val="09090B"/>
          <w:sz w:val="22"/>
          <w:szCs w:val="22"/>
        </w:rPr>
        <w:t xml:space="preserve">Every workspace is anchored to one of six regions. The region drives all units, currency, emission factors and benchmark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037272" w:color="auto" w:val="clear"/>
            <w:tcMar>
              <w:top w:type="dxa" w:w="80"/>
              <w:left w:type="dxa" w:w="120"/>
              <w:bottom w:type="dxa" w:w="80"/>
              <w:right w:type="dxa" w:w="120"/>
            </w:tcMar>
            <w:vAlign w:val="center"/>
          </w:tcPr>
          <w:p>
            <w:r>
              <w:rPr>
                <w:b/>
                <w:bCs/>
                <w:color w:val="FFFFFF"/>
                <w:sz w:val="20"/>
                <w:szCs w:val="20"/>
              </w:rPr>
              <w:t xml:space="preserve">Code</w:t>
            </w:r>
          </w:p>
        </w:tc>
        <w:tc>
          <w:tcPr>
            <w:tcW w:type="dxa" w:w="1500"/>
            <w:shd w:fill="037272" w:color="auto" w:val="clear"/>
            <w:tcMar>
              <w:top w:type="dxa" w:w="80"/>
              <w:left w:type="dxa" w:w="120"/>
              <w:bottom w:type="dxa" w:w="80"/>
              <w:right w:type="dxa" w:w="120"/>
            </w:tcMar>
            <w:vAlign w:val="center"/>
          </w:tcPr>
          <w:p>
            <w:r>
              <w:rPr>
                <w:b/>
                <w:bCs/>
                <w:color w:val="FFFFFF"/>
                <w:sz w:val="20"/>
                <w:szCs w:val="20"/>
              </w:rPr>
              <w:t xml:space="preserve">Region</w:t>
            </w:r>
          </w:p>
        </w:tc>
        <w:tc>
          <w:tcPr>
            <w:tcW w:type="dxa" w:w="1500"/>
            <w:shd w:fill="037272" w:color="auto" w:val="clear"/>
            <w:tcMar>
              <w:top w:type="dxa" w:w="80"/>
              <w:left w:type="dxa" w:w="120"/>
              <w:bottom w:type="dxa" w:w="80"/>
              <w:right w:type="dxa" w:w="120"/>
            </w:tcMar>
            <w:vAlign w:val="center"/>
          </w:tcPr>
          <w:p>
            <w:r>
              <w:rPr>
                <w:b/>
                <w:bCs/>
                <w:color w:val="FFFFFF"/>
                <w:sz w:val="20"/>
                <w:szCs w:val="20"/>
              </w:rPr>
              <w:t xml:space="preserve">EUI Unit</w:t>
            </w:r>
          </w:p>
        </w:tc>
        <w:tc>
          <w:tcPr>
            <w:tcW w:type="dxa" w:w="1500"/>
            <w:shd w:fill="037272" w:color="auto" w:val="clear"/>
            <w:tcMar>
              <w:top w:type="dxa" w:w="80"/>
              <w:left w:type="dxa" w:w="120"/>
              <w:bottom w:type="dxa" w:w="80"/>
              <w:right w:type="dxa" w:w="120"/>
            </w:tcMar>
            <w:vAlign w:val="center"/>
          </w:tcPr>
          <w:p>
            <w:r>
              <w:rPr>
                <w:b/>
                <w:bCs/>
                <w:color w:val="FFFFFF"/>
                <w:sz w:val="20"/>
                <w:szCs w:val="20"/>
              </w:rPr>
              <w:t xml:space="preserve">Currency</w:t>
            </w:r>
          </w:p>
        </w:tc>
        <w:tc>
          <w:tcPr>
            <w:tcW w:type="dxa" w:w="1500"/>
            <w:shd w:fill="037272" w:color="auto" w:val="clear"/>
            <w:tcMar>
              <w:top w:type="dxa" w:w="80"/>
              <w:left w:type="dxa" w:w="120"/>
              <w:bottom w:type="dxa" w:w="80"/>
              <w:right w:type="dxa" w:w="120"/>
            </w:tcMar>
            <w:vAlign w:val="center"/>
          </w:tcPr>
          <w:p>
            <w:r>
              <w:rPr>
                <w:b/>
                <w:bCs/>
                <w:color w:val="FFFFFF"/>
                <w:sz w:val="20"/>
                <w:szCs w:val="20"/>
              </w:rPr>
              <w:t xml:space="preserve">Factor Source</w:t>
            </w:r>
          </w:p>
        </w:tc>
        <w:tc>
          <w:tcPr>
            <w:tcW w:type="dxa" w:w="1500"/>
            <w:shd w:fill="037272" w:color="auto" w:val="clear"/>
            <w:tcMar>
              <w:top w:type="dxa" w:w="80"/>
              <w:left w:type="dxa" w:w="120"/>
              <w:bottom w:type="dxa" w:w="80"/>
              <w:right w:type="dxa" w:w="120"/>
            </w:tcMar>
            <w:vAlign w:val="center"/>
          </w:tcPr>
          <w:p>
            <w:r>
              <w:rPr>
                <w:b/>
                <w:bCs/>
                <w:color w:val="FFFFFF"/>
                <w:sz w:val="20"/>
                <w:szCs w:val="20"/>
              </w:rPr>
              <w:t xml:space="preserve">Primary Benchmark</w:t>
            </w:r>
          </w:p>
        </w:tc>
      </w:tr>
      <w:tr>
        <w:tc>
          <w:tcPr>
            <w:tcW w:type="dxa" w:w="1500"/>
            <w:tcMar>
              <w:top w:type="dxa" w:w="80"/>
              <w:left w:type="dxa" w:w="120"/>
              <w:bottom w:type="dxa" w:w="80"/>
              <w:right w:type="dxa" w:w="120"/>
            </w:tcMar>
            <w:vAlign w:val="center"/>
          </w:tcPr>
          <w:p>
            <w:r>
              <w:rPr>
                <w:color w:val="09090B"/>
                <w:sz w:val="20"/>
                <w:szCs w:val="20"/>
              </w:rPr>
              <w:t xml:space="preserve">UK</w:t>
            </w:r>
          </w:p>
        </w:tc>
        <w:tc>
          <w:tcPr>
            <w:tcW w:type="dxa" w:w="1500"/>
            <w:tcMar>
              <w:top w:type="dxa" w:w="80"/>
              <w:left w:type="dxa" w:w="120"/>
              <w:bottom w:type="dxa" w:w="80"/>
              <w:right w:type="dxa" w:w="120"/>
            </w:tcMar>
            <w:vAlign w:val="center"/>
          </w:tcPr>
          <w:p>
            <w:r>
              <w:rPr>
                <w:color w:val="09090B"/>
                <w:sz w:val="20"/>
                <w:szCs w:val="20"/>
              </w:rPr>
              <w:t xml:space="preserve">United Kingdom</w:t>
            </w:r>
          </w:p>
        </w:tc>
        <w:tc>
          <w:tcPr>
            <w:tcW w:type="dxa" w:w="1500"/>
            <w:tcMar>
              <w:top w:type="dxa" w:w="80"/>
              <w:left w:type="dxa" w:w="120"/>
              <w:bottom w:type="dxa" w:w="80"/>
              <w:right w:type="dxa" w:w="120"/>
            </w:tcMar>
            <w:vAlign w:val="center"/>
          </w:tcPr>
          <w:p>
            <w:r>
              <w:rPr>
                <w:color w:val="09090B"/>
                <w:sz w:val="20"/>
                <w:szCs w:val="20"/>
              </w:rPr>
              <w:t xml:space="preserve">kWh/m²</w:t>
            </w:r>
          </w:p>
        </w:tc>
        <w:tc>
          <w:tcPr>
            <w:tcW w:type="dxa" w:w="1500"/>
            <w:tcMar>
              <w:top w:type="dxa" w:w="80"/>
              <w:left w:type="dxa" w:w="120"/>
              <w:bottom w:type="dxa" w:w="80"/>
              <w:right w:type="dxa" w:w="120"/>
            </w:tcMar>
            <w:vAlign w:val="center"/>
          </w:tcPr>
          <w:p>
            <w:r>
              <w:rPr>
                <w:color w:val="09090B"/>
                <w:sz w:val="20"/>
                <w:szCs w:val="20"/>
              </w:rPr>
              <w:t xml:space="preserve">GBP (£)</w:t>
            </w:r>
          </w:p>
        </w:tc>
        <w:tc>
          <w:tcPr>
            <w:tcW w:type="dxa" w:w="1500"/>
            <w:tcMar>
              <w:top w:type="dxa" w:w="80"/>
              <w:left w:type="dxa" w:w="120"/>
              <w:bottom w:type="dxa" w:w="80"/>
              <w:right w:type="dxa" w:w="120"/>
            </w:tcMar>
            <w:vAlign w:val="center"/>
          </w:tcPr>
          <w:p>
            <w:r>
              <w:rPr>
                <w:color w:val="09090B"/>
                <w:sz w:val="20"/>
                <w:szCs w:val="20"/>
              </w:rPr>
              <w:t xml:space="preserve">DEFRA 2024</w:t>
            </w:r>
          </w:p>
        </w:tc>
        <w:tc>
          <w:tcPr>
            <w:tcW w:type="dxa" w:w="1500"/>
            <w:tcMar>
              <w:top w:type="dxa" w:w="80"/>
              <w:left w:type="dxa" w:w="120"/>
              <w:bottom w:type="dxa" w:w="80"/>
              <w:right w:type="dxa" w:w="120"/>
            </w:tcMar>
            <w:vAlign w:val="center"/>
          </w:tcPr>
          <w:p>
            <w:r>
              <w:rPr>
                <w:color w:val="09090B"/>
                <w:sz w:val="20"/>
                <w:szCs w:val="20"/>
              </w:rPr>
              <w:t xml:space="preserve">CIBSE</w:t>
            </w:r>
          </w:p>
        </w:tc>
      </w:tr>
      <w:tr>
        <w:tc>
          <w:tcPr>
            <w:tcW w:type="dxa" w:w="1500"/>
            <w:shd w:fill="F4F4F5" w:color="auto" w:val="clear"/>
            <w:tcMar>
              <w:top w:type="dxa" w:w="80"/>
              <w:left w:type="dxa" w:w="120"/>
              <w:bottom w:type="dxa" w:w="80"/>
              <w:right w:type="dxa" w:w="120"/>
            </w:tcMar>
            <w:vAlign w:val="center"/>
          </w:tcPr>
          <w:p>
            <w:r>
              <w:rPr>
                <w:color w:val="09090B"/>
                <w:sz w:val="20"/>
                <w:szCs w:val="20"/>
              </w:rPr>
              <w:t xml:space="preserve">AU</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Australia</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kWh/m²</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AUD (A$)</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NGA 2024</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NABERS</w:t>
            </w:r>
          </w:p>
        </w:tc>
      </w:tr>
      <w:tr>
        <w:tc>
          <w:tcPr>
            <w:tcW w:type="dxa" w:w="1500"/>
            <w:tcMar>
              <w:top w:type="dxa" w:w="80"/>
              <w:left w:type="dxa" w:w="120"/>
              <w:bottom w:type="dxa" w:w="80"/>
              <w:right w:type="dxa" w:w="120"/>
            </w:tcMar>
            <w:vAlign w:val="center"/>
          </w:tcPr>
          <w:p>
            <w:r>
              <w:rPr>
                <w:color w:val="09090B"/>
                <w:sz w:val="20"/>
                <w:szCs w:val="20"/>
              </w:rPr>
              <w:t xml:space="preserve">US</w:t>
            </w:r>
          </w:p>
        </w:tc>
        <w:tc>
          <w:tcPr>
            <w:tcW w:type="dxa" w:w="1500"/>
            <w:tcMar>
              <w:top w:type="dxa" w:w="80"/>
              <w:left w:type="dxa" w:w="120"/>
              <w:bottom w:type="dxa" w:w="80"/>
              <w:right w:type="dxa" w:w="120"/>
            </w:tcMar>
            <w:vAlign w:val="center"/>
          </w:tcPr>
          <w:p>
            <w:r>
              <w:rPr>
                <w:color w:val="09090B"/>
                <w:sz w:val="20"/>
                <w:szCs w:val="20"/>
              </w:rPr>
              <w:t xml:space="preserve">United States</w:t>
            </w:r>
          </w:p>
        </w:tc>
        <w:tc>
          <w:tcPr>
            <w:tcW w:type="dxa" w:w="1500"/>
            <w:tcMar>
              <w:top w:type="dxa" w:w="80"/>
              <w:left w:type="dxa" w:w="120"/>
              <w:bottom w:type="dxa" w:w="80"/>
              <w:right w:type="dxa" w:w="120"/>
            </w:tcMar>
            <w:vAlign w:val="center"/>
          </w:tcPr>
          <w:p>
            <w:r>
              <w:rPr>
                <w:color w:val="09090B"/>
                <w:sz w:val="20"/>
                <w:szCs w:val="20"/>
              </w:rPr>
              <w:t xml:space="preserve">kBtu/ft²</w:t>
            </w:r>
          </w:p>
        </w:tc>
        <w:tc>
          <w:tcPr>
            <w:tcW w:type="dxa" w:w="1500"/>
            <w:tcMar>
              <w:top w:type="dxa" w:w="80"/>
              <w:left w:type="dxa" w:w="120"/>
              <w:bottom w:type="dxa" w:w="80"/>
              <w:right w:type="dxa" w:w="120"/>
            </w:tcMar>
            <w:vAlign w:val="center"/>
          </w:tcPr>
          <w:p>
            <w:r>
              <w:rPr>
                <w:color w:val="09090B"/>
                <w:sz w:val="20"/>
                <w:szCs w:val="20"/>
              </w:rPr>
              <w:t xml:space="preserve">USD ($)</w:t>
            </w:r>
          </w:p>
        </w:tc>
        <w:tc>
          <w:tcPr>
            <w:tcW w:type="dxa" w:w="1500"/>
            <w:tcMar>
              <w:top w:type="dxa" w:w="80"/>
              <w:left w:type="dxa" w:w="120"/>
              <w:bottom w:type="dxa" w:w="80"/>
              <w:right w:type="dxa" w:w="120"/>
            </w:tcMar>
            <w:vAlign w:val="center"/>
          </w:tcPr>
          <w:p>
            <w:r>
              <w:rPr>
                <w:color w:val="09090B"/>
                <w:sz w:val="20"/>
                <w:szCs w:val="20"/>
              </w:rPr>
              <w:t xml:space="preserve">EPA eGRID 2024</w:t>
            </w:r>
          </w:p>
        </w:tc>
        <w:tc>
          <w:tcPr>
            <w:tcW w:type="dxa" w:w="1500"/>
            <w:tcMar>
              <w:top w:type="dxa" w:w="80"/>
              <w:left w:type="dxa" w:w="120"/>
              <w:bottom w:type="dxa" w:w="80"/>
              <w:right w:type="dxa" w:w="120"/>
            </w:tcMar>
            <w:vAlign w:val="center"/>
          </w:tcPr>
          <w:p>
            <w:r>
              <w:rPr>
                <w:color w:val="09090B"/>
                <w:sz w:val="20"/>
                <w:szCs w:val="20"/>
              </w:rPr>
              <w:t xml:space="preserve">ENERGY STAR</w:t>
            </w:r>
          </w:p>
        </w:tc>
      </w:tr>
      <w:tr>
        <w:tc>
          <w:tcPr>
            <w:tcW w:type="dxa" w:w="1500"/>
            <w:shd w:fill="F4F4F5" w:color="auto" w:val="clear"/>
            <w:tcMar>
              <w:top w:type="dxa" w:w="80"/>
              <w:left w:type="dxa" w:w="120"/>
              <w:bottom w:type="dxa" w:w="80"/>
              <w:right w:type="dxa" w:w="120"/>
            </w:tcMar>
            <w:vAlign w:val="center"/>
          </w:tcPr>
          <w:p>
            <w:r>
              <w:rPr>
                <w:color w:val="09090B"/>
                <w:sz w:val="20"/>
                <w:szCs w:val="20"/>
              </w:rPr>
              <w:t xml:space="preserve">HK</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Hong Kong</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kWh/m²</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HKD (HK$)</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HKEPD 2024</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EDB / EMSD</w:t>
            </w:r>
          </w:p>
        </w:tc>
      </w:tr>
      <w:tr>
        <w:tc>
          <w:tcPr>
            <w:tcW w:type="dxa" w:w="1500"/>
            <w:tcMar>
              <w:top w:type="dxa" w:w="80"/>
              <w:left w:type="dxa" w:w="120"/>
              <w:bottom w:type="dxa" w:w="80"/>
              <w:right w:type="dxa" w:w="120"/>
            </w:tcMar>
            <w:vAlign w:val="center"/>
          </w:tcPr>
          <w:p>
            <w:r>
              <w:rPr>
                <w:color w:val="09090B"/>
                <w:sz w:val="20"/>
                <w:szCs w:val="20"/>
              </w:rPr>
              <w:t xml:space="preserve">JM</w:t>
            </w:r>
          </w:p>
        </w:tc>
        <w:tc>
          <w:tcPr>
            <w:tcW w:type="dxa" w:w="1500"/>
            <w:tcMar>
              <w:top w:type="dxa" w:w="80"/>
              <w:left w:type="dxa" w:w="120"/>
              <w:bottom w:type="dxa" w:w="80"/>
              <w:right w:type="dxa" w:w="120"/>
            </w:tcMar>
            <w:vAlign w:val="center"/>
          </w:tcPr>
          <w:p>
            <w:r>
              <w:rPr>
                <w:color w:val="09090B"/>
                <w:sz w:val="20"/>
                <w:szCs w:val="20"/>
              </w:rPr>
              <w:t xml:space="preserve">Caribbean / Jamaica</w:t>
            </w:r>
          </w:p>
        </w:tc>
        <w:tc>
          <w:tcPr>
            <w:tcW w:type="dxa" w:w="1500"/>
            <w:tcMar>
              <w:top w:type="dxa" w:w="80"/>
              <w:left w:type="dxa" w:w="120"/>
              <w:bottom w:type="dxa" w:w="80"/>
              <w:right w:type="dxa" w:w="120"/>
            </w:tcMar>
            <w:vAlign w:val="center"/>
          </w:tcPr>
          <w:p>
            <w:r>
              <w:rPr>
                <w:color w:val="09090B"/>
                <w:sz w:val="20"/>
                <w:szCs w:val="20"/>
              </w:rPr>
              <w:t xml:space="preserve">kWh / kW</w:t>
            </w:r>
          </w:p>
        </w:tc>
        <w:tc>
          <w:tcPr>
            <w:tcW w:type="dxa" w:w="1500"/>
            <w:tcMar>
              <w:top w:type="dxa" w:w="80"/>
              <w:left w:type="dxa" w:w="120"/>
              <w:bottom w:type="dxa" w:w="80"/>
              <w:right w:type="dxa" w:w="120"/>
            </w:tcMar>
            <w:vAlign w:val="center"/>
          </w:tcPr>
          <w:p>
            <w:r>
              <w:rPr>
                <w:color w:val="09090B"/>
                <w:sz w:val="20"/>
                <w:szCs w:val="20"/>
              </w:rPr>
              <w:t xml:space="preserve">USD ($)</w:t>
            </w:r>
          </w:p>
        </w:tc>
        <w:tc>
          <w:tcPr>
            <w:tcW w:type="dxa" w:w="1500"/>
            <w:tcMar>
              <w:top w:type="dxa" w:w="80"/>
              <w:left w:type="dxa" w:w="120"/>
              <w:bottom w:type="dxa" w:w="80"/>
              <w:right w:type="dxa" w:w="120"/>
            </w:tcMar>
            <w:vAlign w:val="center"/>
          </w:tcPr>
          <w:p>
            <w:r>
              <w:rPr>
                <w:color w:val="09090B"/>
                <w:sz w:val="20"/>
                <w:szCs w:val="20"/>
              </w:rPr>
              <w:t xml:space="preserve">Regional 2024</w:t>
            </w:r>
          </w:p>
        </w:tc>
        <w:tc>
          <w:tcPr>
            <w:tcW w:type="dxa" w:w="1500"/>
            <w:tcMar>
              <w:top w:type="dxa" w:w="80"/>
              <w:left w:type="dxa" w:w="120"/>
              <w:bottom w:type="dxa" w:w="80"/>
              <w:right w:type="dxa" w:w="120"/>
            </w:tcMar>
            <w:vAlign w:val="center"/>
          </w:tcPr>
          <w:p>
            <w:r>
              <w:rPr>
                <w:color w:val="09090B"/>
                <w:sz w:val="20"/>
                <w:szCs w:val="20"/>
              </w:rPr>
              <w:t xml:space="preserve">IEC</w:t>
            </w:r>
          </w:p>
        </w:tc>
      </w:tr>
      <w:tr>
        <w:tc>
          <w:tcPr>
            <w:tcW w:type="dxa" w:w="1500"/>
            <w:shd w:fill="F4F4F5" w:color="auto" w:val="clear"/>
            <w:tcMar>
              <w:top w:type="dxa" w:w="80"/>
              <w:left w:type="dxa" w:w="120"/>
              <w:bottom w:type="dxa" w:w="80"/>
              <w:right w:type="dxa" w:w="120"/>
            </w:tcMar>
            <w:vAlign w:val="center"/>
          </w:tcPr>
          <w:p>
            <w:r>
              <w:rPr>
                <w:color w:val="09090B"/>
                <w:sz w:val="20"/>
                <w:szCs w:val="20"/>
              </w:rPr>
              <w:t xml:space="preserve">EU</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European Union</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kWh/m²</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EUR (€)</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AIB 2024</w:t>
            </w:r>
          </w:p>
        </w:tc>
        <w:tc>
          <w:tcPr>
            <w:tcW w:type="dxa" w:w="1500"/>
            <w:shd w:fill="F4F4F5" w:color="auto" w:val="clear"/>
            <w:tcMar>
              <w:top w:type="dxa" w:w="80"/>
              <w:left w:type="dxa" w:w="120"/>
              <w:bottom w:type="dxa" w:w="80"/>
              <w:right w:type="dxa" w:w="120"/>
            </w:tcMar>
            <w:vAlign w:val="center"/>
          </w:tcPr>
          <w:p>
            <w:r>
              <w:rPr>
                <w:color w:val="09090B"/>
                <w:sz w:val="20"/>
                <w:szCs w:val="20"/>
              </w:rPr>
              <w:t xml:space="preserve">ESRS</w:t>
            </w:r>
          </w:p>
        </w:tc>
      </w:tr>
    </w:tbl>
    <w:p>
      <w:pPr>
        <w:pStyle w:val="Heading2"/>
        <w:spacing w:after="120" w:before="360"/>
      </w:pPr>
      <w:r>
        <w:t xml:space="preserve">1.4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Role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Who</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Permissions</w:t>
            </w:r>
          </w:p>
        </w:tc>
      </w:tr>
      <w:tr>
        <w:tc>
          <w:tcPr>
            <w:tcW w:type="dxa" w:w="3000"/>
            <w:tcMar>
              <w:top w:type="dxa" w:w="80"/>
              <w:left w:type="dxa" w:w="120"/>
              <w:bottom w:type="dxa" w:w="80"/>
              <w:right w:type="dxa" w:w="120"/>
            </w:tcMar>
            <w:vAlign w:val="center"/>
          </w:tcPr>
          <w:p>
            <w:r>
              <w:rPr>
                <w:color w:val="09090B"/>
                <w:sz w:val="20"/>
                <w:szCs w:val="20"/>
              </w:rPr>
              <w:t xml:space="preserve">Owner</w:t>
            </w:r>
          </w:p>
        </w:tc>
        <w:tc>
          <w:tcPr>
            <w:tcW w:type="dxa" w:w="3000"/>
            <w:tcMar>
              <w:top w:type="dxa" w:w="80"/>
              <w:left w:type="dxa" w:w="120"/>
              <w:bottom w:type="dxa" w:w="80"/>
              <w:right w:type="dxa" w:w="120"/>
            </w:tcMar>
            <w:vAlign w:val="center"/>
          </w:tcPr>
          <w:p>
            <w:r>
              <w:rPr>
                <w:color w:val="09090B"/>
                <w:sz w:val="20"/>
                <w:szCs w:val="20"/>
              </w:rPr>
              <w:t xml:space="preserve">Person who registered the workspace</w:t>
            </w:r>
          </w:p>
        </w:tc>
        <w:tc>
          <w:tcPr>
            <w:tcW w:type="dxa" w:w="3000"/>
            <w:tcMar>
              <w:top w:type="dxa" w:w="80"/>
              <w:left w:type="dxa" w:w="120"/>
              <w:bottom w:type="dxa" w:w="80"/>
              <w:right w:type="dxa" w:w="120"/>
            </w:tcMar>
            <w:vAlign w:val="center"/>
          </w:tcPr>
          <w:p>
            <w:r>
              <w:rPr>
                <w:color w:val="09090B"/>
                <w:sz w:val="20"/>
                <w:szCs w:val="20"/>
              </w:rPr>
              <w:t xml:space="preserve">Full access to all activated modules, settings, team, integrations, reports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Admin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Senior staff promoted by the Owner</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Same as Owner except cannot transfer ownership</w:t>
            </w:r>
          </w:p>
        </w:tc>
      </w:tr>
      <w:tr>
        <w:tc>
          <w:tcPr>
            <w:tcW w:type="dxa" w:w="3000"/>
            <w:tcMar>
              <w:top w:type="dxa" w:w="80"/>
              <w:left w:type="dxa" w:w="120"/>
              <w:bottom w:type="dxa" w:w="80"/>
              <w:right w:type="dxa" w:w="120"/>
            </w:tcMar>
            <w:vAlign w:val="center"/>
          </w:tcPr>
          <w:p>
            <w:r>
              <w:rPr>
                <w:color w:val="09090B"/>
                <w:sz w:val="20"/>
                <w:szCs w:val="20"/>
              </w:rPr>
              <w:t xml:space="preserve">Contributor</w:t>
            </w:r>
          </w:p>
        </w:tc>
        <w:tc>
          <w:tcPr>
            <w:tcW w:type="dxa" w:w="3000"/>
            <w:tcMar>
              <w:top w:type="dxa" w:w="80"/>
              <w:left w:type="dxa" w:w="120"/>
              <w:bottom w:type="dxa" w:w="80"/>
              <w:right w:type="dxa" w:w="120"/>
            </w:tcMar>
            <w:vAlign w:val="center"/>
          </w:tcPr>
          <w:p>
            <w:r>
              <w:rPr>
                <w:color w:val="09090B"/>
                <w:sz w:val="20"/>
                <w:szCs w:val="20"/>
              </w:rPr>
              <w:t xml:space="preserve">Staff who enter data and respond to alerts</w:t>
            </w:r>
          </w:p>
        </w:tc>
        <w:tc>
          <w:tcPr>
            <w:tcW w:type="dxa" w:w="3000"/>
            <w:tcMar>
              <w:top w:type="dxa" w:w="80"/>
              <w:left w:type="dxa" w:w="120"/>
              <w:bottom w:type="dxa" w:w="80"/>
              <w:right w:type="dxa" w:w="120"/>
            </w:tcMar>
            <w:vAlign w:val="center"/>
          </w:tcPr>
          <w:p>
            <w:r>
              <w:rPr>
                <w:color w:val="09090B"/>
                <w:sz w:val="20"/>
                <w:szCs w:val="20"/>
              </w:rPr>
              <w:t xml:space="preserve">Data entry across modules, alert acknowledge / resolve, cannot manage team or integrations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Viewer</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Read-only stakeholder</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View dashboards and reports only</w:t>
            </w:r>
          </w:p>
        </w:tc>
      </w:tr>
      <w:tr>
        <w:tc>
          <w:tcPr>
            <w:tcW w:type="dxa" w:w="3000"/>
            <w:tcMar>
              <w:top w:type="dxa" w:w="80"/>
              <w:left w:type="dxa" w:w="120"/>
              <w:bottom w:type="dxa" w:w="80"/>
              <w:right w:type="dxa" w:w="120"/>
            </w:tcMar>
            <w:vAlign w:val="center"/>
          </w:tcPr>
          <w:p>
            <w:r>
              <w:rPr>
                <w:color w:val="09090B"/>
                <w:sz w:val="20"/>
                <w:szCs w:val="20"/>
              </w:rPr>
              <w:t xml:space="preserve">Super Admin (VZC)</w:t>
            </w:r>
          </w:p>
        </w:tc>
        <w:tc>
          <w:tcPr>
            <w:tcW w:type="dxa" w:w="3000"/>
            <w:tcMar>
              <w:top w:type="dxa" w:w="80"/>
              <w:left w:type="dxa" w:w="120"/>
              <w:bottom w:type="dxa" w:w="80"/>
              <w:right w:type="dxa" w:w="120"/>
            </w:tcMar>
            <w:vAlign w:val="center"/>
          </w:tcPr>
          <w:p>
            <w:r>
              <w:rPr>
                <w:color w:val="09090B"/>
                <w:sz w:val="20"/>
                <w:szCs w:val="20"/>
              </w:rPr>
              <w:t xml:space="preserve">VZC platform staff</w:t>
            </w:r>
          </w:p>
        </w:tc>
        <w:tc>
          <w:tcPr>
            <w:tcW w:type="dxa" w:w="3000"/>
            <w:tcMar>
              <w:top w:type="dxa" w:w="80"/>
              <w:left w:type="dxa" w:w="120"/>
              <w:bottom w:type="dxa" w:w="80"/>
              <w:right w:type="dxa" w:w="120"/>
            </w:tcMar>
            <w:vAlign w:val="center"/>
          </w:tcPr>
          <w:p>
            <w:r>
              <w:rPr>
                <w:color w:val="09090B"/>
                <w:sz w:val="20"/>
                <w:szCs w:val="20"/>
              </w:rPr>
              <w:t xml:space="preserve">Separate admin portal — licence activation, module activation, tier changes. Never logs into the customer-facing app.</w:t>
            </w:r>
          </w:p>
        </w:tc>
      </w:tr>
    </w:tbl>
    <w:p>
      <w:pPr>
        <w:pStyle w:val="Heading2"/>
        <w:spacing w:after="120" w:before="360"/>
      </w:pPr>
      <w:r>
        <w:t xml:space="preserve">1.5 Platform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37272" w:color="auto" w:val="clear"/>
            <w:tcMar>
              <w:top w:type="dxa" w:w="80"/>
              <w:left w:type="dxa" w:w="120"/>
              <w:bottom w:type="dxa" w:w="80"/>
              <w:right w:type="dxa" w:w="120"/>
            </w:tcMar>
            <w:vAlign w:val="center"/>
          </w:tcPr>
          <w:p>
            <w:r>
              <w:rPr>
                <w:b/>
                <w:bCs/>
                <w:color w:val="FFFFFF"/>
                <w:sz w:val="20"/>
                <w:szCs w:val="20"/>
              </w:rPr>
              <w:t xml:space="preserve">URL</w:t>
            </w:r>
          </w:p>
        </w:tc>
        <w:tc>
          <w:tcPr>
            <w:tcW w:type="dxa" w:w="4500"/>
            <w:shd w:fill="037272" w:color="auto" w:val="clear"/>
            <w:tcMar>
              <w:top w:type="dxa" w:w="80"/>
              <w:left w:type="dxa" w:w="120"/>
              <w:bottom w:type="dxa" w:w="80"/>
              <w:right w:type="dxa" w:w="120"/>
            </w:tcMar>
            <w:vAlign w:val="center"/>
          </w:tcPr>
          <w:p>
            <w:r>
              <w:rPr>
                <w:b/>
                <w:bCs/>
                <w:color w:val="FFFFFF"/>
                <w:sz w:val="20"/>
                <w:szCs w:val="20"/>
              </w:rPr>
              <w:t xml:space="preserve">Purpose</w:t>
            </w:r>
          </w:p>
        </w:tc>
      </w:tr>
      <w:tr>
        <w:tc>
          <w:tcPr>
            <w:tcW w:type="dxa" w:w="4500"/>
            <w:tcMar>
              <w:top w:type="dxa" w:w="80"/>
              <w:left w:type="dxa" w:w="120"/>
              <w:bottom w:type="dxa" w:w="80"/>
              <w:right w:type="dxa" w:w="120"/>
            </w:tcMar>
            <w:vAlign w:val="center"/>
          </w:tcPr>
          <w:p>
            <w:r>
              <w:rPr>
                <w:color w:val="09090B"/>
                <w:sz w:val="20"/>
                <w:szCs w:val="20"/>
              </w:rPr>
              <w:t xml:space="preserve">https://[your-domain]</w:t>
            </w:r>
          </w:p>
        </w:tc>
        <w:tc>
          <w:tcPr>
            <w:tcW w:type="dxa" w:w="4500"/>
            <w:tcMar>
              <w:top w:type="dxa" w:w="80"/>
              <w:left w:type="dxa" w:w="120"/>
              <w:bottom w:type="dxa" w:w="80"/>
              <w:right w:type="dxa" w:w="120"/>
            </w:tcMar>
            <w:vAlign w:val="center"/>
          </w:tcPr>
          <w:p>
            <w:r>
              <w:rPr>
                <w:color w:val="09090B"/>
                <w:sz w:val="20"/>
                <w:szCs w:val="20"/>
              </w:rPr>
              <w:t xml:space="preserve">Main application — all users</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https://[your-domain]/admin</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VZC admin portal — Super Admins only (separate login)</w:t>
            </w:r>
          </w:p>
        </w:tc>
      </w:tr>
      <w:tr>
        <w:tc>
          <w:tcPr>
            <w:tcW w:type="dxa" w:w="4500"/>
            <w:tcMar>
              <w:top w:type="dxa" w:w="80"/>
              <w:left w:type="dxa" w:w="120"/>
              <w:bottom w:type="dxa" w:w="80"/>
              <w:right w:type="dxa" w:w="120"/>
            </w:tcMar>
            <w:vAlign w:val="center"/>
          </w:tcPr>
          <w:p>
            <w:r>
              <w:rPr>
                <w:color w:val="09090B"/>
                <w:sz w:val="20"/>
                <w:szCs w:val="20"/>
              </w:rPr>
              <w:t xml:space="preserve">https://[your-domain]/reports/shared/[token]</w:t>
            </w:r>
          </w:p>
        </w:tc>
        <w:tc>
          <w:tcPr>
            <w:tcW w:type="dxa" w:w="4500"/>
            <w:tcMar>
              <w:top w:type="dxa" w:w="80"/>
              <w:left w:type="dxa" w:w="120"/>
              <w:bottom w:type="dxa" w:w="80"/>
              <w:right w:type="dxa" w:w="120"/>
            </w:tcMar>
            <w:vAlign w:val="center"/>
          </w:tcPr>
          <w:p>
            <w:r>
              <w:rPr>
                <w:color w:val="09090B"/>
                <w:sz w:val="20"/>
                <w:szCs w:val="20"/>
              </w:rPr>
              <w:t xml:space="preserve">Public shared report — no login required</w:t>
            </w:r>
          </w:p>
        </w:tc>
      </w:tr>
    </w:tbl>
    <w:p>
      <w:r>
        <w:br w:type="page"/>
      </w:r>
    </w:p>
    <w:p>
      <w:pPr>
        <w:pStyle w:val="Heading1"/>
        <w:pBdr>
          <w:bottom w:val="single" w:color="037272" w:sz="8" w:space="4"/>
        </w:pBdr>
        <w:spacing w:after="160" w:before="480"/>
      </w:pPr>
      <w:r>
        <w:t xml:space="preserve">2. Getting Started</w:t>
      </w:r>
    </w:p>
    <w:p>
      <w:pPr>
        <w:pStyle w:val="Heading2"/>
        <w:spacing w:after="120" w:before="360"/>
      </w:pPr>
      <w:r>
        <w:t xml:space="preserve">2.1 Creating an account</w:t>
      </w:r>
    </w:p>
    <w:p>
      <w:pPr>
        <w:spacing w:after="100" w:before="60"/>
      </w:pPr>
      <w:r>
        <w:rPr>
          <w:color w:val="09090B"/>
          <w:sz w:val="22"/>
          <w:szCs w:val="22"/>
        </w:rPr>
        <w:t xml:space="preserve">Go to /register to create a new workspace. The following fields are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037272" w:color="auto" w:val="clear"/>
            <w:tcMar>
              <w:top w:type="dxa" w:w="80"/>
              <w:left w:type="dxa" w:w="120"/>
              <w:bottom w:type="dxa" w:w="80"/>
              <w:right w:type="dxa" w:w="120"/>
            </w:tcMar>
            <w:vAlign w:val="center"/>
          </w:tcPr>
          <w:p>
            <w:r>
              <w:rPr>
                <w:b/>
                <w:bCs/>
                <w:color w:val="FFFFFF"/>
                <w:sz w:val="20"/>
                <w:szCs w:val="20"/>
              </w:rPr>
              <w:t xml:space="preserve">Field</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Type</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Requirement</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Example</w:t>
            </w:r>
          </w:p>
        </w:tc>
      </w:tr>
      <w:tr>
        <w:tc>
          <w:tcPr>
            <w:tcW w:type="dxa" w:w="2250"/>
            <w:tcMar>
              <w:top w:type="dxa" w:w="80"/>
              <w:left w:type="dxa" w:w="120"/>
              <w:bottom w:type="dxa" w:w="80"/>
              <w:right w:type="dxa" w:w="120"/>
            </w:tcMar>
            <w:vAlign w:val="center"/>
          </w:tcPr>
          <w:p>
            <w:r>
              <w:rPr>
                <w:color w:val="09090B"/>
                <w:sz w:val="20"/>
                <w:szCs w:val="20"/>
              </w:rPr>
              <w:t xml:space="preserve">Full Name</w:t>
            </w:r>
          </w:p>
        </w:tc>
        <w:tc>
          <w:tcPr>
            <w:tcW w:type="dxa" w:w="2250"/>
            <w:tcMar>
              <w:top w:type="dxa" w:w="80"/>
              <w:left w:type="dxa" w:w="120"/>
              <w:bottom w:type="dxa" w:w="80"/>
              <w:right w:type="dxa" w:w="120"/>
            </w:tcMar>
            <w:vAlign w:val="center"/>
          </w:tcPr>
          <w:p>
            <w:r>
              <w:rPr>
                <w:color w:val="09090B"/>
                <w:sz w:val="20"/>
                <w:szCs w:val="20"/>
              </w:rPr>
              <w:t xml:space="preserve">Text</w:t>
            </w:r>
          </w:p>
        </w:tc>
        <w:tc>
          <w:tcPr>
            <w:tcW w:type="dxa" w:w="2250"/>
            <w:tcMar>
              <w:top w:type="dxa" w:w="80"/>
              <w:left w:type="dxa" w:w="120"/>
              <w:bottom w:type="dxa" w:w="80"/>
              <w:right w:type="dxa" w:w="120"/>
            </w:tcMar>
            <w:vAlign w:val="center"/>
          </w:tcPr>
          <w:p>
            <w:r>
              <w:rPr>
                <w:color w:val="09090B"/>
                <w:sz w:val="20"/>
                <w:szCs w:val="20"/>
              </w:rPr>
              <w:t xml:space="preserve">Required, min. 2 characters</w:t>
            </w:r>
          </w:p>
        </w:tc>
        <w:tc>
          <w:tcPr>
            <w:tcW w:type="dxa" w:w="2250"/>
            <w:tcMar>
              <w:top w:type="dxa" w:w="80"/>
              <w:left w:type="dxa" w:w="120"/>
              <w:bottom w:type="dxa" w:w="80"/>
              <w:right w:type="dxa" w:w="120"/>
            </w:tcMar>
            <w:vAlign w:val="center"/>
          </w:tcPr>
          <w:p>
            <w:r>
              <w:rPr>
                <w:color w:val="09090B"/>
                <w:sz w:val="20"/>
                <w:szCs w:val="20"/>
              </w:rPr>
              <w:t xml:space="preserve">Jane Smith</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Organisation Name</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Text</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Required, min. 2 characters</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Acme Property Holdings Ltd</w:t>
            </w:r>
          </w:p>
        </w:tc>
      </w:tr>
      <w:tr>
        <w:tc>
          <w:tcPr>
            <w:tcW w:type="dxa" w:w="2250"/>
            <w:tcMar>
              <w:top w:type="dxa" w:w="80"/>
              <w:left w:type="dxa" w:w="120"/>
              <w:bottom w:type="dxa" w:w="80"/>
              <w:right w:type="dxa" w:w="120"/>
            </w:tcMar>
            <w:vAlign w:val="center"/>
          </w:tcPr>
          <w:p>
            <w:r>
              <w:rPr>
                <w:color w:val="09090B"/>
                <w:sz w:val="20"/>
                <w:szCs w:val="20"/>
              </w:rPr>
              <w:t xml:space="preserve">Work Email</w:t>
            </w:r>
          </w:p>
        </w:tc>
        <w:tc>
          <w:tcPr>
            <w:tcW w:type="dxa" w:w="2250"/>
            <w:tcMar>
              <w:top w:type="dxa" w:w="80"/>
              <w:left w:type="dxa" w:w="120"/>
              <w:bottom w:type="dxa" w:w="80"/>
              <w:right w:type="dxa" w:w="120"/>
            </w:tcMar>
            <w:vAlign w:val="center"/>
          </w:tcPr>
          <w:p>
            <w:r>
              <w:rPr>
                <w:color w:val="09090B"/>
                <w:sz w:val="20"/>
                <w:szCs w:val="20"/>
              </w:rPr>
              <w:t xml:space="preserve">Email</w:t>
            </w:r>
          </w:p>
        </w:tc>
        <w:tc>
          <w:tcPr>
            <w:tcW w:type="dxa" w:w="2250"/>
            <w:tcMar>
              <w:top w:type="dxa" w:w="80"/>
              <w:left w:type="dxa" w:w="120"/>
              <w:bottom w:type="dxa" w:w="80"/>
              <w:right w:type="dxa" w:w="120"/>
            </w:tcMar>
            <w:vAlign w:val="center"/>
          </w:tcPr>
          <w:p>
            <w:r>
              <w:rPr>
                <w:color w:val="09090B"/>
                <w:sz w:val="20"/>
                <w:szCs w:val="20"/>
              </w:rPr>
              <w:t xml:space="preserve">Required, must be valid email</w:t>
            </w:r>
          </w:p>
        </w:tc>
        <w:tc>
          <w:tcPr>
            <w:tcW w:type="dxa" w:w="2250"/>
            <w:tcMar>
              <w:top w:type="dxa" w:w="80"/>
              <w:left w:type="dxa" w:w="120"/>
              <w:bottom w:type="dxa" w:w="80"/>
              <w:right w:type="dxa" w:w="120"/>
            </w:tcMar>
            <w:vAlign w:val="center"/>
          </w:tcPr>
          <w:p>
            <w:r>
              <w:rPr>
                <w:color w:val="09090B"/>
                <w:sz w:val="20"/>
                <w:szCs w:val="20"/>
              </w:rPr>
              <w:t xml:space="preserve">jane.smith@acme.com</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Password</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Password</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Required, min. 8 characters</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(hidden)</w:t>
            </w:r>
          </w:p>
        </w:tc>
      </w:tr>
      <w:tr>
        <w:tc>
          <w:tcPr>
            <w:tcW w:type="dxa" w:w="2250"/>
            <w:tcMar>
              <w:top w:type="dxa" w:w="80"/>
              <w:left w:type="dxa" w:w="120"/>
              <w:bottom w:type="dxa" w:w="80"/>
              <w:right w:type="dxa" w:w="120"/>
            </w:tcMar>
            <w:vAlign w:val="center"/>
          </w:tcPr>
          <w:p>
            <w:r>
              <w:rPr>
                <w:color w:val="09090B"/>
                <w:sz w:val="20"/>
                <w:szCs w:val="20"/>
              </w:rPr>
              <w:t xml:space="preserve">Confirm Password</w:t>
            </w:r>
          </w:p>
        </w:tc>
        <w:tc>
          <w:tcPr>
            <w:tcW w:type="dxa" w:w="2250"/>
            <w:tcMar>
              <w:top w:type="dxa" w:w="80"/>
              <w:left w:type="dxa" w:w="120"/>
              <w:bottom w:type="dxa" w:w="80"/>
              <w:right w:type="dxa" w:w="120"/>
            </w:tcMar>
            <w:vAlign w:val="center"/>
          </w:tcPr>
          <w:p>
            <w:r>
              <w:rPr>
                <w:color w:val="09090B"/>
                <w:sz w:val="20"/>
                <w:szCs w:val="20"/>
              </w:rPr>
              <w:t xml:space="preserve">Password</w:t>
            </w:r>
          </w:p>
        </w:tc>
        <w:tc>
          <w:tcPr>
            <w:tcW w:type="dxa" w:w="2250"/>
            <w:tcMar>
              <w:top w:type="dxa" w:w="80"/>
              <w:left w:type="dxa" w:w="120"/>
              <w:bottom w:type="dxa" w:w="80"/>
              <w:right w:type="dxa" w:w="120"/>
            </w:tcMar>
            <w:vAlign w:val="center"/>
          </w:tcPr>
          <w:p>
            <w:r>
              <w:rPr>
                <w:color w:val="09090B"/>
                <w:sz w:val="20"/>
                <w:szCs w:val="20"/>
              </w:rPr>
              <w:t xml:space="preserve">Must match Password field</w:t>
            </w:r>
          </w:p>
        </w:tc>
        <w:tc>
          <w:tcPr>
            <w:tcW w:type="dxa" w:w="2250"/>
            <w:tcMar>
              <w:top w:type="dxa" w:w="80"/>
              <w:left w:type="dxa" w:w="120"/>
              <w:bottom w:type="dxa" w:w="80"/>
              <w:right w:type="dxa" w:w="120"/>
            </w:tcMar>
            <w:vAlign w:val="center"/>
          </w:tcPr>
          <w:p>
            <w:r>
              <w:rPr>
                <w:color w:val="09090B"/>
                <w:sz w:val="20"/>
                <w:szCs w:val="20"/>
              </w:rPr>
              <w:t xml:space="preserve">(hidden)</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Terms &amp; Privacy</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Checkbox</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Must be checked</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 Checked</w:t>
            </w:r>
          </w:p>
        </w:tc>
      </w:tr>
    </w:tbl>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After registration, the workspace status is "pending". A VZC Super Admin must activate the workspace before you can access the platform. This typically takes &lt; 24 hours.</w:t>
      </w:r>
    </w:p>
    <w:p>
      <w:pPr>
        <w:pStyle w:val="Heading2"/>
        <w:spacing w:after="120" w:before="360"/>
      </w:pPr>
      <w:r>
        <w:t xml:space="preserve">2.2 Onboarding wizard (6 steps)</w:t>
      </w:r>
    </w:p>
    <w:p>
      <w:pPr>
        <w:spacing w:after="100" w:before="60"/>
      </w:pPr>
      <w:r>
        <w:rPr>
          <w:color w:val="09090B"/>
          <w:sz w:val="22"/>
          <w:szCs w:val="22"/>
        </w:rPr>
        <w:t xml:space="preserve">Once your licence is activated, the first login launches a 6-step wizard that configures the workspace, registers your first buildings, and links any data partner integrations.</w:t>
      </w:r>
    </w:p>
    <w:p>
      <w:pPr>
        <w:pStyle w:val="Heading3"/>
        <w:spacing w:after="80" w:before="240"/>
      </w:pPr>
      <w:r>
        <w:t xml:space="preserve">Step 1 — Organisation details</w:t>
      </w:r>
    </w:p>
    <w:p>
      <w:pPr>
        <w:spacing w:after="100" w:before="60"/>
      </w:pPr>
      <w:r>
        <w:rPr>
          <w:color w:val="09090B"/>
          <w:sz w:val="22"/>
          <w:szCs w:val="22"/>
        </w:rPr>
        <w:t xml:space="preserve">Confirm or update the organisation name, primary contact email/phone, and registered address. This information appears on generated reports and in alert emails.</w:t>
      </w:r>
    </w:p>
    <w:p>
      <w:pPr>
        <w:pStyle w:val="Heading3"/>
        <w:spacing w:after="80" w:before="240"/>
      </w:pPr>
      <w:r>
        <w:t xml:space="preserve">Step 2 — Market / region</w:t>
      </w:r>
    </w:p>
    <w:p>
      <w:pPr>
        <w:spacing w:after="100" w:before="60"/>
      </w:pPr>
      <w:r>
        <w:rPr>
          <w:color w:val="09090B"/>
          <w:sz w:val="22"/>
          <w:szCs w:val="22"/>
        </w:rPr>
        <w:t xml:space="preserve">Select your primary region. The 6 region cards display in a grid; each shows a preview panel containing the currency, EUI unit and emission factor source for that region.</w:t>
      </w:r>
    </w:p>
    <w:p>
      <w:pPr>
        <w:pStyle w:val="ListParagraph"/>
        <w:numPr>
          <w:ilvl w:val="0"/>
          <w:numId w:val="1"/>
        </w:numPr>
        <w:spacing w:after="40" w:before="40"/>
      </w:pPr>
      <w:r>
        <w:rPr>
          <w:color w:val="09090B"/>
          <w:sz w:val="22"/>
          <w:szCs w:val="22"/>
        </w:rPr>
        <w:t xml:space="preserve">UK — kWh/m², GBP, DEFRA 2024, CIBSE benchmarks</w:t>
      </w:r>
    </w:p>
    <w:p>
      <w:pPr>
        <w:pStyle w:val="ListParagraph"/>
        <w:numPr>
          <w:ilvl w:val="0"/>
          <w:numId w:val="1"/>
        </w:numPr>
        <w:spacing w:after="40" w:before="40"/>
      </w:pPr>
      <w:r>
        <w:rPr>
          <w:color w:val="09090B"/>
          <w:sz w:val="22"/>
          <w:szCs w:val="22"/>
        </w:rPr>
        <w:t xml:space="preserve">AU — kWh/m², AUD, NGA 2024, NABERS benchmarks</w:t>
      </w:r>
    </w:p>
    <w:p>
      <w:pPr>
        <w:pStyle w:val="ListParagraph"/>
        <w:numPr>
          <w:ilvl w:val="0"/>
          <w:numId w:val="1"/>
        </w:numPr>
        <w:spacing w:after="40" w:before="40"/>
      </w:pPr>
      <w:r>
        <w:rPr>
          <w:color w:val="09090B"/>
          <w:sz w:val="22"/>
          <w:szCs w:val="22"/>
        </w:rPr>
        <w:t xml:space="preserve">US — kBtu/ft², USD, EPA eGRID 2024, ENERGY STAR benchmarks</w:t>
      </w:r>
    </w:p>
    <w:p>
      <w:pPr>
        <w:pStyle w:val="ListParagraph"/>
        <w:numPr>
          <w:ilvl w:val="0"/>
          <w:numId w:val="1"/>
        </w:numPr>
        <w:spacing w:after="40" w:before="40"/>
      </w:pPr>
      <w:r>
        <w:rPr>
          <w:color w:val="09090B"/>
          <w:sz w:val="22"/>
          <w:szCs w:val="22"/>
        </w:rPr>
        <w:t xml:space="preserve">HK — kWh/m², HKD, HKEPD 2024, EDB / EMSD benchmarks</w:t>
      </w:r>
    </w:p>
    <w:p>
      <w:pPr>
        <w:pStyle w:val="ListParagraph"/>
        <w:numPr>
          <w:ilvl w:val="0"/>
          <w:numId w:val="1"/>
        </w:numPr>
        <w:spacing w:after="40" w:before="40"/>
      </w:pPr>
      <w:r>
        <w:rPr>
          <w:color w:val="09090B"/>
          <w:sz w:val="22"/>
          <w:szCs w:val="22"/>
        </w:rPr>
        <w:t xml:space="preserve">JM — kWh / kW, USD, regional 2024, IEC benchmarks</w:t>
      </w:r>
    </w:p>
    <w:p>
      <w:pPr>
        <w:pStyle w:val="ListParagraph"/>
        <w:numPr>
          <w:ilvl w:val="0"/>
          <w:numId w:val="1"/>
        </w:numPr>
        <w:spacing w:after="40" w:before="40"/>
      </w:pPr>
      <w:r>
        <w:rPr>
          <w:color w:val="09090B"/>
          <w:sz w:val="22"/>
          <w:szCs w:val="22"/>
        </w:rPr>
        <w:t xml:space="preserve">EU — kWh/m², EUR, AIB 2024, ESRS benchmarks</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The region can be changed later via Settings → Region &amp; Units, but doing so re-calculates all historical metrics in the new units. Avoid switching regions after significant data is captured.</w:t>
      </w:r>
    </w:p>
    <w:p>
      <w:pPr>
        <w:pStyle w:val="Heading3"/>
        <w:spacing w:after="80" w:before="240"/>
      </w:pPr>
      <w:r>
        <w:t xml:space="preserve">Step 3 — Buildings (up to 5)</w:t>
      </w:r>
    </w:p>
    <w:p>
      <w:pPr>
        <w:spacing w:after="100" w:before="60"/>
      </w:pPr>
      <w:r>
        <w:rPr>
          <w:color w:val="09090B"/>
          <w:sz w:val="22"/>
          <w:szCs w:val="22"/>
        </w:rPr>
        <w:t xml:space="preserve">Add the first 5 buildings in your portfolio. For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Field</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Type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3000"/>
            <w:tcMar>
              <w:top w:type="dxa" w:w="80"/>
              <w:left w:type="dxa" w:w="120"/>
              <w:bottom w:type="dxa" w:w="80"/>
              <w:right w:type="dxa" w:w="120"/>
            </w:tcMar>
            <w:vAlign w:val="center"/>
          </w:tcPr>
          <w:p>
            <w:r>
              <w:rPr>
                <w:color w:val="09090B"/>
                <w:sz w:val="20"/>
                <w:szCs w:val="20"/>
              </w:rPr>
              <w:t xml:space="preserve">Name</w:t>
            </w:r>
          </w:p>
        </w:tc>
        <w:tc>
          <w:tcPr>
            <w:tcW w:type="dxa" w:w="3000"/>
            <w:tcMar>
              <w:top w:type="dxa" w:w="80"/>
              <w:left w:type="dxa" w:w="120"/>
              <w:bottom w:type="dxa" w:w="80"/>
              <w:right w:type="dxa" w:w="120"/>
            </w:tcMar>
            <w:vAlign w:val="center"/>
          </w:tcPr>
          <w:p>
            <w:r>
              <w:rPr>
                <w:color w:val="09090B"/>
                <w:sz w:val="20"/>
                <w:szCs w:val="20"/>
              </w:rPr>
              <w:t xml:space="preserve">Text</w:t>
            </w:r>
          </w:p>
        </w:tc>
        <w:tc>
          <w:tcPr>
            <w:tcW w:type="dxa" w:w="3000"/>
            <w:tcMar>
              <w:top w:type="dxa" w:w="80"/>
              <w:left w:type="dxa" w:w="120"/>
              <w:bottom w:type="dxa" w:w="80"/>
              <w:right w:type="dxa" w:w="120"/>
            </w:tcMar>
            <w:vAlign w:val="center"/>
          </w:tcPr>
          <w:p>
            <w:r>
              <w:rPr>
                <w:color w:val="09090B"/>
                <w:sz w:val="20"/>
                <w:szCs w:val="20"/>
              </w:rPr>
              <w:t xml:space="preserve">Required. Used everywhere in the platform.</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Type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Dropdown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office / hospital / hotel / restaurant / school / logistics / warehouse / port / government / manufacturing / other</w:t>
            </w:r>
          </w:p>
        </w:tc>
      </w:tr>
      <w:tr>
        <w:tc>
          <w:tcPr>
            <w:tcW w:type="dxa" w:w="3000"/>
            <w:tcMar>
              <w:top w:type="dxa" w:w="80"/>
              <w:left w:type="dxa" w:w="120"/>
              <w:bottom w:type="dxa" w:w="80"/>
              <w:right w:type="dxa" w:w="120"/>
            </w:tcMar>
            <w:vAlign w:val="center"/>
          </w:tcPr>
          <w:p>
            <w:r>
              <w:rPr>
                <w:color w:val="09090B"/>
                <w:sz w:val="20"/>
                <w:szCs w:val="20"/>
              </w:rPr>
              <w:t xml:space="preserve">Address</w:t>
            </w:r>
          </w:p>
        </w:tc>
        <w:tc>
          <w:tcPr>
            <w:tcW w:type="dxa" w:w="3000"/>
            <w:tcMar>
              <w:top w:type="dxa" w:w="80"/>
              <w:left w:type="dxa" w:w="120"/>
              <w:bottom w:type="dxa" w:w="80"/>
              <w:right w:type="dxa" w:w="120"/>
            </w:tcMar>
            <w:vAlign w:val="center"/>
          </w:tcPr>
          <w:p>
            <w:r>
              <w:rPr>
                <w:color w:val="09090B"/>
                <w:sz w:val="20"/>
                <w:szCs w:val="20"/>
              </w:rPr>
              <w:t xml:space="preserve">Text</w:t>
            </w:r>
          </w:p>
        </w:tc>
        <w:tc>
          <w:tcPr>
            <w:tcW w:type="dxa" w:w="3000"/>
            <w:tcMar>
              <w:top w:type="dxa" w:w="80"/>
              <w:left w:type="dxa" w:w="120"/>
              <w:bottom w:type="dxa" w:w="80"/>
              <w:right w:type="dxa" w:w="120"/>
            </w:tcMar>
            <w:vAlign w:val="center"/>
          </w:tcPr>
          <w:p>
            <w:r>
              <w:rPr>
                <w:color w:val="09090B"/>
                <w:sz w:val="20"/>
                <w:szCs w:val="20"/>
              </w:rPr>
              <w:t xml:space="preserve">Used for the Maps module and reports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Floor area</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Number + unit (m² or ft²)</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Required for EUI calculation</w:t>
            </w:r>
          </w:p>
        </w:tc>
      </w:tr>
      <w:tr>
        <w:tc>
          <w:tcPr>
            <w:tcW w:type="dxa" w:w="3000"/>
            <w:tcMar>
              <w:top w:type="dxa" w:w="80"/>
              <w:left w:type="dxa" w:w="120"/>
              <w:bottom w:type="dxa" w:w="80"/>
              <w:right w:type="dxa" w:w="120"/>
            </w:tcMar>
            <w:vAlign w:val="center"/>
          </w:tcPr>
          <w:p>
            <w:r>
              <w:rPr>
                <w:color w:val="09090B"/>
                <w:sz w:val="20"/>
                <w:szCs w:val="20"/>
              </w:rPr>
              <w:t xml:space="preserve">Year built</w:t>
            </w:r>
          </w:p>
        </w:tc>
        <w:tc>
          <w:tcPr>
            <w:tcW w:type="dxa" w:w="3000"/>
            <w:tcMar>
              <w:top w:type="dxa" w:w="80"/>
              <w:left w:type="dxa" w:w="120"/>
              <w:bottom w:type="dxa" w:w="80"/>
              <w:right w:type="dxa" w:w="120"/>
            </w:tcMar>
            <w:vAlign w:val="center"/>
          </w:tcPr>
          <w:p>
            <w:r>
              <w:rPr>
                <w:color w:val="09090B"/>
                <w:sz w:val="20"/>
                <w:szCs w:val="20"/>
              </w:rPr>
              <w:t xml:space="preserve">Number</w:t>
            </w:r>
          </w:p>
        </w:tc>
        <w:tc>
          <w:tcPr>
            <w:tcW w:type="dxa" w:w="3000"/>
            <w:tcMar>
              <w:top w:type="dxa" w:w="80"/>
              <w:left w:type="dxa" w:w="120"/>
              <w:bottom w:type="dxa" w:w="80"/>
              <w:right w:type="dxa" w:w="120"/>
            </w:tcMar>
            <w:vAlign w:val="center"/>
          </w:tcPr>
          <w:p>
            <w:r>
              <w:rPr>
                <w:color w:val="09090B"/>
                <w:sz w:val="20"/>
                <w:szCs w:val="20"/>
              </w:rPr>
              <w:t xml:space="preserve">Optional</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Certifications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Chip selector</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BREEAM, LEED, EPC, ENERGY STAR, NABERS, etc.</w:t>
            </w:r>
          </w:p>
        </w:tc>
      </w:tr>
      <w:tr>
        <w:tc>
          <w:tcPr>
            <w:tcW w:type="dxa" w:w="3000"/>
            <w:tcMar>
              <w:top w:type="dxa" w:w="80"/>
              <w:left w:type="dxa" w:w="120"/>
              <w:bottom w:type="dxa" w:w="80"/>
              <w:right w:type="dxa" w:w="120"/>
            </w:tcMar>
            <w:vAlign w:val="center"/>
          </w:tcPr>
          <w:p>
            <w:r>
              <w:rPr>
                <w:color w:val="09090B"/>
                <w:sz w:val="20"/>
                <w:szCs w:val="20"/>
              </w:rPr>
              <w:t xml:space="preserve">Contacts</w:t>
            </w:r>
          </w:p>
        </w:tc>
        <w:tc>
          <w:tcPr>
            <w:tcW w:type="dxa" w:w="3000"/>
            <w:tcMar>
              <w:top w:type="dxa" w:w="80"/>
              <w:left w:type="dxa" w:w="120"/>
              <w:bottom w:type="dxa" w:w="80"/>
              <w:right w:type="dxa" w:w="120"/>
            </w:tcMar>
            <w:vAlign w:val="center"/>
          </w:tcPr>
          <w:p>
            <w:r>
              <w:rPr>
                <w:color w:val="09090B"/>
                <w:sz w:val="20"/>
                <w:szCs w:val="20"/>
              </w:rPr>
              <w:t xml:space="preserve">Repeatable rows</w:t>
            </w:r>
          </w:p>
        </w:tc>
        <w:tc>
          <w:tcPr>
            <w:tcW w:type="dxa" w:w="3000"/>
            <w:tcMar>
              <w:top w:type="dxa" w:w="80"/>
              <w:left w:type="dxa" w:w="120"/>
              <w:bottom w:type="dxa" w:w="80"/>
              <w:right w:type="dxa" w:w="120"/>
            </w:tcMar>
            <w:vAlign w:val="center"/>
          </w:tcPr>
          <w:p>
            <w:r>
              <w:rPr>
                <w:color w:val="09090B"/>
                <w:sz w:val="20"/>
                <w:szCs w:val="20"/>
              </w:rPr>
              <w:t xml:space="preserve">Name, role, email, phone</w:t>
            </w:r>
          </w:p>
        </w:tc>
      </w:tr>
    </w:tbl>
    <w:p>
      <w:pPr>
        <w:spacing w:after="100" w:before="60"/>
      </w:pPr>
      <w:r>
        <w:rPr>
          <w:color w:val="09090B"/>
          <w:sz w:val="22"/>
          <w:szCs w:val="22"/>
        </w:rPr>
        <w:t xml:space="preserve">More than 5 buildings? Add the remaining ones via Buildings → "Add building" after onboarding.</w:t>
      </w:r>
    </w:p>
    <w:p>
      <w:pPr>
        <w:pStyle w:val="Heading3"/>
        <w:spacing w:after="80" w:before="240"/>
      </w:pPr>
      <w:r>
        <w:t xml:space="preserve">Step 4 — Data connections</w:t>
      </w:r>
    </w:p>
    <w:p>
      <w:pPr>
        <w:spacing w:after="100" w:before="60"/>
      </w:pPr>
      <w:r>
        <w:rPr>
          <w:color w:val="09090B"/>
          <w:sz w:val="22"/>
          <w:szCs w:val="22"/>
        </w:rPr>
        <w:t xml:space="preserve">Choose how energy and utility data will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Mode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How it works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Suitable for</w:t>
            </w:r>
          </w:p>
        </w:tc>
      </w:tr>
      <w:tr>
        <w:tc>
          <w:tcPr>
            <w:tcW w:type="dxa" w:w="3000"/>
            <w:tcMar>
              <w:top w:type="dxa" w:w="80"/>
              <w:left w:type="dxa" w:w="120"/>
              <w:bottom w:type="dxa" w:w="80"/>
              <w:right w:type="dxa" w:w="120"/>
            </w:tcMar>
            <w:vAlign w:val="center"/>
          </w:tcPr>
          <w:p>
            <w:r>
              <w:rPr>
                <w:color w:val="09090B"/>
                <w:sz w:val="20"/>
                <w:szCs w:val="20"/>
              </w:rPr>
              <w:t xml:space="preserve">Manual</w:t>
            </w:r>
          </w:p>
        </w:tc>
        <w:tc>
          <w:tcPr>
            <w:tcW w:type="dxa" w:w="3000"/>
            <w:tcMar>
              <w:top w:type="dxa" w:w="80"/>
              <w:left w:type="dxa" w:w="120"/>
              <w:bottom w:type="dxa" w:w="80"/>
              <w:right w:type="dxa" w:w="120"/>
            </w:tcMar>
            <w:vAlign w:val="center"/>
          </w:tcPr>
          <w:p>
            <w:r>
              <w:rPr>
                <w:color w:val="09090B"/>
                <w:sz w:val="20"/>
                <w:szCs w:val="20"/>
              </w:rPr>
              <w:t xml:space="preserve">Read meters or upload bills monthly via Data Collection</w:t>
            </w:r>
          </w:p>
        </w:tc>
        <w:tc>
          <w:tcPr>
            <w:tcW w:type="dxa" w:w="3000"/>
            <w:tcMar>
              <w:top w:type="dxa" w:w="80"/>
              <w:left w:type="dxa" w:w="120"/>
              <w:bottom w:type="dxa" w:w="80"/>
              <w:right w:type="dxa" w:w="120"/>
            </w:tcMar>
            <w:vAlign w:val="center"/>
          </w:tcPr>
          <w:p>
            <w:r>
              <w:rPr>
                <w:color w:val="09090B"/>
                <w:sz w:val="20"/>
                <w:szCs w:val="20"/>
              </w:rPr>
              <w:t xml:space="preserve">Smaller portfolios, no BMS infrastructure</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Smart (Integration)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Connect a data partner — Synapsis, Novant, Softhard, Grid, Solar PV or BMS Generic</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Buildings with a BMS or smart meter network</w:t>
            </w:r>
          </w:p>
        </w:tc>
      </w:tr>
      <w:tr>
        <w:tc>
          <w:tcPr>
            <w:tcW w:type="dxa" w:w="3000"/>
            <w:tcMar>
              <w:top w:type="dxa" w:w="80"/>
              <w:left w:type="dxa" w:w="120"/>
              <w:bottom w:type="dxa" w:w="80"/>
              <w:right w:type="dxa" w:w="120"/>
            </w:tcMar>
            <w:vAlign w:val="center"/>
          </w:tcPr>
          <w:p>
            <w:r>
              <w:rPr>
                <w:color w:val="09090B"/>
                <w:sz w:val="20"/>
                <w:szCs w:val="20"/>
              </w:rPr>
              <w:t xml:space="preserve">Mixed</w:t>
            </w:r>
          </w:p>
        </w:tc>
        <w:tc>
          <w:tcPr>
            <w:tcW w:type="dxa" w:w="3000"/>
            <w:tcMar>
              <w:top w:type="dxa" w:w="80"/>
              <w:left w:type="dxa" w:w="120"/>
              <w:bottom w:type="dxa" w:w="80"/>
              <w:right w:type="dxa" w:w="120"/>
            </w:tcMar>
            <w:vAlign w:val="center"/>
          </w:tcPr>
          <w:p>
            <w:r>
              <w:rPr>
                <w:color w:val="09090B"/>
                <w:sz w:val="20"/>
                <w:szCs w:val="20"/>
              </w:rPr>
              <w:t xml:space="preserve">Some buildings manual, others integration</w:t>
            </w:r>
          </w:p>
        </w:tc>
        <w:tc>
          <w:tcPr>
            <w:tcW w:type="dxa" w:w="3000"/>
            <w:tcMar>
              <w:top w:type="dxa" w:w="80"/>
              <w:left w:type="dxa" w:w="120"/>
              <w:bottom w:type="dxa" w:w="80"/>
              <w:right w:type="dxa" w:w="120"/>
            </w:tcMar>
            <w:vAlign w:val="center"/>
          </w:tcPr>
          <w:p>
            <w:r>
              <w:rPr>
                <w:color w:val="09090B"/>
                <w:sz w:val="20"/>
                <w:szCs w:val="20"/>
              </w:rPr>
              <w:t xml:space="preserve">Most real portfolios</w:t>
            </w:r>
          </w:p>
        </w:tc>
      </w:tr>
    </w:tbl>
    <w:p>
      <w:pPr>
        <w:spacing w:after="100" w:before="60"/>
      </w:pPr>
      <w:r>
        <w:rPr>
          <w:color w:val="09090B"/>
          <w:sz w:val="22"/>
          <w:szCs w:val="22"/>
        </w:rPr>
        <w:t xml:space="preserve">For the Integration route, six partner cards appear. Each opens a credential form with a "Test connection" button: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Partner</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Code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Provides</w:t>
            </w:r>
          </w:p>
        </w:tc>
      </w:tr>
      <w:tr>
        <w:tc>
          <w:tcPr>
            <w:tcW w:type="dxa" w:w="3000"/>
            <w:tcMar>
              <w:top w:type="dxa" w:w="80"/>
              <w:left w:type="dxa" w:w="120"/>
              <w:bottom w:type="dxa" w:w="80"/>
              <w:right w:type="dxa" w:w="120"/>
            </w:tcMar>
            <w:vAlign w:val="center"/>
          </w:tcPr>
          <w:p>
            <w:r>
              <w:rPr>
                <w:color w:val="09090B"/>
                <w:sz w:val="20"/>
                <w:szCs w:val="20"/>
              </w:rPr>
              <w:t xml:space="preserve">Synapsis</w:t>
            </w:r>
          </w:p>
        </w:tc>
        <w:tc>
          <w:tcPr>
            <w:tcW w:type="dxa" w:w="3000"/>
            <w:tcMar>
              <w:top w:type="dxa" w:w="80"/>
              <w:left w:type="dxa" w:w="120"/>
              <w:bottom w:type="dxa" w:w="80"/>
              <w:right w:type="dxa" w:w="120"/>
            </w:tcMar>
            <w:vAlign w:val="center"/>
          </w:tcPr>
          <w:p>
            <w:r>
              <w:rPr>
                <w:color w:val="09090B"/>
                <w:sz w:val="20"/>
                <w:szCs w:val="20"/>
              </w:rPr>
              <w:t xml:space="preserve">synapsis</w:t>
            </w:r>
          </w:p>
        </w:tc>
        <w:tc>
          <w:tcPr>
            <w:tcW w:type="dxa" w:w="3000"/>
            <w:tcMar>
              <w:top w:type="dxa" w:w="80"/>
              <w:left w:type="dxa" w:w="120"/>
              <w:bottom w:type="dxa" w:w="80"/>
              <w:right w:type="dxa" w:w="120"/>
            </w:tcMar>
            <w:vAlign w:val="center"/>
          </w:tcPr>
          <w:p>
            <w:r>
              <w:rPr>
                <w:color w:val="09090B"/>
                <w:sz w:val="20"/>
                <w:szCs w:val="20"/>
              </w:rPr>
              <w:t xml:space="preserve">UK BMS — HVAC, lighting, occupancy, floor-level sensors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Novant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novant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Smart valve control — water management, open/close commands</w:t>
            </w:r>
          </w:p>
        </w:tc>
      </w:tr>
      <w:tr>
        <w:tc>
          <w:tcPr>
            <w:tcW w:type="dxa" w:w="3000"/>
            <w:tcMar>
              <w:top w:type="dxa" w:w="80"/>
              <w:left w:type="dxa" w:w="120"/>
              <w:bottom w:type="dxa" w:w="80"/>
              <w:right w:type="dxa" w:w="120"/>
            </w:tcMar>
            <w:vAlign w:val="center"/>
          </w:tcPr>
          <w:p>
            <w:r>
              <w:rPr>
                <w:color w:val="09090B"/>
                <w:sz w:val="20"/>
                <w:szCs w:val="20"/>
              </w:rPr>
              <w:t xml:space="preserve">Softhard</w:t>
            </w:r>
          </w:p>
        </w:tc>
        <w:tc>
          <w:tcPr>
            <w:tcW w:type="dxa" w:w="3000"/>
            <w:tcMar>
              <w:top w:type="dxa" w:w="80"/>
              <w:left w:type="dxa" w:w="120"/>
              <w:bottom w:type="dxa" w:w="80"/>
              <w:right w:type="dxa" w:w="120"/>
            </w:tcMar>
            <w:vAlign w:val="center"/>
          </w:tcPr>
          <w:p>
            <w:r>
              <w:rPr>
                <w:color w:val="09090B"/>
                <w:sz w:val="20"/>
                <w:szCs w:val="20"/>
              </w:rPr>
              <w:t xml:space="preserve">softhard</w:t>
            </w:r>
          </w:p>
        </w:tc>
        <w:tc>
          <w:tcPr>
            <w:tcW w:type="dxa" w:w="3000"/>
            <w:tcMar>
              <w:top w:type="dxa" w:w="80"/>
              <w:left w:type="dxa" w:w="120"/>
              <w:bottom w:type="dxa" w:w="80"/>
              <w:right w:type="dxa" w:w="120"/>
            </w:tcMar>
            <w:vAlign w:val="center"/>
          </w:tcPr>
          <w:p>
            <w:r>
              <w:rPr>
                <w:color w:val="09090B"/>
                <w:sz w:val="20"/>
                <w:szCs w:val="20"/>
              </w:rPr>
              <w:t xml:space="preserve">HK IoT — energy, water, gas sensor feeds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Grid API</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grid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Real-time electricity price signals (UK Octopus Agile, US EIA, fallback tariffs)</w:t>
            </w:r>
          </w:p>
        </w:tc>
      </w:tr>
      <w:tr>
        <w:tc>
          <w:tcPr>
            <w:tcW w:type="dxa" w:w="3000"/>
            <w:tcMar>
              <w:top w:type="dxa" w:w="80"/>
              <w:left w:type="dxa" w:w="120"/>
              <w:bottom w:type="dxa" w:w="80"/>
              <w:right w:type="dxa" w:w="120"/>
            </w:tcMar>
            <w:vAlign w:val="center"/>
          </w:tcPr>
          <w:p>
            <w:r>
              <w:rPr>
                <w:color w:val="09090B"/>
                <w:sz w:val="20"/>
                <w:szCs w:val="20"/>
              </w:rPr>
              <w:t xml:space="preserve">Solar / PV</w:t>
            </w:r>
          </w:p>
        </w:tc>
        <w:tc>
          <w:tcPr>
            <w:tcW w:type="dxa" w:w="3000"/>
            <w:tcMar>
              <w:top w:type="dxa" w:w="80"/>
              <w:left w:type="dxa" w:w="120"/>
              <w:bottom w:type="dxa" w:w="80"/>
              <w:right w:type="dxa" w:w="120"/>
            </w:tcMar>
            <w:vAlign w:val="center"/>
          </w:tcPr>
          <w:p>
            <w:r>
              <w:rPr>
                <w:color w:val="09090B"/>
                <w:sz w:val="20"/>
                <w:szCs w:val="20"/>
              </w:rPr>
              <w:t xml:space="preserve">solar_pv</w:t>
            </w:r>
          </w:p>
        </w:tc>
        <w:tc>
          <w:tcPr>
            <w:tcW w:type="dxa" w:w="3000"/>
            <w:tcMar>
              <w:top w:type="dxa" w:w="80"/>
              <w:left w:type="dxa" w:w="120"/>
              <w:bottom w:type="dxa" w:w="80"/>
              <w:right w:type="dxa" w:w="120"/>
            </w:tcMar>
            <w:vAlign w:val="center"/>
          </w:tcPr>
          <w:p>
            <w:r>
              <w:rPr>
                <w:color w:val="09090B"/>
                <w:sz w:val="20"/>
                <w:szCs w:val="20"/>
              </w:rPr>
              <w:t xml:space="preserve">PV generation data, inverter feeds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BMS Generic</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bms_generic</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BACnet/Modbus via REST bridge</w:t>
            </w:r>
          </w:p>
        </w:tc>
      </w:tr>
    </w:tbl>
    <w:p>
      <w:pPr>
        <w:pBdr>
          <w:left w:val="single" w:color="047857" w:sz="12" w:space="4"/>
        </w:pBdr>
        <w:shd w:fill="F0FDF4" w:color="auto" w:val="clear"/>
        <w:spacing w:after="80" w:before="80"/>
        <w:ind w:left="200" w:right="200"/>
      </w:pPr>
      <w:r>
        <w:rPr>
          <w:b/>
          <w:bCs/>
          <w:color w:val="047857"/>
          <w:sz w:val="20"/>
          <w:szCs w:val="20"/>
        </w:rPr>
        <w:t xml:space="preserve">Tip: </w:t>
      </w:r>
      <w:r>
        <w:rPr>
          <w:color w:val="52525B"/>
          <w:sz w:val="20"/>
          <w:szCs w:val="20"/>
        </w:rPr>
        <w:t xml:space="preserve">You can skip integrations in onboarding and add them later. Many customers start manual and graduate to integrations once their first building is live.</w:t>
      </w:r>
    </w:p>
    <w:p>
      <w:pPr>
        <w:pStyle w:val="Heading3"/>
        <w:spacing w:after="80" w:before="240"/>
      </w:pPr>
      <w:r>
        <w:t xml:space="preserve">Step 5 — Module review</w:t>
      </w:r>
    </w:p>
    <w:p>
      <w:pPr>
        <w:spacing w:after="100" w:before="60"/>
      </w:pPr>
      <w:r>
        <w:rPr>
          <w:color w:val="09090B"/>
          <w:sz w:val="22"/>
          <w:szCs w:val="22"/>
        </w:rPr>
        <w:t xml:space="preserve">A read-only 16-module grid shows which modules are active for your workspace. Core modules (Dashboard, Buildings, Alerts, Data Collection, Reports, Carbon) are always active. Premium and AI modules are activated separately by VZC.</w:t>
      </w:r>
    </w:p>
    <w:p>
      <w:pPr>
        <w:pStyle w:val="Heading3"/>
        <w:spacing w:after="80" w:before="240"/>
      </w:pPr>
      <w:r>
        <w:t xml:space="preserve">Step 6 — Launch</w:t>
      </w:r>
    </w:p>
    <w:p>
      <w:pPr>
        <w:spacing w:after="100" w:before="60"/>
      </w:pPr>
      <w:r>
        <w:rPr>
          <w:color w:val="09090B"/>
          <w:sz w:val="22"/>
          <w:szCs w:val="22"/>
        </w:rPr>
        <w:t xml:space="preserve">A sequential checklist animation runs through each setup step ("Organisation saved", "Region applied", "Buildings added", "Integrations tested", etc.) and then redirects you to the Dashboard.</w:t>
      </w:r>
    </w:p>
    <w:p>
      <w:pPr>
        <w:pStyle w:val="Heading2"/>
        <w:spacing w:after="120" w:before="360"/>
      </w:pPr>
      <w:r>
        <w:t xml:space="preserve">2.3 Logging in</w:t>
      </w:r>
    </w:p>
    <w:p>
      <w:pPr>
        <w:spacing w:after="100" w:before="60"/>
      </w:pPr>
      <w:r>
        <w:rPr>
          <w:color w:val="09090B"/>
          <w:sz w:val="22"/>
          <w:szCs w:val="22"/>
        </w:rPr>
        <w:t xml:space="preserve">Go to /login and enter your email and password. If MFA is enabled, you will be redirected to /mfa to enter a 6-digit TOTP code from your authenticator app.</w:t>
      </w:r>
    </w:p>
    <w:p>
      <w:pPr>
        <w:pStyle w:val="Heading2"/>
        <w:spacing w:after="120" w:before="360"/>
      </w:pPr>
      <w:r>
        <w:t xml:space="preserve">2.4 Forgot password</w:t>
      </w:r>
    </w:p>
    <w:p>
      <w:pPr>
        <w:spacing w:after="100" w:before="60"/>
      </w:pPr>
      <w:r>
        <w:rPr>
          <w:color w:val="09090B"/>
          <w:sz w:val="22"/>
          <w:szCs w:val="22"/>
        </w:rPr>
        <w:t xml:space="preserve">Click "Forgot password?" on the login page. Enter your email and click "Send reset link". The reset email contains a link valid for 1 hour. Click the link, enter your new password (min. 8 characters) and confirm.</w:t>
      </w:r>
    </w:p>
    <w:p>
      <w:pPr>
        <w:pStyle w:val="Heading2"/>
        <w:spacing w:after="120" w:before="360"/>
      </w:pPr>
      <w:r>
        <w:t xml:space="preserve">2.5 Enabling MFA</w:t>
      </w:r>
    </w:p>
    <w:p>
      <w:pPr>
        <w:spacing w:after="100" w:before="60"/>
      </w:pPr>
      <w:r>
        <w:rPr>
          <w:color w:val="09090B"/>
          <w:sz w:val="22"/>
          <w:szCs w:val="22"/>
        </w:rPr>
        <w:t xml:space="preserve">Settings → Workspace → Security → "Enable MFA". A QR code is generated; scan it with Google Authenticator, Authy, 1Password, or any TOTP app. Enter the 6-digit code to confirm setup. MFA is per-user, not per-workspace.</w:t>
      </w:r>
    </w:p>
    <w:p>
      <w:pPr>
        <w:pStyle w:val="Heading2"/>
        <w:spacing w:after="120" w:before="360"/>
      </w:pPr>
      <w:r>
        <w:t xml:space="preserve">2.6 Inviting team members</w:t>
      </w:r>
    </w:p>
    <w:p>
      <w:pPr>
        <w:spacing w:after="100" w:before="60"/>
      </w:pPr>
      <w:r>
        <w:rPr>
          <w:color w:val="09090B"/>
          <w:sz w:val="22"/>
          <w:szCs w:val="22"/>
        </w:rPr>
        <w:t xml:space="preserve">Owners and Admins can invite additional users via Settings → Team → "Invite member". Choose a role (Admin / Contributor / Viewer) and enter the colleague's email. They receive an invitation email with a one-time link.</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Invited users land directly on the dashboard with the role you selected. They should immediately change their password if a temporary one was provided.</w:t>
      </w:r>
    </w:p>
    <w:p>
      <w:r>
        <w:br w:type="page"/>
      </w:r>
    </w:p>
    <w:p>
      <w:pPr>
        <w:pStyle w:val="Heading1"/>
        <w:pBdr>
          <w:bottom w:val="single" w:color="037272" w:sz="8" w:space="4"/>
        </w:pBdr>
        <w:spacing w:after="160" w:before="480"/>
      </w:pPr>
      <w:r>
        <w:t xml:space="preserve">3. Dashboard</w:t>
      </w:r>
    </w:p>
    <w:p>
      <w:pPr>
        <w:spacing w:after="100" w:before="60"/>
      </w:pPr>
      <w:r>
        <w:rPr>
          <w:color w:val="09090B"/>
          <w:sz w:val="22"/>
          <w:szCs w:val="22"/>
        </w:rPr>
        <w:t xml:space="preserve">The Dashboard is the landing page after login. It provides a real-time portfolio overview: live KPIs, building rankings, the Net Zero trajectory, active alerts and AI-generated insights. All data updates automatically via React Query background refresh.</w:t>
      </w:r>
    </w:p>
    <w:p>
      <w:pPr>
        <w:pStyle w:val="Heading2"/>
        <w:spacing w:after="120" w:before="360"/>
      </w:pPr>
      <w:r>
        <w:t xml:space="preserve">3.1 KPI strip (top of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Card</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What it shows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Data source</w:t>
            </w:r>
          </w:p>
        </w:tc>
      </w:tr>
      <w:tr>
        <w:tc>
          <w:tcPr>
            <w:tcW w:type="dxa" w:w="3000"/>
            <w:tcMar>
              <w:top w:type="dxa" w:w="80"/>
              <w:left w:type="dxa" w:w="120"/>
              <w:bottom w:type="dxa" w:w="80"/>
              <w:right w:type="dxa" w:w="120"/>
            </w:tcMar>
            <w:vAlign w:val="center"/>
          </w:tcPr>
          <w:p>
            <w:r>
              <w:rPr>
                <w:color w:val="09090B"/>
                <w:sz w:val="20"/>
                <w:szCs w:val="20"/>
              </w:rPr>
              <w:t xml:space="preserve">Total assets</w:t>
            </w:r>
          </w:p>
        </w:tc>
        <w:tc>
          <w:tcPr>
            <w:tcW w:type="dxa" w:w="3000"/>
            <w:tcMar>
              <w:top w:type="dxa" w:w="80"/>
              <w:left w:type="dxa" w:w="120"/>
              <w:bottom w:type="dxa" w:w="80"/>
              <w:right w:type="dxa" w:w="120"/>
            </w:tcMar>
            <w:vAlign w:val="center"/>
          </w:tcPr>
          <w:p>
            <w:r>
              <w:rPr>
                <w:color w:val="09090B"/>
                <w:sz w:val="20"/>
                <w:szCs w:val="20"/>
              </w:rPr>
              <w:t xml:space="preserve">Number of buildings in the portfolio</w:t>
            </w:r>
          </w:p>
        </w:tc>
        <w:tc>
          <w:tcPr>
            <w:tcW w:type="dxa" w:w="3000"/>
            <w:tcMar>
              <w:top w:type="dxa" w:w="80"/>
              <w:left w:type="dxa" w:w="120"/>
              <w:bottom w:type="dxa" w:w="80"/>
              <w:right w:type="dxa" w:w="120"/>
            </w:tcMar>
            <w:vAlign w:val="center"/>
          </w:tcPr>
          <w:p>
            <w:r>
              <w:rPr>
                <w:color w:val="09090B"/>
                <w:sz w:val="20"/>
                <w:szCs w:val="20"/>
              </w:rPr>
              <w:t xml:space="preserve">assets table count</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Total floor area</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Sum of floor_area across active assets in region's unit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assets.floor_area</w:t>
            </w:r>
          </w:p>
        </w:tc>
      </w:tr>
      <w:tr>
        <w:tc>
          <w:tcPr>
            <w:tcW w:type="dxa" w:w="3000"/>
            <w:tcMar>
              <w:top w:type="dxa" w:w="80"/>
              <w:left w:type="dxa" w:w="120"/>
              <w:bottom w:type="dxa" w:w="80"/>
              <w:right w:type="dxa" w:w="120"/>
            </w:tcMar>
            <w:vAlign w:val="center"/>
          </w:tcPr>
          <w:p>
            <w:r>
              <w:rPr>
                <w:color w:val="09090B"/>
                <w:sz w:val="20"/>
                <w:szCs w:val="20"/>
              </w:rPr>
              <w:t xml:space="preserve">Scope 1 + 2 tCO₂e</w:t>
            </w:r>
          </w:p>
        </w:tc>
        <w:tc>
          <w:tcPr>
            <w:tcW w:type="dxa" w:w="3000"/>
            <w:tcMar>
              <w:top w:type="dxa" w:w="80"/>
              <w:left w:type="dxa" w:w="120"/>
              <w:bottom w:type="dxa" w:w="80"/>
              <w:right w:type="dxa" w:w="120"/>
            </w:tcMar>
            <w:vAlign w:val="center"/>
          </w:tcPr>
          <w:p>
            <w:r>
              <w:rPr>
                <w:color w:val="09090B"/>
                <w:sz w:val="20"/>
                <w:szCs w:val="20"/>
              </w:rPr>
              <w:t xml:space="preserve">Trailing 12-month emissions</w:t>
            </w:r>
          </w:p>
        </w:tc>
        <w:tc>
          <w:tcPr>
            <w:tcW w:type="dxa" w:w="3000"/>
            <w:tcMar>
              <w:top w:type="dxa" w:w="80"/>
              <w:left w:type="dxa" w:w="120"/>
              <w:bottom w:type="dxa" w:w="80"/>
              <w:right w:type="dxa" w:w="120"/>
            </w:tcMar>
            <w:vAlign w:val="center"/>
          </w:tcPr>
          <w:p>
            <w:r>
              <w:rPr>
                <w:color w:val="09090B"/>
                <w:sz w:val="20"/>
                <w:szCs w:val="20"/>
              </w:rPr>
              <w:t xml:space="preserve">emissions service (carbon module)</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Portfolio EUI vs benchmark</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Total energy per unit area vs regional benchmark</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metrics electricity_kwh + gas_kwh ÷ area, vs benchmark_panel</w:t>
            </w:r>
          </w:p>
        </w:tc>
      </w:tr>
    </w:tbl>
    <w:p>
      <w:pPr>
        <w:pStyle w:val="Heading2"/>
        <w:spacing w:after="120" w:before="360"/>
      </w:pPr>
      <w:r>
        <w:t xml:space="preserve">3.2 Tier 1 alert banner</w:t>
      </w:r>
    </w:p>
    <w:p>
      <w:pPr>
        <w:spacing w:after="100" w:before="60"/>
      </w:pPr>
      <w:r>
        <w:rPr>
          <w:color w:val="09090B"/>
          <w:sz w:val="22"/>
          <w:szCs w:val="22"/>
        </w:rPr>
        <w:t xml:space="preserve">If any Tier 1 alert is currently active anywhere in the portfolio, a red pulsing banner appears above the KPI strip with the alert title, building name, and a "Go to Status Manager" button. The banner pulses continuously (2-second loop) until the alert is acknowledged.</w:t>
      </w:r>
    </w:p>
    <w:p>
      <w:pPr>
        <w:pBdr>
          <w:left w:val="single" w:color="B91C1C" w:sz="12" w:space="4"/>
        </w:pBdr>
        <w:shd w:fill="FEF2F2" w:color="auto" w:val="clear"/>
        <w:spacing w:after="80" w:before="80"/>
        <w:ind w:left="200" w:right="200"/>
      </w:pPr>
      <w:r>
        <w:rPr>
          <w:b/>
          <w:bCs/>
          <w:color w:val="B91C1C"/>
          <w:sz w:val="20"/>
          <w:szCs w:val="20"/>
        </w:rPr>
        <w:t xml:space="preserve">Warning: </w:t>
      </w:r>
      <w:r>
        <w:rPr>
          <w:color w:val="52525B"/>
          <w:sz w:val="20"/>
          <w:szCs w:val="20"/>
        </w:rPr>
        <w:t xml:space="preserve">A Tier 1 banner means a life-safety event has been detected (fire / gas / security / critical equipment). Acknowledge within 60 seconds where possible; the system has already auto-emailed every notification recipient via Resend.</w:t>
      </w:r>
    </w:p>
    <w:p>
      <w:pPr>
        <w:pStyle w:val="Heading2"/>
        <w:spacing w:after="120" w:before="360"/>
      </w:pPr>
      <w:r>
        <w:t xml:space="preserve">3.3 Net Zero trajectory</w:t>
      </w:r>
    </w:p>
    <w:p>
      <w:pPr>
        <w:spacing w:after="100" w:before="60"/>
      </w:pPr>
      <w:r>
        <w:rPr>
          <w:color w:val="09090B"/>
          <w:sz w:val="22"/>
          <w:szCs w:val="22"/>
        </w:rPr>
        <w:t xml:space="preserve">An AreaChart showing monthly Scope 1+2 emissions against the linear glide path to your workspace's net-zero target year (default 2050). Two series:</w:t>
      </w:r>
    </w:p>
    <w:p>
      <w:pPr>
        <w:pStyle w:val="ListParagraph"/>
        <w:numPr>
          <w:ilvl w:val="0"/>
          <w:numId w:val="1"/>
        </w:numPr>
        <w:spacing w:after="40" w:before="40"/>
      </w:pPr>
      <w:r>
        <w:rPr>
          <w:color w:val="09090B"/>
          <w:sz w:val="22"/>
          <w:szCs w:val="22"/>
        </w:rPr>
        <w:t xml:space="preserve">Actual — solid teal line, monthly aggregate</w:t>
      </w:r>
    </w:p>
    <w:p>
      <w:pPr>
        <w:pStyle w:val="ListParagraph"/>
        <w:numPr>
          <w:ilvl w:val="0"/>
          <w:numId w:val="1"/>
        </w:numPr>
        <w:spacing w:after="40" w:before="40"/>
      </w:pPr>
      <w:r>
        <w:rPr>
          <w:color w:val="09090B"/>
          <w:sz w:val="22"/>
          <w:szCs w:val="22"/>
        </w:rPr>
        <w:t xml:space="preserve">Target — dashed grey line, linear from current month to net_zero_target_year</w:t>
      </w:r>
    </w:p>
    <w:p>
      <w:pPr>
        <w:spacing w:after="100" w:before="60"/>
      </w:pPr>
      <w:r>
        <w:rPr>
          <w:color w:val="09090B"/>
          <w:sz w:val="22"/>
          <w:szCs w:val="22"/>
        </w:rPr>
        <w:t xml:space="preserve">Hovering any month shows the absolute tCO₂e and the % delta from target.</w:t>
      </w:r>
    </w:p>
    <w:p>
      <w:pPr>
        <w:pStyle w:val="Heading2"/>
        <w:spacing w:after="120" w:before="360"/>
      </w:pPr>
      <w:r>
        <w:t xml:space="preserve">3.4 Building rankings</w:t>
      </w:r>
    </w:p>
    <w:p>
      <w:pPr>
        <w:spacing w:after="100" w:before="60"/>
      </w:pPr>
      <w:r>
        <w:rPr>
          <w:color w:val="09090B"/>
          <w:sz w:val="22"/>
          <w:szCs w:val="22"/>
        </w:rPr>
        <w:t xml:space="preserve">A sortable table listing every building with its current EUI, % vs benchmark, and an inline EUI bar coloured teal (good — at or below benchmark), amber (warning — within 20%), or red (poor — above 20%).</w:t>
      </w:r>
    </w:p>
    <w:p>
      <w:pPr>
        <w:spacing w:after="100" w:before="60"/>
      </w:pPr>
      <w:r>
        <w:rPr>
          <w:color w:val="09090B"/>
          <w:sz w:val="22"/>
          <w:szCs w:val="22"/>
        </w:rPr>
        <w:t xml:space="preserve">Columns: Building name · Type · Floor area · 12-month energy · EUI · vs Benchmark · Active alerts. Click a row to open the building.</w:t>
      </w:r>
    </w:p>
    <w:p>
      <w:pPr>
        <w:pStyle w:val="Heading2"/>
        <w:spacing w:after="120" w:before="360"/>
      </w:pPr>
      <w:r>
        <w:t xml:space="preserve">3.5 Top / bottom performers</w:t>
      </w:r>
    </w:p>
    <w:p>
      <w:pPr>
        <w:spacing w:after="100" w:before="60"/>
      </w:pPr>
      <w:r>
        <w:rPr>
          <w:color w:val="09090B"/>
          <w:sz w:val="22"/>
          <w:szCs w:val="22"/>
        </w:rPr>
        <w:t xml:space="preserve">Two card carousels above the rankings table:</w:t>
      </w:r>
    </w:p>
    <w:p>
      <w:pPr>
        <w:pStyle w:val="ListParagraph"/>
        <w:numPr>
          <w:ilvl w:val="0"/>
          <w:numId w:val="1"/>
        </w:numPr>
        <w:spacing w:after="40" w:before="40"/>
      </w:pPr>
      <w:r>
        <w:rPr>
          <w:color w:val="09090B"/>
          <w:sz w:val="22"/>
          <w:szCs w:val="22"/>
        </w:rPr>
        <w:t xml:space="preserve">Top performers — 3 best EUI vs benchmark, sorted ascending</w:t>
      </w:r>
    </w:p>
    <w:p>
      <w:pPr>
        <w:pStyle w:val="ListParagraph"/>
        <w:numPr>
          <w:ilvl w:val="0"/>
          <w:numId w:val="1"/>
        </w:numPr>
        <w:spacing w:after="40" w:before="40"/>
      </w:pPr>
      <w:r>
        <w:rPr>
          <w:color w:val="09090B"/>
          <w:sz w:val="22"/>
          <w:szCs w:val="22"/>
        </w:rPr>
        <w:t xml:space="preserve">Bottom performers — 3 worst EUI vs benchmark, sorted descending</w:t>
      </w:r>
    </w:p>
    <w:p>
      <w:pPr>
        <w:spacing w:after="100" w:before="60"/>
      </w:pPr>
      <w:r>
        <w:rPr>
          <w:color w:val="09090B"/>
          <w:sz w:val="22"/>
          <w:szCs w:val="22"/>
        </w:rPr>
        <w:t xml:space="preserve">Each card shows building name, EUI, benchmark, and a chip with the deviation %.</w:t>
      </w:r>
    </w:p>
    <w:p>
      <w:pPr>
        <w:pStyle w:val="Heading2"/>
        <w:spacing w:after="120" w:before="360"/>
      </w:pPr>
      <w:r>
        <w:t xml:space="preserve">3.6 Active alerts strip</w:t>
      </w:r>
    </w:p>
    <w:p>
      <w:pPr>
        <w:spacing w:after="100" w:before="60"/>
      </w:pPr>
      <w:r>
        <w:rPr>
          <w:color w:val="09090B"/>
          <w:sz w:val="22"/>
          <w:szCs w:val="22"/>
        </w:rPr>
        <w:t xml:space="preserve">Horizontally scrollable strip showing the 5 most recent active alerts. Each card: tier badge (red T1, amber T2), building name, alert category icon, age ("3 min ago"), and "View" link to open the alert in Status Manager.</w:t>
      </w:r>
    </w:p>
    <w:p>
      <w:pPr>
        <w:pStyle w:val="Heading2"/>
        <w:spacing w:after="120" w:before="360"/>
      </w:pPr>
      <w:r>
        <w:t xml:space="preserve">3.7 AI Insights panel</w:t>
      </w:r>
    </w:p>
    <w:p>
      <w:pPr>
        <w:spacing w:after="100" w:before="60"/>
      </w:pPr>
      <w:r>
        <w:rPr>
          <w:color w:val="09090B"/>
          <w:sz w:val="22"/>
          <w:szCs w:val="22"/>
        </w:rPr>
        <w:t xml:space="preserve">A slide-out drawer (collapsible from the right side) showing AI-generated insights for the portfolio:</w:t>
      </w:r>
    </w:p>
    <w:p>
      <w:pPr>
        <w:pStyle w:val="ListParagraph"/>
        <w:numPr>
          <w:ilvl w:val="0"/>
          <w:numId w:val="1"/>
        </w:numPr>
        <w:spacing w:after="40" w:before="40"/>
      </w:pPr>
      <w:r>
        <w:rPr>
          <w:color w:val="09090B"/>
          <w:sz w:val="22"/>
          <w:szCs w:val="22"/>
        </w:rPr>
        <w:t xml:space="preserve">Top optimisation opportunities (requires `ai_optimise` module)</w:t>
      </w:r>
    </w:p>
    <w:p>
      <w:pPr>
        <w:pStyle w:val="ListParagraph"/>
        <w:numPr>
          <w:ilvl w:val="0"/>
          <w:numId w:val="1"/>
        </w:numPr>
        <w:spacing w:after="40" w:before="40"/>
      </w:pPr>
      <w:r>
        <w:rPr>
          <w:color w:val="09090B"/>
          <w:sz w:val="22"/>
          <w:szCs w:val="22"/>
        </w:rPr>
        <w:t xml:space="preserve">Anomalies detected in the last 7 days (requires `ai_anomaly`)</w:t>
      </w:r>
    </w:p>
    <w:p>
      <w:pPr>
        <w:pStyle w:val="ListParagraph"/>
        <w:numPr>
          <w:ilvl w:val="0"/>
          <w:numId w:val="1"/>
        </w:numPr>
        <w:spacing w:after="40" w:before="40"/>
      </w:pPr>
      <w:r>
        <w:rPr>
          <w:color w:val="09090B"/>
          <w:sz w:val="22"/>
          <w:szCs w:val="22"/>
        </w:rPr>
        <w:t xml:space="preserve">Regulatory updates in your region (requires `ai_regulatory`)</w:t>
      </w:r>
    </w:p>
    <w:p>
      <w:pPr>
        <w:pStyle w:val="ListParagraph"/>
        <w:numPr>
          <w:ilvl w:val="0"/>
          <w:numId w:val="1"/>
        </w:numPr>
        <w:spacing w:after="40" w:before="40"/>
      </w:pPr>
      <w:r>
        <w:rPr>
          <w:color w:val="09090B"/>
          <w:sz w:val="22"/>
          <w:szCs w:val="22"/>
        </w:rPr>
        <w:t xml:space="preserve">Source badges show which insight came from which AI service</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Insights are cached for 1 hour. The drawer shows "Insights updated 24 minutes ago" so you know how fresh the data is. Click "Refresh now" to force a re-scan.</w:t>
      </w:r>
    </w:p>
    <w:p>
      <w:pPr>
        <w:pStyle w:val="Heading2"/>
        <w:spacing w:after="120" w:before="360"/>
      </w:pPr>
      <w:r>
        <w:t xml:space="preserve">3.8 Weekly digest widget</w:t>
      </w:r>
    </w:p>
    <w:p>
      <w:pPr>
        <w:spacing w:after="100" w:before="60"/>
      </w:pPr>
      <w:r>
        <w:rPr>
          <w:color w:val="09090B"/>
          <w:sz w:val="22"/>
          <w:szCs w:val="22"/>
        </w:rPr>
        <w:t xml:space="preserve">A collapsible card at the bottom of the dashboard summarising the last 7 days:</w:t>
      </w:r>
    </w:p>
    <w:p>
      <w:pPr>
        <w:pStyle w:val="ListParagraph"/>
        <w:numPr>
          <w:ilvl w:val="0"/>
          <w:numId w:val="1"/>
        </w:numPr>
        <w:spacing w:after="40" w:before="40"/>
      </w:pPr>
      <w:r>
        <w:rPr>
          <w:color w:val="09090B"/>
          <w:sz w:val="22"/>
          <w:szCs w:val="22"/>
        </w:rPr>
        <w:t xml:space="preserve">Total energy consumed (vs previous week)</w:t>
      </w:r>
    </w:p>
    <w:p>
      <w:pPr>
        <w:pStyle w:val="ListParagraph"/>
        <w:numPr>
          <w:ilvl w:val="0"/>
          <w:numId w:val="1"/>
        </w:numPr>
        <w:spacing w:after="40" w:before="40"/>
      </w:pPr>
      <w:r>
        <w:rPr>
          <w:color w:val="09090B"/>
          <w:sz w:val="22"/>
          <w:szCs w:val="22"/>
        </w:rPr>
        <w:t xml:space="preserve">Tier 1 + Tier 2 alerts fired</w:t>
      </w:r>
    </w:p>
    <w:p>
      <w:pPr>
        <w:pStyle w:val="ListParagraph"/>
        <w:numPr>
          <w:ilvl w:val="0"/>
          <w:numId w:val="1"/>
        </w:numPr>
        <w:spacing w:after="40" w:before="40"/>
      </w:pPr>
      <w:r>
        <w:rPr>
          <w:color w:val="09090B"/>
          <w:sz w:val="22"/>
          <w:szCs w:val="22"/>
        </w:rPr>
        <w:t xml:space="preserve">Estimated cost (region currency, calculated from regionAdapter tariffs)</w:t>
      </w:r>
    </w:p>
    <w:p>
      <w:pPr>
        <w:pStyle w:val="ListParagraph"/>
        <w:numPr>
          <w:ilvl w:val="0"/>
          <w:numId w:val="1"/>
        </w:numPr>
        <w:spacing w:after="40" w:before="40"/>
      </w:pPr>
      <w:r>
        <w:rPr>
          <w:color w:val="09090B"/>
          <w:sz w:val="22"/>
          <w:szCs w:val="22"/>
        </w:rPr>
        <w:t xml:space="preserve">AI-generated narrative paragraph from GPT-4o-mini</w:t>
      </w:r>
    </w:p>
    <w:p>
      <w:pPr>
        <w:spacing w:after="100" w:before="60"/>
      </w:pPr>
      <w:r>
        <w:rPr>
          <w:color w:val="09090B"/>
          <w:sz w:val="22"/>
          <w:szCs w:val="22"/>
        </w:rPr>
        <w:t xml:space="preserve">The digest also lands in inboxes every Monday at 09:00 (recipients configured in Settings → Notifications).</w:t>
      </w:r>
    </w:p>
    <w:p>
      <w:r>
        <w:br w:type="page"/>
      </w:r>
    </w:p>
    <w:p>
      <w:pPr>
        <w:pStyle w:val="Heading1"/>
        <w:pBdr>
          <w:bottom w:val="single" w:color="037272" w:sz="8" w:space="4"/>
        </w:pBdr>
        <w:spacing w:after="160" w:before="480"/>
      </w:pPr>
      <w:r>
        <w:t xml:space="preserve">4. Buildings — Manager &amp; Per-Building Tabs</w:t>
      </w:r>
    </w:p>
    <w:p>
      <w:pPr>
        <w:spacing w:after="100" w:before="60"/>
      </w:pPr>
      <w:r>
        <w:rPr>
          <w:color w:val="09090B"/>
          <w:sz w:val="22"/>
          <w:szCs w:val="22"/>
        </w:rPr>
        <w:t xml:space="preserve">The Buildings section is the deepest module in Portfolio One. The Manager view at /buildings shows a 3-column grid of all buildings. Clicking any card opens the per-building layout — a sticky sub-nav with 8 tabs organised under 5 phase pills (Overview · Measure · Understand · Model · Plan · Docs).</w:t>
      </w:r>
    </w:p>
    <w:p>
      <w:pPr>
        <w:pStyle w:val="Heading2"/>
        <w:spacing w:after="120" w:before="360"/>
      </w:pPr>
      <w:r>
        <w:t xml:space="preserve">4.1 Buildings Manager (`/buildings`)</w:t>
      </w:r>
    </w:p>
    <w:p>
      <w:pPr>
        <w:pStyle w:val="Heading3"/>
        <w:spacing w:after="80" w:before="240"/>
      </w:pPr>
      <w:r>
        <w:t xml:space="preserve">Search and filters</w:t>
      </w:r>
    </w:p>
    <w:p>
      <w:pPr>
        <w:pStyle w:val="ListParagraph"/>
        <w:numPr>
          <w:ilvl w:val="0"/>
          <w:numId w:val="1"/>
        </w:numPr>
        <w:spacing w:after="40" w:before="40"/>
      </w:pPr>
      <w:r>
        <w:rPr>
          <w:color w:val="09090B"/>
          <w:sz w:val="22"/>
          <w:szCs w:val="22"/>
        </w:rPr>
        <w:t xml:space="preserve">Search by name — instant text filter</w:t>
      </w:r>
    </w:p>
    <w:p>
      <w:pPr>
        <w:pStyle w:val="ListParagraph"/>
        <w:numPr>
          <w:ilvl w:val="0"/>
          <w:numId w:val="1"/>
        </w:numPr>
        <w:spacing w:after="40" w:before="40"/>
      </w:pPr>
      <w:r>
        <w:rPr>
          <w:color w:val="09090B"/>
          <w:sz w:val="22"/>
          <w:szCs w:val="22"/>
        </w:rPr>
        <w:t xml:space="preserve">Filter by type — multi-select (office, hospital, etc.)</w:t>
      </w:r>
    </w:p>
    <w:p>
      <w:pPr>
        <w:pStyle w:val="ListParagraph"/>
        <w:numPr>
          <w:ilvl w:val="0"/>
          <w:numId w:val="1"/>
        </w:numPr>
        <w:spacing w:after="40" w:before="40"/>
      </w:pPr>
      <w:r>
        <w:rPr>
          <w:color w:val="09090B"/>
          <w:sz w:val="22"/>
          <w:szCs w:val="22"/>
        </w:rPr>
        <w:t xml:space="preserve">Filter by EUI range — slider with min/max thresholds vs benchmark</w:t>
      </w:r>
    </w:p>
    <w:p>
      <w:pPr>
        <w:pStyle w:val="Heading3"/>
        <w:spacing w:after="80" w:before="240"/>
      </w:pPr>
      <w:r>
        <w:t xml:space="preserve">Building card layout</w:t>
      </w:r>
    </w:p>
    <w:p>
      <w:pPr>
        <w:spacing w:after="100" w:before="60"/>
      </w:pPr>
      <w:r>
        <w:rPr>
          <w:color w:val="09090B"/>
          <w:sz w:val="22"/>
          <w:szCs w:val="22"/>
        </w:rPr>
        <w:t xml:space="preserve">Each card shows:</w:t>
      </w:r>
    </w:p>
    <w:p>
      <w:pPr>
        <w:pStyle w:val="ListParagraph"/>
        <w:numPr>
          <w:ilvl w:val="0"/>
          <w:numId w:val="1"/>
        </w:numPr>
        <w:spacing w:after="40" w:before="40"/>
      </w:pPr>
      <w:r>
        <w:rPr>
          <w:color w:val="09090B"/>
          <w:sz w:val="22"/>
          <w:szCs w:val="22"/>
        </w:rPr>
        <w:t xml:space="preserve">Building name + type + city</w:t>
      </w:r>
    </w:p>
    <w:p>
      <w:pPr>
        <w:pStyle w:val="ListParagraph"/>
        <w:numPr>
          <w:ilvl w:val="0"/>
          <w:numId w:val="1"/>
        </w:numPr>
        <w:spacing w:after="40" w:before="40"/>
      </w:pPr>
      <w:r>
        <w:rPr>
          <w:color w:val="09090B"/>
          <w:sz w:val="22"/>
          <w:szCs w:val="22"/>
        </w:rPr>
        <w:t xml:space="preserve">Floor area (in regional unit)</w:t>
      </w:r>
    </w:p>
    <w:p>
      <w:pPr>
        <w:pStyle w:val="ListParagraph"/>
        <w:numPr>
          <w:ilvl w:val="0"/>
          <w:numId w:val="1"/>
        </w:numPr>
        <w:spacing w:after="40" w:before="40"/>
      </w:pPr>
      <w:r>
        <w:rPr>
          <w:color w:val="09090B"/>
          <w:sz w:val="22"/>
          <w:szCs w:val="22"/>
        </w:rPr>
        <w:t xml:space="preserve">EUI bar — coloured teal / amber / red against benchmark</w:t>
      </w:r>
    </w:p>
    <w:p>
      <w:pPr>
        <w:pStyle w:val="ListParagraph"/>
        <w:numPr>
          <w:ilvl w:val="0"/>
          <w:numId w:val="1"/>
        </w:numPr>
        <w:spacing w:after="40" w:before="40"/>
      </w:pPr>
      <w:r>
        <w:rPr>
          <w:color w:val="09090B"/>
          <w:sz w:val="22"/>
          <w:szCs w:val="22"/>
        </w:rPr>
        <w:t xml:space="preserve">Certification chips (BREEAM, LEED, EPC rating, etc.)</w:t>
      </w:r>
    </w:p>
    <w:p>
      <w:pPr>
        <w:pStyle w:val="ListParagraph"/>
        <w:numPr>
          <w:ilvl w:val="0"/>
          <w:numId w:val="1"/>
        </w:numPr>
        <w:spacing w:after="40" w:before="40"/>
      </w:pPr>
      <w:r>
        <w:rPr>
          <w:color w:val="09090B"/>
          <w:sz w:val="22"/>
          <w:szCs w:val="22"/>
        </w:rPr>
        <w:t xml:space="preserve">Last 12-month energy total + Scope 1+2 tCO₂e</w:t>
      </w:r>
    </w:p>
    <w:p>
      <w:pPr>
        <w:pStyle w:val="ListParagraph"/>
        <w:numPr>
          <w:ilvl w:val="0"/>
          <w:numId w:val="1"/>
        </w:numPr>
        <w:spacing w:after="40" w:before="40"/>
      </w:pPr>
      <w:r>
        <w:rPr>
          <w:color w:val="09090B"/>
          <w:sz w:val="22"/>
          <w:szCs w:val="22"/>
        </w:rPr>
        <w:t xml:space="preserve">Active alert count (red badge if &gt; 0)</w:t>
      </w:r>
    </w:p>
    <w:p>
      <w:pPr>
        <w:spacing w:after="100" w:before="60"/>
      </w:pPr>
      <w:r>
        <w:rPr>
          <w:color w:val="09090B"/>
          <w:sz w:val="22"/>
          <w:szCs w:val="22"/>
        </w:rPr>
        <w:t xml:space="preserve">Cards animate in with a stagger (60ms per card). Clicking opens /buildings/:id → defaults to the Overview tab.</w:t>
      </w:r>
    </w:p>
    <w:p>
      <w:pPr>
        <w:pStyle w:val="Heading3"/>
        <w:spacing w:after="80" w:before="240"/>
      </w:pPr>
      <w:r>
        <w:t xml:space="preserve">Adding a building</w:t>
      </w:r>
    </w:p>
    <w:p>
      <w:pPr>
        <w:spacing w:after="100" w:before="60"/>
      </w:pPr>
      <w:r>
        <w:rPr>
          <w:color w:val="09090B"/>
          <w:sz w:val="22"/>
          <w:szCs w:val="22"/>
        </w:rPr>
        <w:t xml:space="preserve">"Add building" button (top right) opens a modal with the same field set as onboarding Step 3. After save, the building appears in the grid and is immediately available for data entry.</w:t>
      </w:r>
    </w:p>
    <w:p>
      <w:pPr>
        <w:pStyle w:val="Heading2"/>
        <w:spacing w:after="120" w:before="360"/>
      </w:pPr>
      <w:r>
        <w:t xml:space="preserve">4.2 Per-building layout (`/buildings/:id`)</w:t>
      </w:r>
    </w:p>
    <w:p>
      <w:pPr>
        <w:spacing w:after="100" w:before="60"/>
      </w:pPr>
      <w:r>
        <w:rPr>
          <w:color w:val="09090B"/>
          <w:sz w:val="22"/>
          <w:szCs w:val="22"/>
        </w:rPr>
        <w:t xml:space="preserve">A sticky sub-nav contains 8 tabs grouped under 5 visual phase pills. The first ←/→ arrows scroll the tabs horizontally on small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Phase pill</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Tab(s)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Route</w:t>
            </w:r>
          </w:p>
        </w:tc>
      </w:tr>
      <w:tr>
        <w:tc>
          <w:tcPr>
            <w:tcW w:type="dxa" w:w="3000"/>
            <w:tcMar>
              <w:top w:type="dxa" w:w="80"/>
              <w:left w:type="dxa" w:w="120"/>
              <w:bottom w:type="dxa" w:w="80"/>
              <w:right w:type="dxa" w:w="120"/>
            </w:tcMar>
            <w:vAlign w:val="center"/>
          </w:tcPr>
          <w:p>
            <w:r>
              <w:rPr>
                <w:color w:val="09090B"/>
                <w:sz w:val="20"/>
                <w:szCs w:val="20"/>
              </w:rPr>
              <w:t xml:space="preserve">(standalone)</w:t>
            </w:r>
          </w:p>
        </w:tc>
        <w:tc>
          <w:tcPr>
            <w:tcW w:type="dxa" w:w="3000"/>
            <w:tcMar>
              <w:top w:type="dxa" w:w="80"/>
              <w:left w:type="dxa" w:w="120"/>
              <w:bottom w:type="dxa" w:w="80"/>
              <w:right w:type="dxa" w:w="120"/>
            </w:tcMar>
            <w:vAlign w:val="center"/>
          </w:tcPr>
          <w:p>
            <w:r>
              <w:rPr>
                <w:color w:val="09090B"/>
                <w:sz w:val="20"/>
                <w:szCs w:val="20"/>
              </w:rPr>
              <w:t xml:space="preserve">Overview</w:t>
            </w:r>
          </w:p>
        </w:tc>
        <w:tc>
          <w:tcPr>
            <w:tcW w:type="dxa" w:w="3000"/>
            <w:tcMar>
              <w:top w:type="dxa" w:w="80"/>
              <w:left w:type="dxa" w:w="120"/>
              <w:bottom w:type="dxa" w:w="80"/>
              <w:right w:type="dxa" w:w="120"/>
            </w:tcMar>
            <w:vAlign w:val="center"/>
          </w:tcPr>
          <w:p>
            <w:r>
              <w:rPr>
                <w:color w:val="09090B"/>
                <w:sz w:val="20"/>
                <w:szCs w:val="20"/>
              </w:rPr>
              <w:t xml:space="preserve">/buildings/:id/overview</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Measure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BMS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/buildings/:id/bms</w:t>
            </w:r>
          </w:p>
        </w:tc>
      </w:tr>
      <w:tr>
        <w:tc>
          <w:tcPr>
            <w:tcW w:type="dxa" w:w="3000"/>
            <w:tcMar>
              <w:top w:type="dxa" w:w="80"/>
              <w:left w:type="dxa" w:w="120"/>
              <w:bottom w:type="dxa" w:w="80"/>
              <w:right w:type="dxa" w:w="120"/>
            </w:tcMar>
            <w:vAlign w:val="center"/>
          </w:tcPr>
          <w:p>
            <w:r>
              <w:rPr>
                <w:color w:val="09090B"/>
                <w:sz w:val="20"/>
                <w:szCs w:val="20"/>
              </w:rPr>
              <w:t xml:space="preserve">Measure</w:t>
            </w:r>
          </w:p>
        </w:tc>
        <w:tc>
          <w:tcPr>
            <w:tcW w:type="dxa" w:w="3000"/>
            <w:tcMar>
              <w:top w:type="dxa" w:w="80"/>
              <w:left w:type="dxa" w:w="120"/>
              <w:bottom w:type="dxa" w:w="80"/>
              <w:right w:type="dxa" w:w="120"/>
            </w:tcMar>
            <w:vAlign w:val="center"/>
          </w:tcPr>
          <w:p>
            <w:r>
              <w:rPr>
                <w:color w:val="09090B"/>
                <w:sz w:val="20"/>
                <w:szCs w:val="20"/>
              </w:rPr>
              <w:t xml:space="preserve">Utilities</w:t>
            </w:r>
          </w:p>
        </w:tc>
        <w:tc>
          <w:tcPr>
            <w:tcW w:type="dxa" w:w="3000"/>
            <w:tcMar>
              <w:top w:type="dxa" w:w="80"/>
              <w:left w:type="dxa" w:w="120"/>
              <w:bottom w:type="dxa" w:w="80"/>
              <w:right w:type="dxa" w:w="120"/>
            </w:tcMar>
            <w:vAlign w:val="center"/>
          </w:tcPr>
          <w:p>
            <w:r>
              <w:rPr>
                <w:color w:val="09090B"/>
                <w:sz w:val="20"/>
                <w:szCs w:val="20"/>
              </w:rPr>
              <w:t xml:space="preserve">/buildings/:id/utilities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Understand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Carbon Intelligence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/buildings/:id/carbon-intelligence</w:t>
            </w:r>
          </w:p>
        </w:tc>
      </w:tr>
      <w:tr>
        <w:tc>
          <w:tcPr>
            <w:tcW w:type="dxa" w:w="3000"/>
            <w:tcMar>
              <w:top w:type="dxa" w:w="80"/>
              <w:left w:type="dxa" w:w="120"/>
              <w:bottom w:type="dxa" w:w="80"/>
              <w:right w:type="dxa" w:w="120"/>
            </w:tcMar>
            <w:vAlign w:val="center"/>
          </w:tcPr>
          <w:p>
            <w:r>
              <w:rPr>
                <w:color w:val="09090B"/>
                <w:sz w:val="20"/>
                <w:szCs w:val="20"/>
              </w:rPr>
              <w:t xml:space="preserve">Model</w:t>
            </w:r>
          </w:p>
        </w:tc>
        <w:tc>
          <w:tcPr>
            <w:tcW w:type="dxa" w:w="3000"/>
            <w:tcMar>
              <w:top w:type="dxa" w:w="80"/>
              <w:left w:type="dxa" w:w="120"/>
              <w:bottom w:type="dxa" w:w="80"/>
              <w:right w:type="dxa" w:w="120"/>
            </w:tcMar>
            <w:vAlign w:val="center"/>
          </w:tcPr>
          <w:p>
            <w:r>
              <w:rPr>
                <w:color w:val="09090B"/>
                <w:sz w:val="20"/>
                <w:szCs w:val="20"/>
              </w:rPr>
              <w:t xml:space="preserve">Net Zero</w:t>
            </w:r>
          </w:p>
        </w:tc>
        <w:tc>
          <w:tcPr>
            <w:tcW w:type="dxa" w:w="3000"/>
            <w:tcMar>
              <w:top w:type="dxa" w:w="80"/>
              <w:left w:type="dxa" w:w="120"/>
              <w:bottom w:type="dxa" w:w="80"/>
              <w:right w:type="dxa" w:w="120"/>
            </w:tcMar>
            <w:vAlign w:val="center"/>
          </w:tcPr>
          <w:p>
            <w:r>
              <w:rPr>
                <w:color w:val="09090B"/>
                <w:sz w:val="20"/>
                <w:szCs w:val="20"/>
              </w:rPr>
              <w:t xml:space="preserve">/buildings/:id/net-zero</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Model</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Solar &amp; Energy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/buildings/:id/solar-energy</w:t>
            </w:r>
          </w:p>
        </w:tc>
      </w:tr>
      <w:tr>
        <w:tc>
          <w:tcPr>
            <w:tcW w:type="dxa" w:w="3000"/>
            <w:tcMar>
              <w:top w:type="dxa" w:w="80"/>
              <w:left w:type="dxa" w:w="120"/>
              <w:bottom w:type="dxa" w:w="80"/>
              <w:right w:type="dxa" w:w="120"/>
            </w:tcMar>
            <w:vAlign w:val="center"/>
          </w:tcPr>
          <w:p>
            <w:r>
              <w:rPr>
                <w:color w:val="09090B"/>
                <w:sz w:val="20"/>
                <w:szCs w:val="20"/>
              </w:rPr>
              <w:t xml:space="preserve">Plan</w:t>
            </w:r>
          </w:p>
        </w:tc>
        <w:tc>
          <w:tcPr>
            <w:tcW w:type="dxa" w:w="3000"/>
            <w:tcMar>
              <w:top w:type="dxa" w:w="80"/>
              <w:left w:type="dxa" w:w="120"/>
              <w:bottom w:type="dxa" w:w="80"/>
              <w:right w:type="dxa" w:w="120"/>
            </w:tcMar>
            <w:vAlign w:val="center"/>
          </w:tcPr>
          <w:p>
            <w:r>
              <w:rPr>
                <w:color w:val="09090B"/>
                <w:sz w:val="20"/>
                <w:szCs w:val="20"/>
              </w:rPr>
              <w:t xml:space="preserve">Investment</w:t>
            </w:r>
          </w:p>
        </w:tc>
        <w:tc>
          <w:tcPr>
            <w:tcW w:type="dxa" w:w="3000"/>
            <w:tcMar>
              <w:top w:type="dxa" w:w="80"/>
              <w:left w:type="dxa" w:w="120"/>
              <w:bottom w:type="dxa" w:w="80"/>
              <w:right w:type="dxa" w:w="120"/>
            </w:tcMar>
            <w:vAlign w:val="center"/>
          </w:tcPr>
          <w:p>
            <w:r>
              <w:rPr>
                <w:color w:val="09090B"/>
                <w:sz w:val="20"/>
                <w:szCs w:val="20"/>
              </w:rPr>
              <w:t xml:space="preserve">/buildings/:id/investment</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(standalone)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Documents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/buildings/:id/documents</w:t>
            </w:r>
          </w:p>
        </w:tc>
      </w:tr>
    </w:tbl>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The base route /buildings/:id automatically redirects to /buildings/:id/overview.</w:t>
      </w:r>
    </w:p>
    <w:p>
      <w:pPr>
        <w:pStyle w:val="Heading2"/>
        <w:spacing w:after="120" w:before="360"/>
      </w:pPr>
      <w:r>
        <w:t xml:space="preserve">4.3 Overview tab</w:t>
      </w:r>
    </w:p>
    <w:p>
      <w:pPr>
        <w:spacing w:after="100" w:before="60"/>
      </w:pPr>
      <w:r>
        <w:rPr>
          <w:color w:val="09090B"/>
          <w:sz w:val="22"/>
          <w:szCs w:val="22"/>
        </w:rPr>
        <w:t xml:space="preserve">Header panel with building name, type, address. Below: 6 StatCards in a glassmorphism strip:</w:t>
      </w:r>
    </w:p>
    <w:p>
      <w:pPr>
        <w:pStyle w:val="ListParagraph"/>
        <w:numPr>
          <w:ilvl w:val="0"/>
          <w:numId w:val="1"/>
        </w:numPr>
        <w:spacing w:after="40" w:before="40"/>
      </w:pPr>
      <w:r>
        <w:rPr>
          <w:color w:val="09090B"/>
          <w:sz w:val="22"/>
          <w:szCs w:val="22"/>
        </w:rPr>
        <w:t xml:space="preserve">Floor area · Last 12-month energy · Scope 1+2 tCO₂e · Last alert · Certifications count · Net-zero target year</w:t>
      </w:r>
    </w:p>
    <w:p>
      <w:pPr>
        <w:spacing w:after="100" w:before="60"/>
      </w:pPr>
      <w:r>
        <w:rPr>
          <w:color w:val="09090B"/>
          <w:sz w:val="22"/>
          <w:szCs w:val="22"/>
        </w:rPr>
        <w:t xml:space="preserve">Then:</w:t>
      </w:r>
    </w:p>
    <w:p>
      <w:pPr>
        <w:pStyle w:val="ListParagraph"/>
        <w:numPr>
          <w:ilvl w:val="0"/>
          <w:numId w:val="1"/>
        </w:numPr>
        <w:spacing w:after="40" w:before="40"/>
      </w:pPr>
      <w:r>
        <w:rPr>
          <w:color w:val="09090B"/>
          <w:sz w:val="22"/>
          <w:szCs w:val="22"/>
        </w:rPr>
        <w:t xml:space="preserve">PieChart donut showing Scope 1 / Scope 2 / Scope 3 split (Scope 3 zero unless tracked)</w:t>
      </w:r>
    </w:p>
    <w:p>
      <w:pPr>
        <w:pStyle w:val="ListParagraph"/>
        <w:numPr>
          <w:ilvl w:val="0"/>
          <w:numId w:val="1"/>
        </w:numPr>
        <w:spacing w:after="40" w:before="40"/>
      </w:pPr>
      <w:r>
        <w:rPr>
          <w:color w:val="09090B"/>
          <w:sz w:val="22"/>
          <w:szCs w:val="22"/>
        </w:rPr>
        <w:t xml:space="preserve">AreaChart of monthly emissions vs the building's net-zero glide path</w:t>
      </w:r>
    </w:p>
    <w:p>
      <w:pPr>
        <w:pStyle w:val="ListParagraph"/>
        <w:numPr>
          <w:ilvl w:val="0"/>
          <w:numId w:val="1"/>
        </w:numPr>
        <w:spacing w:after="40" w:before="40"/>
      </w:pPr>
      <w:r>
        <w:rPr>
          <w:color w:val="09090B"/>
          <w:sz w:val="22"/>
          <w:szCs w:val="22"/>
        </w:rPr>
        <w:t xml:space="preserve">Certification cards with expiry badges (amber if expiring within 6 months, red if expired)</w:t>
      </w:r>
    </w:p>
    <w:p>
      <w:pPr>
        <w:pStyle w:val="ListParagraph"/>
        <w:numPr>
          <w:ilvl w:val="0"/>
          <w:numId w:val="1"/>
        </w:numPr>
        <w:spacing w:after="40" w:before="40"/>
      </w:pPr>
      <w:r>
        <w:rPr>
          <w:color w:val="09090B"/>
          <w:sz w:val="22"/>
          <w:szCs w:val="22"/>
        </w:rPr>
        <w:t xml:space="preserve">Contacts table — name, role, email, phone</w:t>
      </w:r>
    </w:p>
    <w:p>
      <w:pPr>
        <w:pStyle w:val="Heading2"/>
        <w:spacing w:after="120" w:before="360"/>
      </w:pPr>
      <w:r>
        <w:t xml:space="preserve">4.4 BMS Manager tab</w:t>
      </w:r>
    </w:p>
    <w:p>
      <w:pPr>
        <w:spacing w:after="100" w:before="60"/>
      </w:pPr>
      <w:r>
        <w:rPr>
          <w:color w:val="09090B"/>
          <w:sz w:val="22"/>
          <w:szCs w:val="22"/>
        </w:rPr>
        <w:t xml:space="preserve">Three view buttons across the top: HVAC · Lighting · Occupancy. Each view connects to the WebSocket server — a Live badge (top right) pulses green when telemetry is arriving, grey when disconnected, amber when reconnecting.</w:t>
      </w:r>
    </w:p>
    <w:p>
      <w:pPr>
        <w:pStyle w:val="Heading3"/>
        <w:spacing w:after="80" w:before="240"/>
      </w:pPr>
      <w:r>
        <w:t xml:space="preserve">HVAC view</w:t>
      </w:r>
    </w:p>
    <w:p>
      <w:pPr>
        <w:pStyle w:val="ListParagraph"/>
        <w:numPr>
          <w:ilvl w:val="0"/>
          <w:numId w:val="1"/>
        </w:numPr>
        <w:spacing w:after="40" w:before="40"/>
      </w:pPr>
      <w:r>
        <w:rPr>
          <w:color w:val="09090B"/>
          <w:sz w:val="22"/>
          <w:szCs w:val="22"/>
        </w:rPr>
        <w:t xml:space="preserve">Floor / zone tab selector (one tab per Space in the building)</w:t>
      </w:r>
    </w:p>
    <w:p>
      <w:pPr>
        <w:pStyle w:val="ListParagraph"/>
        <w:numPr>
          <w:ilvl w:val="0"/>
          <w:numId w:val="1"/>
        </w:numPr>
        <w:spacing w:after="40" w:before="40"/>
      </w:pPr>
      <w:r>
        <w:rPr>
          <w:color w:val="09090B"/>
          <w:sz w:val="22"/>
          <w:szCs w:val="22"/>
        </w:rPr>
        <w:t xml:space="preserve">StatCards for each space: zone temperature, setpoint deviation, current mode (Cool / Heat / Auto / Off)</w:t>
      </w:r>
    </w:p>
    <w:p>
      <w:pPr>
        <w:pStyle w:val="ListParagraph"/>
        <w:numPr>
          <w:ilvl w:val="0"/>
          <w:numId w:val="1"/>
        </w:numPr>
        <w:spacing w:after="40" w:before="40"/>
      </w:pPr>
      <w:r>
        <w:rPr>
          <w:color w:val="09090B"/>
          <w:sz w:val="22"/>
          <w:szCs w:val="22"/>
        </w:rPr>
        <w:t xml:space="preserve">Threshold colours: green within ±1°C of setpoint, amber within ±3°C, red outside ±3°C</w:t>
      </w:r>
    </w:p>
    <w:p>
      <w:pPr>
        <w:pStyle w:val="ListParagraph"/>
        <w:numPr>
          <w:ilvl w:val="0"/>
          <w:numId w:val="1"/>
        </w:numPr>
        <w:spacing w:after="40" w:before="40"/>
      </w:pPr>
      <w:r>
        <w:rPr>
          <w:color w:val="09090B"/>
          <w:sz w:val="22"/>
          <w:szCs w:val="22"/>
        </w:rPr>
        <w:t xml:space="preserve">LineChart of zone temperature for the selected date range (1d / 7d / 30d)</w:t>
      </w:r>
    </w:p>
    <w:p>
      <w:pPr>
        <w:pStyle w:val="ListParagraph"/>
        <w:numPr>
          <w:ilvl w:val="0"/>
          <w:numId w:val="1"/>
        </w:numPr>
        <w:spacing w:after="40" w:before="40"/>
      </w:pPr>
      <w:r>
        <w:rPr>
          <w:color w:val="09090B"/>
          <w:sz w:val="22"/>
          <w:szCs w:val="22"/>
        </w:rPr>
        <w:t xml:space="preserve">FlashStatValue animation — each cell scales briefly (1 → 1.04 → 1) when a new WS reading lands</w:t>
      </w:r>
    </w:p>
    <w:p>
      <w:pPr>
        <w:pStyle w:val="Heading3"/>
        <w:spacing w:after="80" w:before="240"/>
      </w:pPr>
      <w:r>
        <w:t xml:space="preserve">Lighting view</w:t>
      </w:r>
    </w:p>
    <w:p>
      <w:pPr>
        <w:pStyle w:val="ListParagraph"/>
        <w:numPr>
          <w:ilvl w:val="0"/>
          <w:numId w:val="1"/>
        </w:numPr>
        <w:spacing w:after="40" w:before="40"/>
      </w:pPr>
      <w:r>
        <w:rPr>
          <w:color w:val="09090B"/>
          <w:sz w:val="22"/>
          <w:szCs w:val="22"/>
        </w:rPr>
        <w:t xml:space="preserve">BarChart of lux readings per zone</w:t>
      </w:r>
    </w:p>
    <w:p>
      <w:pPr>
        <w:pStyle w:val="ListParagraph"/>
        <w:numPr>
          <w:ilvl w:val="0"/>
          <w:numId w:val="1"/>
        </w:numPr>
        <w:spacing w:after="40" w:before="40"/>
      </w:pPr>
      <w:r>
        <w:rPr>
          <w:color w:val="09090B"/>
          <w:sz w:val="22"/>
          <w:szCs w:val="22"/>
        </w:rPr>
        <w:t xml:space="preserve">Energy consumed by lighting circuits (if measured)</w:t>
      </w:r>
    </w:p>
    <w:p>
      <w:pPr>
        <w:pStyle w:val="ListParagraph"/>
        <w:numPr>
          <w:ilvl w:val="0"/>
          <w:numId w:val="1"/>
        </w:numPr>
        <w:spacing w:after="40" w:before="40"/>
      </w:pPr>
      <w:r>
        <w:rPr>
          <w:color w:val="09090B"/>
          <w:sz w:val="22"/>
          <w:szCs w:val="22"/>
        </w:rPr>
        <w:t xml:space="preserve">Occupancy-based recommendations (if `ai_optimise` active): "Reduce zone X lux setpoint to save ~£Y / month"</w:t>
      </w:r>
    </w:p>
    <w:p>
      <w:pPr>
        <w:pStyle w:val="Heading3"/>
        <w:spacing w:after="80" w:before="240"/>
      </w:pPr>
      <w:r>
        <w:t xml:space="preserve">Occupancy view</w:t>
      </w:r>
    </w:p>
    <w:p>
      <w:pPr>
        <w:pStyle w:val="ListParagraph"/>
        <w:numPr>
          <w:ilvl w:val="0"/>
          <w:numId w:val="1"/>
        </w:numPr>
        <w:spacing w:after="40" w:before="40"/>
      </w:pPr>
      <w:r>
        <w:rPr>
          <w:color w:val="09090B"/>
          <w:sz w:val="22"/>
          <w:szCs w:val="22"/>
        </w:rPr>
        <w:t xml:space="preserve">AreaChart of building occupancy %</w:t>
      </w:r>
    </w:p>
    <w:p>
      <w:pPr>
        <w:pStyle w:val="ListParagraph"/>
        <w:numPr>
          <w:ilvl w:val="0"/>
          <w:numId w:val="1"/>
        </w:numPr>
        <w:spacing w:after="40" w:before="40"/>
      </w:pPr>
      <w:r>
        <w:rPr>
          <w:color w:val="09090B"/>
          <w:sz w:val="22"/>
          <w:szCs w:val="22"/>
        </w:rPr>
        <w:t xml:space="preserve">CSS heatmap grid — rows = hours of day, columns = zones, fill colour = occupancy %</w:t>
      </w:r>
    </w:p>
    <w:p>
      <w:pPr>
        <w:pStyle w:val="ListParagraph"/>
        <w:numPr>
          <w:ilvl w:val="0"/>
          <w:numId w:val="1"/>
        </w:numPr>
        <w:spacing w:after="40" w:before="40"/>
      </w:pPr>
      <w:r>
        <w:rPr>
          <w:color w:val="09090B"/>
          <w:sz w:val="22"/>
          <w:szCs w:val="22"/>
        </w:rPr>
        <w:t xml:space="preserve">CO₂ ppm correlated overlay (BMS simulation broadcasts CO₂ as 450 + occupancy × 6)</w:t>
      </w:r>
    </w:p>
    <w:p>
      <w:pPr>
        <w:pStyle w:val="Heading2"/>
        <w:spacing w:after="120" w:before="360"/>
      </w:pPr>
      <w:r>
        <w:t xml:space="preserve">4.5 Utility Manager tab</w:t>
      </w:r>
    </w:p>
    <w:p>
      <w:pPr>
        <w:spacing w:after="100" w:before="60"/>
      </w:pPr>
      <w:r>
        <w:rPr>
          <w:color w:val="09090B"/>
          <w:sz w:val="22"/>
          <w:szCs w:val="22"/>
        </w:rPr>
        <w:t xml:space="preserve">Four utility sub-tabs: Electricity · Gas · Water · Waste. Each tab shows the same shape of controls:</w:t>
      </w:r>
    </w:p>
    <w:p>
      <w:pPr>
        <w:pStyle w:val="ListParagraph"/>
        <w:numPr>
          <w:ilvl w:val="0"/>
          <w:numId w:val="1"/>
        </w:numPr>
        <w:spacing w:after="40" w:before="40"/>
      </w:pPr>
      <w:r>
        <w:rPr>
          <w:color w:val="09090B"/>
          <w:sz w:val="22"/>
          <w:szCs w:val="22"/>
        </w:rPr>
        <w:t xml:space="preserve">Date range buttons: 3m / 6m / 12m</w:t>
      </w:r>
    </w:p>
    <w:p>
      <w:pPr>
        <w:pStyle w:val="ListParagraph"/>
        <w:numPr>
          <w:ilvl w:val="0"/>
          <w:numId w:val="1"/>
        </w:numPr>
        <w:spacing w:after="40" w:before="40"/>
      </w:pPr>
      <w:r>
        <w:rPr>
          <w:color w:val="09090B"/>
          <w:sz w:val="22"/>
          <w:szCs w:val="22"/>
        </w:rPr>
        <w:t xml:space="preserve">Chart / table toggle</w:t>
      </w:r>
    </w:p>
    <w:p>
      <w:pPr>
        <w:pStyle w:val="ListParagraph"/>
        <w:numPr>
          <w:ilvl w:val="0"/>
          <w:numId w:val="1"/>
        </w:numPr>
        <w:spacing w:after="40" w:before="40"/>
      </w:pPr>
      <w:r>
        <w:rPr>
          <w:color w:val="09090B"/>
          <w:sz w:val="22"/>
          <w:szCs w:val="22"/>
        </w:rPr>
        <w:t xml:space="preserve">Usage / Cost toggle (cost uses tariff from regionAdapter)</w:t>
      </w:r>
    </w:p>
    <w:p>
      <w:pPr>
        <w:pStyle w:val="ListParagraph"/>
        <w:numPr>
          <w:ilvl w:val="0"/>
          <w:numId w:val="1"/>
        </w:numPr>
        <w:spacing w:after="40" w:before="40"/>
      </w:pPr>
      <w:r>
        <w:rPr>
          <w:color w:val="09090B"/>
          <w:sz w:val="22"/>
          <w:szCs w:val="22"/>
        </w:rPr>
        <w:t xml:space="preserve">CSV export button</w:t>
      </w:r>
    </w:p>
    <w:p>
      <w:pPr>
        <w:pStyle w:val="ListParagraph"/>
        <w:numPr>
          <w:ilvl w:val="0"/>
          <w:numId w:val="1"/>
        </w:numPr>
        <w:spacing w:after="40" w:before="40"/>
      </w:pPr>
      <w:r>
        <w:rPr>
          <w:color w:val="09090B"/>
          <w:sz w:val="22"/>
          <w:szCs w:val="22"/>
        </w:rPr>
        <w:t xml:space="preserve">Summary strip with current period total + YoY % comparison</w:t>
      </w:r>
    </w:p>
    <w:p>
      <w:pPr>
        <w:pStyle w:val="Heading3"/>
        <w:spacing w:after="80" w:before="240"/>
      </w:pPr>
      <w:r>
        <w:t xml:space="preserve">Electricity tab</w:t>
      </w:r>
    </w:p>
    <w:p>
      <w:pPr>
        <w:pStyle w:val="ListParagraph"/>
        <w:numPr>
          <w:ilvl w:val="0"/>
          <w:numId w:val="1"/>
        </w:numPr>
        <w:spacing w:after="40" w:before="40"/>
      </w:pPr>
      <w:r>
        <w:rPr>
          <w:color w:val="09090B"/>
          <w:sz w:val="22"/>
          <w:szCs w:val="22"/>
        </w:rPr>
        <w:t xml:space="preserve">BarChart of monthly consumption with cost overlay if Cost toggle on</w:t>
      </w:r>
    </w:p>
    <w:p>
      <w:pPr>
        <w:pStyle w:val="ListParagraph"/>
        <w:numPr>
          <w:ilvl w:val="0"/>
          <w:numId w:val="1"/>
        </w:numPr>
        <w:spacing w:after="40" w:before="40"/>
      </w:pPr>
      <w:r>
        <w:rPr>
          <w:color w:val="09090B"/>
          <w:sz w:val="22"/>
          <w:szCs w:val="22"/>
        </w:rPr>
        <w:t xml:space="preserve">Benchmark comparison bar — your building EUI vs regional benchmark</w:t>
      </w:r>
    </w:p>
    <w:p>
      <w:pPr>
        <w:pStyle w:val="ListParagraph"/>
        <w:numPr>
          <w:ilvl w:val="0"/>
          <w:numId w:val="1"/>
        </w:numPr>
        <w:spacing w:after="40" w:before="40"/>
      </w:pPr>
      <w:r>
        <w:rPr>
          <w:color w:val="09090B"/>
          <w:sz w:val="22"/>
          <w:szCs w:val="22"/>
        </w:rPr>
        <w:t xml:space="preserve">Solar generation overlay if `solar_kwh` metric exists for this asset</w:t>
      </w:r>
    </w:p>
    <w:p>
      <w:pPr>
        <w:pStyle w:val="Heading3"/>
        <w:spacing w:after="80" w:before="240"/>
      </w:pPr>
      <w:r>
        <w:t xml:space="preserve">Gas tab</w:t>
      </w:r>
    </w:p>
    <w:p>
      <w:pPr>
        <w:pStyle w:val="ListParagraph"/>
        <w:numPr>
          <w:ilvl w:val="0"/>
          <w:numId w:val="1"/>
        </w:numPr>
        <w:spacing w:after="40" w:before="40"/>
      </w:pPr>
      <w:r>
        <w:rPr>
          <w:color w:val="09090B"/>
          <w:sz w:val="22"/>
          <w:szCs w:val="22"/>
        </w:rPr>
        <w:t xml:space="preserve">BarChart monthly consumption</w:t>
      </w:r>
    </w:p>
    <w:p>
      <w:pPr>
        <w:pStyle w:val="ListParagraph"/>
        <w:numPr>
          <w:ilvl w:val="0"/>
          <w:numId w:val="1"/>
        </w:numPr>
        <w:spacing w:after="40" w:before="40"/>
      </w:pPr>
      <w:r>
        <w:rPr>
          <w:color w:val="09090B"/>
          <w:sz w:val="22"/>
          <w:szCs w:val="22"/>
        </w:rPr>
        <w:t xml:space="preserve">Conversion note — values displayed in kWh internally; switch toggle to therms / m³ / MJ</w:t>
      </w:r>
    </w:p>
    <w:p>
      <w:pPr>
        <w:pStyle w:val="Heading3"/>
        <w:spacing w:after="80" w:before="240"/>
      </w:pPr>
      <w:r>
        <w:t xml:space="preserve">Water tab</w:t>
      </w:r>
    </w:p>
    <w:p>
      <w:pPr>
        <w:pStyle w:val="ListParagraph"/>
        <w:numPr>
          <w:ilvl w:val="0"/>
          <w:numId w:val="1"/>
        </w:numPr>
        <w:spacing w:after="40" w:before="40"/>
      </w:pPr>
      <w:r>
        <w:rPr>
          <w:color w:val="09090B"/>
          <w:sz w:val="22"/>
          <w:szCs w:val="22"/>
        </w:rPr>
        <w:t xml:space="preserve">BarChart monthly consumption</w:t>
      </w:r>
    </w:p>
    <w:p>
      <w:pPr>
        <w:pStyle w:val="ListParagraph"/>
        <w:numPr>
          <w:ilvl w:val="0"/>
          <w:numId w:val="1"/>
        </w:numPr>
        <w:spacing w:after="40" w:before="40"/>
      </w:pPr>
      <w:r>
        <w:rPr>
          <w:color w:val="09090B"/>
          <w:sz w:val="22"/>
          <w:szCs w:val="22"/>
        </w:rPr>
        <w:t xml:space="preserve">Novant Valve Panel appears at top if a Novant integration is connected to this asset</w:t>
      </w:r>
    </w:p>
    <w:p>
      <w:pPr>
        <w:pStyle w:val="Heading3"/>
        <w:spacing w:after="80" w:before="240"/>
      </w:pPr>
      <w:r>
        <w:t xml:space="preserve">Waste tab</w:t>
      </w:r>
    </w:p>
    <w:p>
      <w:pPr>
        <w:pStyle w:val="ListParagraph"/>
        <w:numPr>
          <w:ilvl w:val="0"/>
          <w:numId w:val="1"/>
        </w:numPr>
        <w:spacing w:after="40" w:before="40"/>
      </w:pPr>
      <w:r>
        <w:rPr>
          <w:color w:val="09090B"/>
          <w:sz w:val="22"/>
          <w:szCs w:val="22"/>
        </w:rPr>
        <w:t xml:space="preserve">Stacked BarChart per month: Recyclable + Organic + Landfill streams</w:t>
      </w:r>
    </w:p>
    <w:p>
      <w:pPr>
        <w:pStyle w:val="ListParagraph"/>
        <w:numPr>
          <w:ilvl w:val="0"/>
          <w:numId w:val="1"/>
        </w:numPr>
        <w:spacing w:after="40" w:before="40"/>
      </w:pPr>
      <w:r>
        <w:rPr>
          <w:color w:val="09090B"/>
          <w:sz w:val="22"/>
          <w:szCs w:val="22"/>
        </w:rPr>
        <w:t xml:space="preserve">ProgressRing showing recycling rate %</w:t>
      </w:r>
    </w:p>
    <w:p>
      <w:pPr>
        <w:pStyle w:val="ListParagraph"/>
        <w:numPr>
          <w:ilvl w:val="0"/>
          <w:numId w:val="1"/>
        </w:numPr>
        <w:spacing w:after="40" w:before="40"/>
      </w:pPr>
      <w:r>
        <w:rPr>
          <w:color w:val="09090B"/>
          <w:sz w:val="22"/>
          <w:szCs w:val="22"/>
        </w:rPr>
        <w:t xml:space="preserve">Waste-to-landfill diversion target line</w:t>
      </w:r>
    </w:p>
    <w:p>
      <w:pPr>
        <w:pStyle w:val="Heading2"/>
        <w:spacing w:after="120" w:before="360"/>
      </w:pPr>
      <w:r>
        <w:t xml:space="preserve">4.6 Novant Valve Panel</w:t>
      </w:r>
    </w:p>
    <w:p>
      <w:pPr>
        <w:spacing w:after="100" w:before="60"/>
      </w:pPr>
      <w:r>
        <w:rPr>
          <w:color w:val="09090B"/>
          <w:sz w:val="22"/>
          <w:szCs w:val="22"/>
        </w:rPr>
        <w:t xml:space="preserve">Appears on the Water utility tab and in the Status Manager when a Novant valve integration is connected.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Status chip</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Colour</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Meaning</w:t>
            </w:r>
          </w:p>
        </w:tc>
      </w:tr>
      <w:tr>
        <w:tc>
          <w:tcPr>
            <w:tcW w:type="dxa" w:w="3000"/>
            <w:tcMar>
              <w:top w:type="dxa" w:w="80"/>
              <w:left w:type="dxa" w:w="120"/>
              <w:bottom w:type="dxa" w:w="80"/>
              <w:right w:type="dxa" w:w="120"/>
            </w:tcMar>
            <w:vAlign w:val="center"/>
          </w:tcPr>
          <w:p>
            <w:r>
              <w:rPr>
                <w:color w:val="09090B"/>
                <w:sz w:val="20"/>
                <w:szCs w:val="20"/>
              </w:rPr>
              <w:t xml:space="preserve">Open</w:t>
            </w:r>
          </w:p>
        </w:tc>
        <w:tc>
          <w:tcPr>
            <w:tcW w:type="dxa" w:w="3000"/>
            <w:tcMar>
              <w:top w:type="dxa" w:w="80"/>
              <w:left w:type="dxa" w:w="120"/>
              <w:bottom w:type="dxa" w:w="80"/>
              <w:right w:type="dxa" w:w="120"/>
            </w:tcMar>
            <w:vAlign w:val="center"/>
          </w:tcPr>
          <w:p>
            <w:r>
              <w:rPr>
                <w:color w:val="09090B"/>
                <w:sz w:val="20"/>
                <w:szCs w:val="20"/>
              </w:rPr>
              <w:t xml:space="preserve">Green</w:t>
            </w:r>
          </w:p>
        </w:tc>
        <w:tc>
          <w:tcPr>
            <w:tcW w:type="dxa" w:w="3000"/>
            <w:tcMar>
              <w:top w:type="dxa" w:w="80"/>
              <w:left w:type="dxa" w:w="120"/>
              <w:bottom w:type="dxa" w:w="80"/>
              <w:right w:type="dxa" w:w="120"/>
            </w:tcMar>
            <w:vAlign w:val="center"/>
          </w:tcPr>
          <w:p>
            <w:r>
              <w:rPr>
                <w:color w:val="09090B"/>
                <w:sz w:val="20"/>
                <w:szCs w:val="20"/>
              </w:rPr>
              <w:t xml:space="preserve">Valve open, water flowing normally</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Closed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Red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Valve closed (manual or auto shutdown)</w:t>
            </w:r>
          </w:p>
        </w:tc>
      </w:tr>
      <w:tr>
        <w:tc>
          <w:tcPr>
            <w:tcW w:type="dxa" w:w="3000"/>
            <w:tcMar>
              <w:top w:type="dxa" w:w="80"/>
              <w:left w:type="dxa" w:w="120"/>
              <w:bottom w:type="dxa" w:w="80"/>
              <w:right w:type="dxa" w:w="120"/>
            </w:tcMar>
            <w:vAlign w:val="center"/>
          </w:tcPr>
          <w:p>
            <w:r>
              <w:rPr>
                <w:color w:val="09090B"/>
                <w:sz w:val="20"/>
                <w:szCs w:val="20"/>
              </w:rPr>
              <w:t xml:space="preserve">Fault</w:t>
            </w:r>
          </w:p>
        </w:tc>
        <w:tc>
          <w:tcPr>
            <w:tcW w:type="dxa" w:w="3000"/>
            <w:tcMar>
              <w:top w:type="dxa" w:w="80"/>
              <w:left w:type="dxa" w:w="120"/>
              <w:bottom w:type="dxa" w:w="80"/>
              <w:right w:type="dxa" w:w="120"/>
            </w:tcMar>
            <w:vAlign w:val="center"/>
          </w:tcPr>
          <w:p>
            <w:r>
              <w:rPr>
                <w:color w:val="09090B"/>
                <w:sz w:val="20"/>
                <w:szCs w:val="20"/>
              </w:rPr>
              <w:t xml:space="preserve">Amber</w:t>
            </w:r>
          </w:p>
        </w:tc>
        <w:tc>
          <w:tcPr>
            <w:tcW w:type="dxa" w:w="3000"/>
            <w:tcMar>
              <w:top w:type="dxa" w:w="80"/>
              <w:left w:type="dxa" w:w="120"/>
              <w:bottom w:type="dxa" w:w="80"/>
              <w:right w:type="dxa" w:w="120"/>
            </w:tcMar>
            <w:vAlign w:val="center"/>
          </w:tcPr>
          <w:p>
            <w:r>
              <w:rPr>
                <w:color w:val="09090B"/>
                <w:sz w:val="20"/>
                <w:szCs w:val="20"/>
              </w:rPr>
              <w:t xml:space="preserve">Sensor error or partial closure</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Unknown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Grey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No status response (check connectivity)</w:t>
            </w:r>
          </w:p>
        </w:tc>
      </w:tr>
    </w:tbl>
    <w:p>
      <w:pPr>
        <w:spacing w:after="100" w:before="60"/>
      </w:pPr>
      <w:r>
        <w:rPr>
          <w:color w:val="09090B"/>
          <w:sz w:val="22"/>
          <w:szCs w:val="22"/>
        </w:rPr>
        <w:t xml:space="preserve">Each zone row has Open / Close buttons. A red "Emergency Shutdown" button at the top closes every valve in the building in one operation.</w:t>
      </w:r>
    </w:p>
    <w:p>
      <w:pPr>
        <w:pBdr>
          <w:left w:val="single" w:color="B91C1C" w:sz="12" w:space="4"/>
        </w:pBdr>
        <w:shd w:fill="FEF2F2" w:color="auto" w:val="clear"/>
        <w:spacing w:after="80" w:before="80"/>
        <w:ind w:left="200" w:right="200"/>
      </w:pPr>
      <w:r>
        <w:rPr>
          <w:b/>
          <w:bCs/>
          <w:color w:val="B91C1C"/>
          <w:sz w:val="20"/>
          <w:szCs w:val="20"/>
        </w:rPr>
        <w:t xml:space="preserve">Warning: </w:t>
      </w:r>
      <w:r>
        <w:rPr>
          <w:color w:val="52525B"/>
          <w:sz w:val="20"/>
          <w:szCs w:val="20"/>
        </w:rPr>
        <w:t xml:space="preserve">Every valve command (Open / Close / Emergency Shutdown) is appended to the audit trail of any active water alert on this asset. If no alert is active, the command creates a new Tier 2 water alert so the action is recorded. A ConfirmDialog requires explicit confirmation before sending the command — there is no accidental shutdown.</w:t>
      </w:r>
    </w:p>
    <w:p>
      <w:pPr>
        <w:pStyle w:val="Heading2"/>
        <w:spacing w:after="120" w:before="360"/>
      </w:pPr>
      <w:r>
        <w:t xml:space="preserve">4.7 Carbon Intelligence tab</w:t>
      </w:r>
    </w:p>
    <w:p>
      <w:pPr>
        <w:spacing w:after="100" w:before="60"/>
      </w:pPr>
      <w:r>
        <w:rPr>
          <w:color w:val="09090B"/>
          <w:sz w:val="22"/>
          <w:szCs w:val="22"/>
        </w:rPr>
        <w:t xml:space="preserve">The merged Carbon + Insights deep-dive — the most data-rich page in the platform.</w:t>
      </w:r>
    </w:p>
    <w:p>
      <w:pPr>
        <w:pStyle w:val="ListParagraph"/>
        <w:numPr>
          <w:ilvl w:val="0"/>
          <w:numId w:val="1"/>
        </w:numPr>
        <w:spacing w:after="40" w:before="40"/>
      </w:pPr>
      <w:r>
        <w:rPr>
          <w:color w:val="09090B"/>
          <w:sz w:val="22"/>
          <w:szCs w:val="22"/>
        </w:rPr>
        <w:t xml:space="preserve">3-column hero — Performance Score gauge (0-100), Sector benchmark bars, Action buttons</w:t>
      </w:r>
    </w:p>
    <w:p>
      <w:pPr>
        <w:pStyle w:val="ListParagraph"/>
        <w:numPr>
          <w:ilvl w:val="0"/>
          <w:numId w:val="1"/>
        </w:numPr>
        <w:spacing w:after="40" w:before="40"/>
      </w:pPr>
      <w:r>
        <w:rPr>
          <w:color w:val="09090B"/>
          <w:sz w:val="22"/>
          <w:szCs w:val="22"/>
        </w:rPr>
        <w:t xml:space="preserve">5 KPI StatCards — Scope 1 tCO₂e, Scope 2 tCO₂e, Total, Carbon Intensity (kgCO₂e / m²), Annual Cost</w:t>
      </w:r>
    </w:p>
    <w:p>
      <w:pPr>
        <w:pStyle w:val="ListParagraph"/>
        <w:numPr>
          <w:ilvl w:val="0"/>
          <w:numId w:val="1"/>
        </w:numPr>
        <w:spacing w:after="40" w:before="40"/>
      </w:pPr>
      <w:r>
        <w:rPr>
          <w:color w:val="09090B"/>
          <w:sz w:val="22"/>
          <w:szCs w:val="22"/>
        </w:rPr>
        <w:t xml:space="preserve">Stacked monthly BarChart + Scope donut PieChart side-by-side</w:t>
      </w:r>
    </w:p>
    <w:p>
      <w:pPr>
        <w:pStyle w:val="ListParagraph"/>
        <w:numPr>
          <w:ilvl w:val="0"/>
          <w:numId w:val="1"/>
        </w:numPr>
        <w:spacing w:after="40" w:before="40"/>
      </w:pPr>
      <w:r>
        <w:rPr>
          <w:color w:val="09090B"/>
          <w:sz w:val="22"/>
          <w:szCs w:val="22"/>
        </w:rPr>
        <w:t xml:space="preserve">Carbon intensity AreaChart over 24 months</w:t>
      </w:r>
    </w:p>
    <w:p>
      <w:pPr>
        <w:pStyle w:val="ListParagraph"/>
        <w:numPr>
          <w:ilvl w:val="0"/>
          <w:numId w:val="1"/>
        </w:numPr>
        <w:spacing w:after="40" w:before="40"/>
      </w:pPr>
      <w:r>
        <w:rPr>
          <w:color w:val="09090B"/>
          <w:sz w:val="22"/>
          <w:szCs w:val="22"/>
        </w:rPr>
        <w:t xml:space="preserve">AI Optimisation Opportunities grid (cards with: title, description, estimated annual saving, payback months) — populated by `optimise.service.js` if `ai_optimise` module active</w:t>
      </w:r>
    </w:p>
    <w:p>
      <w:pPr>
        <w:pStyle w:val="ListParagraph"/>
        <w:numPr>
          <w:ilvl w:val="0"/>
          <w:numId w:val="1"/>
        </w:numPr>
        <w:spacing w:after="40" w:before="40"/>
      </w:pPr>
      <w:r>
        <w:rPr>
          <w:color w:val="09090B"/>
          <w:sz w:val="22"/>
          <w:szCs w:val="22"/>
        </w:rPr>
        <w:t xml:space="preserve">YoY comparison bars — current 12 months vs previous 12 months for each Scope</w:t>
      </w:r>
    </w:p>
    <w:p>
      <w:pPr>
        <w:pStyle w:val="ListParagraph"/>
        <w:numPr>
          <w:ilvl w:val="0"/>
          <w:numId w:val="1"/>
        </w:numPr>
        <w:spacing w:after="40" w:before="40"/>
      </w:pPr>
      <w:r>
        <w:rPr>
          <w:color w:val="09090B"/>
          <w:sz w:val="22"/>
          <w:szCs w:val="22"/>
        </w:rPr>
        <w:t xml:space="preserve">Regulatory context card — current frameworks affecting this building's region</w:t>
      </w:r>
    </w:p>
    <w:p>
      <w:pPr>
        <w:pStyle w:val="ListParagraph"/>
        <w:numPr>
          <w:ilvl w:val="0"/>
          <w:numId w:val="1"/>
        </w:numPr>
        <w:spacing w:after="40" w:before="40"/>
      </w:pPr>
      <w:r>
        <w:rPr>
          <w:color w:val="09090B"/>
          <w:sz w:val="22"/>
          <w:szCs w:val="22"/>
        </w:rPr>
        <w:t xml:space="preserve">Three slide-in panels at the bottom: How We Compare · Cost Breakdown · Optimisation Panel</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The Carbon page at the portfolio level (/carbon) redirects to /analytics — Carbon at the per-building level lives only here.</w:t>
      </w:r>
    </w:p>
    <w:p>
      <w:pPr>
        <w:pStyle w:val="Heading2"/>
        <w:spacing w:after="120" w:before="360"/>
      </w:pPr>
      <w:r>
        <w:t xml:space="preserve">4.8 Net Zero Pathway tab</w:t>
      </w:r>
    </w:p>
    <w:p>
      <w:pPr>
        <w:spacing w:after="100" w:before="60"/>
      </w:pPr>
      <w:r>
        <w:rPr>
          <w:color w:val="09090B"/>
          <w:sz w:val="22"/>
          <w:szCs w:val="22"/>
        </w:rPr>
        <w:t xml:space="preserve">A scenario builder for the building's journey to net zero.</w:t>
      </w:r>
    </w:p>
    <w:p>
      <w:pPr>
        <w:pStyle w:val="Heading3"/>
        <w:spacing w:after="80" w:before="240"/>
      </w:pPr>
      <w:r>
        <w:t xml:space="preserve">Scenario types</w:t>
      </w:r>
    </w:p>
    <w:p>
      <w:pPr>
        <w:pStyle w:val="ListParagraph"/>
        <w:numPr>
          <w:ilvl w:val="0"/>
          <w:numId w:val="1"/>
        </w:numPr>
        <w:spacing w:after="40" w:before="40"/>
      </w:pPr>
      <w:r>
        <w:rPr>
          <w:color w:val="09090B"/>
          <w:sz w:val="22"/>
          <w:szCs w:val="22"/>
        </w:rPr>
        <w:t xml:space="preserve">Business as usual — projects current consumption to target year with no change</w:t>
      </w:r>
    </w:p>
    <w:p>
      <w:pPr>
        <w:pStyle w:val="ListParagraph"/>
        <w:numPr>
          <w:ilvl w:val="0"/>
          <w:numId w:val="1"/>
        </w:numPr>
        <w:spacing w:after="40" w:before="40"/>
      </w:pPr>
      <w:r>
        <w:rPr>
          <w:color w:val="09090B"/>
          <w:sz w:val="22"/>
          <w:szCs w:val="22"/>
        </w:rPr>
        <w:t xml:space="preserve">Moderate — applies a typical 2-3% per-year reduction</w:t>
      </w:r>
    </w:p>
    <w:p>
      <w:pPr>
        <w:pStyle w:val="ListParagraph"/>
        <w:numPr>
          <w:ilvl w:val="0"/>
          <w:numId w:val="1"/>
        </w:numPr>
        <w:spacing w:after="40" w:before="40"/>
      </w:pPr>
      <w:r>
        <w:rPr>
          <w:color w:val="09090B"/>
          <w:sz w:val="22"/>
          <w:szCs w:val="22"/>
        </w:rPr>
        <w:t xml:space="preserve">Accelerated — applies aggressive efficiency + electrification + renewables</w:t>
      </w:r>
    </w:p>
    <w:p>
      <w:pPr>
        <w:pStyle w:val="Heading3"/>
        <w:spacing w:after="80" w:before="240"/>
      </w:pPr>
      <w:r>
        <w:t xml:space="preserve">Adding interventions</w:t>
      </w:r>
    </w:p>
    <w:p>
      <w:pPr>
        <w:spacing w:after="100" w:before="60"/>
      </w:pPr>
      <w:r>
        <w:rPr>
          <w:color w:val="09090B"/>
          <w:sz w:val="22"/>
          <w:szCs w:val="22"/>
        </w:rPr>
        <w:t xml:space="preserve">Each scenario has a list of interventions, each with a year and expected % reduction:</w:t>
      </w:r>
    </w:p>
    <w:p>
      <w:pPr>
        <w:pStyle w:val="ListParagraph"/>
        <w:numPr>
          <w:ilvl w:val="0"/>
          <w:numId w:val="1"/>
        </w:numPr>
        <w:spacing w:after="40" w:before="40"/>
      </w:pPr>
      <w:r>
        <w:rPr>
          <w:color w:val="09090B"/>
          <w:sz w:val="22"/>
          <w:szCs w:val="22"/>
        </w:rPr>
        <w:t xml:space="preserve">LED retrofit · HVAC upgrade · Insulation · BMS optimisation · Solar PV · Battery storage · Heat pump · Window glazing</w:t>
      </w:r>
    </w:p>
    <w:p>
      <w:pPr>
        <w:spacing w:after="100" w:before="60"/>
      </w:pPr>
      <w:r>
        <w:rPr>
          <w:color w:val="09090B"/>
          <w:sz w:val="22"/>
          <w:szCs w:val="22"/>
        </w:rPr>
        <w:t xml:space="preserve">The trajectory chart updates instantly as you add/remove interventions.</w:t>
      </w:r>
    </w:p>
    <w:p>
      <w:pPr>
        <w:pStyle w:val="Heading3"/>
        <w:spacing w:after="80" w:before="240"/>
      </w:pPr>
      <w:r>
        <w:t xml:space="preserve">AI narrative</w:t>
      </w:r>
    </w:p>
    <w:p>
      <w:pPr>
        <w:spacing w:after="100" w:before="60"/>
      </w:pPr>
      <w:r>
        <w:rPr>
          <w:color w:val="09090B"/>
          <w:sz w:val="22"/>
          <w:szCs w:val="22"/>
        </w:rPr>
        <w:t xml:space="preserve">A "Generate narrative" button (requires `ai_optimise` or `ai_predict`) writes a paragraph describing the scenario in plain English suitable for management reports. The narrative is cached and timestamped.</w:t>
      </w:r>
    </w:p>
    <w:p>
      <w:pPr>
        <w:pStyle w:val="Heading2"/>
        <w:spacing w:after="120" w:before="360"/>
      </w:pPr>
      <w:r>
        <w:t xml:space="preserve">4.9 Solar &amp; Energy tab — Phases A through E</w:t>
      </w:r>
    </w:p>
    <w:p>
      <w:pPr>
        <w:spacing w:after="100" w:before="60"/>
      </w:pPr>
      <w:r>
        <w:rPr>
          <w:color w:val="09090B"/>
          <w:sz w:val="22"/>
          <w:szCs w:val="22"/>
        </w:rPr>
        <w:t xml:space="preserve">A multi-phase deep deliverable for solar feasibility. All phases run sequentially — each later phase consumes the cache from the previous one. The full chain takes ~45 seconds end-to-end the first time, &lt; 1 second on cached runs.</w:t>
      </w:r>
    </w:p>
    <w:p>
      <w:pPr>
        <w:pStyle w:val="Heading3"/>
        <w:spacing w:after="80" w:before="240"/>
      </w:pPr>
      <w:r>
        <w:t xml:space="preserve">Phase A — Roof analysis + irradiance</w:t>
      </w:r>
    </w:p>
    <w:p>
      <w:pPr>
        <w:pStyle w:val="ListParagraph"/>
        <w:numPr>
          <w:ilvl w:val="0"/>
          <w:numId w:val="1"/>
        </w:numPr>
        <w:spacing w:after="40" w:before="40"/>
      </w:pPr>
      <w:r>
        <w:rPr>
          <w:color w:val="09090B"/>
          <w:sz w:val="22"/>
          <w:szCs w:val="22"/>
        </w:rPr>
        <w:t xml:space="preserve">Pulls roof segments from Google Solar API (`solar_roof_data` table cache, 90-day TTL)</w:t>
      </w:r>
    </w:p>
    <w:p>
      <w:pPr>
        <w:pStyle w:val="ListParagraph"/>
        <w:numPr>
          <w:ilvl w:val="0"/>
          <w:numId w:val="1"/>
        </w:numPr>
        <w:spacing w:after="40" w:before="40"/>
      </w:pPr>
      <w:r>
        <w:rPr>
          <w:color w:val="09090B"/>
          <w:sz w:val="22"/>
          <w:szCs w:val="22"/>
        </w:rPr>
        <w:t xml:space="preserve">Pulls 12-month irradiance from PVGIS API (`solar_tmy_cache` table cache)</w:t>
      </w:r>
    </w:p>
    <w:p>
      <w:pPr>
        <w:pStyle w:val="ListParagraph"/>
        <w:numPr>
          <w:ilvl w:val="0"/>
          <w:numId w:val="1"/>
        </w:numPr>
        <w:spacing w:after="40" w:before="40"/>
      </w:pPr>
      <w:r>
        <w:rPr>
          <w:color w:val="09090B"/>
          <w:sz w:val="22"/>
          <w:szCs w:val="22"/>
        </w:rPr>
        <w:t xml:space="preserve">Renders a satellite Leaflet map with roof segments overlaid, colour-coded by solar yield class</w:t>
      </w:r>
    </w:p>
    <w:p>
      <w:pPr>
        <w:pStyle w:val="ListParagraph"/>
        <w:numPr>
          <w:ilvl w:val="0"/>
          <w:numId w:val="1"/>
        </w:numPr>
        <w:spacing w:after="40" w:before="40"/>
      </w:pPr>
      <w:r>
        <w:rPr>
          <w:color w:val="09090B"/>
          <w:sz w:val="22"/>
          <w:szCs w:val="22"/>
        </w:rPr>
        <w:t xml:space="preserve">Sun-path diagram for solstice / equinox / winter</w:t>
      </w:r>
    </w:p>
    <w:p>
      <w:pPr>
        <w:pStyle w:val="ListParagraph"/>
        <w:numPr>
          <w:ilvl w:val="0"/>
          <w:numId w:val="1"/>
        </w:numPr>
        <w:spacing w:after="40" w:before="40"/>
      </w:pPr>
      <w:r>
        <w:rPr>
          <w:color w:val="09090B"/>
          <w:sz w:val="22"/>
          <w:szCs w:val="22"/>
        </w:rPr>
        <w:t xml:space="preserve">12 × 24 irradiance heatmap (months × hours)</w:t>
      </w:r>
    </w:p>
    <w:p>
      <w:pPr>
        <w:pStyle w:val="Heading3"/>
        <w:spacing w:after="80" w:before="240"/>
      </w:pPr>
      <w:r>
        <w:t xml:space="preserve">Phase B — Physics simulator</w:t>
      </w:r>
    </w:p>
    <w:p>
      <w:pPr>
        <w:pStyle w:val="ListParagraph"/>
        <w:numPr>
          <w:ilvl w:val="0"/>
          <w:numId w:val="1"/>
        </w:numPr>
        <w:spacing w:after="40" w:before="40"/>
      </w:pPr>
      <w:r>
        <w:rPr>
          <w:color w:val="09090B"/>
          <w:sz w:val="22"/>
          <w:szCs w:val="22"/>
        </w:rPr>
        <w:t xml:space="preserve">Pulls hourly TMY (Typical Meteorological Year) data — 8,760 points</w:t>
      </w:r>
    </w:p>
    <w:p>
      <w:pPr>
        <w:pStyle w:val="ListParagraph"/>
        <w:numPr>
          <w:ilvl w:val="0"/>
          <w:numId w:val="1"/>
        </w:numPr>
        <w:spacing w:after="40" w:before="40"/>
      </w:pPr>
      <w:r>
        <w:rPr>
          <w:color w:val="09090B"/>
          <w:sz w:val="22"/>
          <w:szCs w:val="22"/>
        </w:rPr>
        <w:t xml:space="preserve">Full loss chain: NOCT cell temperature derating, soiling 2%, cable 1%, mismatch 1%, inverter 97.5%, Performance Ratio</w:t>
      </w:r>
    </w:p>
    <w:p>
      <w:pPr>
        <w:pStyle w:val="ListParagraph"/>
        <w:numPr>
          <w:ilvl w:val="0"/>
          <w:numId w:val="1"/>
        </w:numPr>
        <w:spacing w:after="40" w:before="40"/>
      </w:pPr>
      <w:r>
        <w:rPr>
          <w:color w:val="09090B"/>
          <w:sz w:val="22"/>
          <w:szCs w:val="22"/>
        </w:rPr>
        <w:t xml:space="preserve">25-year degradation: LID + linear annual degradation</w:t>
      </w:r>
    </w:p>
    <w:p>
      <w:pPr>
        <w:pStyle w:val="ListParagraph"/>
        <w:numPr>
          <w:ilvl w:val="0"/>
          <w:numId w:val="1"/>
        </w:numPr>
        <w:spacing w:after="40" w:before="40"/>
      </w:pPr>
      <w:r>
        <w:rPr>
          <w:color w:val="09090B"/>
          <w:sz w:val="22"/>
          <w:szCs w:val="22"/>
        </w:rPr>
        <w:t xml:space="preserve">Demand matching: ASHRAE weekday/weekend occupancy shape, monthly DB data scaling</w:t>
      </w:r>
    </w:p>
    <w:p>
      <w:pPr>
        <w:pStyle w:val="ListParagraph"/>
        <w:numPr>
          <w:ilvl w:val="0"/>
          <w:numId w:val="1"/>
        </w:numPr>
        <w:spacing w:after="40" w:before="40"/>
      </w:pPr>
      <w:r>
        <w:rPr>
          <w:color w:val="09090B"/>
          <w:sz w:val="22"/>
          <w:szCs w:val="22"/>
        </w:rPr>
        <w:t xml:space="preserve">Hour-by-hour self-consumed / export / import breakdown</w:t>
      </w:r>
    </w:p>
    <w:p>
      <w:pPr>
        <w:pStyle w:val="ListParagraph"/>
        <w:numPr>
          <w:ilvl w:val="0"/>
          <w:numId w:val="1"/>
        </w:numPr>
        <w:spacing w:after="40" w:before="40"/>
      </w:pPr>
      <w:r>
        <w:rPr>
          <w:color w:val="09090B"/>
          <w:sz w:val="22"/>
          <w:szCs w:val="22"/>
        </w:rPr>
        <w:t xml:space="preserve">Charts: LossWaterfall, EnergyFlowSankey, monthly gen vs demand ComposedChart, 25-year AreaChart of degradation</w:t>
      </w:r>
    </w:p>
    <w:p>
      <w:pPr>
        <w:pStyle w:val="Heading3"/>
        <w:spacing w:after="80" w:before="240"/>
      </w:pPr>
      <w:r>
        <w:t xml:space="preserve">Phase C — Battery optimiser</w:t>
      </w:r>
    </w:p>
    <w:p>
      <w:pPr>
        <w:pStyle w:val="ListParagraph"/>
        <w:numPr>
          <w:ilvl w:val="0"/>
          <w:numId w:val="1"/>
        </w:numPr>
        <w:spacing w:after="40" w:before="40"/>
      </w:pPr>
      <w:r>
        <w:rPr>
          <w:color w:val="09090B"/>
          <w:sz w:val="22"/>
          <w:szCs w:val="22"/>
        </w:rPr>
        <w:t xml:space="preserve">Hour-by-hour BESS (Battery Energy Storage System) charge / discharge — depth-of-discharge 90%, round-trip efficiency 92%, 0.5C max C-rate</w:t>
      </w:r>
    </w:p>
    <w:p>
      <w:pPr>
        <w:pStyle w:val="ListParagraph"/>
        <w:numPr>
          <w:ilvl w:val="0"/>
          <w:numId w:val="1"/>
        </w:numPr>
        <w:spacing w:after="40" w:before="40"/>
      </w:pPr>
      <w:r>
        <w:rPr>
          <w:color w:val="09090B"/>
          <w:sz w:val="22"/>
          <w:szCs w:val="22"/>
        </w:rPr>
        <w:t xml:space="preserve">Tests sizes 5 → 100 kWh in 5 kWh increments, finds diminishing-returns knee</w:t>
      </w:r>
    </w:p>
    <w:p>
      <w:pPr>
        <w:pStyle w:val="ListParagraph"/>
        <w:numPr>
          <w:ilvl w:val="0"/>
          <w:numId w:val="1"/>
        </w:numPr>
        <w:spacing w:after="40" w:before="40"/>
      </w:pPr>
      <w:r>
        <w:rPr>
          <w:color w:val="09090B"/>
          <w:sz w:val="22"/>
          <w:szCs w:val="22"/>
        </w:rPr>
        <w:t xml:space="preserve">Regional BESS cost from £650 (UK) to HK$5,500 per kWh</w:t>
      </w:r>
    </w:p>
    <w:p>
      <w:pPr>
        <w:pStyle w:val="ListParagraph"/>
        <w:numPr>
          <w:ilvl w:val="0"/>
          <w:numId w:val="1"/>
        </w:numPr>
        <w:spacing w:after="40" w:before="40"/>
      </w:pPr>
      <w:r>
        <w:rPr>
          <w:color w:val="09090B"/>
          <w:sz w:val="22"/>
          <w:szCs w:val="22"/>
        </w:rPr>
        <w:t xml:space="preserve">Charts: BessTable scenario comparison (with "recommended" pill), EnhancedFlowDiagram SVG Sankey</w:t>
      </w:r>
    </w:p>
    <w:p>
      <w:pPr>
        <w:pStyle w:val="Heading3"/>
        <w:spacing w:after="80" w:before="240"/>
      </w:pPr>
      <w:r>
        <w:t xml:space="preserve">Phase D — Financial model</w:t>
      </w:r>
    </w:p>
    <w:p>
      <w:pPr>
        <w:pStyle w:val="ListParagraph"/>
        <w:numPr>
          <w:ilvl w:val="0"/>
          <w:numId w:val="1"/>
        </w:numPr>
        <w:spacing w:after="40" w:before="40"/>
      </w:pPr>
      <w:r>
        <w:rPr>
          <w:color w:val="09090B"/>
          <w:sz w:val="22"/>
          <w:szCs w:val="22"/>
        </w:rPr>
        <w:t xml:space="preserve">Regional capex / tariff / incentive stack: UK VAT + SEG, AU STCs, US ITC 30%, HK FITS, EU subsidy, JM net billing</w:t>
      </w:r>
    </w:p>
    <w:p>
      <w:pPr>
        <w:pStyle w:val="ListParagraph"/>
        <w:numPr>
          <w:ilvl w:val="0"/>
          <w:numId w:val="1"/>
        </w:numPr>
        <w:spacing w:after="40" w:before="40"/>
      </w:pPr>
      <w:r>
        <w:rPr>
          <w:color w:val="09090B"/>
          <w:sz w:val="22"/>
          <w:szCs w:val="22"/>
        </w:rPr>
        <w:t xml:space="preserve">25-year cashflows, NPV at 6% discount, IRR (binary search), LCOE</w:t>
      </w:r>
    </w:p>
    <w:p>
      <w:pPr>
        <w:pStyle w:val="ListParagraph"/>
        <w:numPr>
          <w:ilvl w:val="0"/>
          <w:numId w:val="1"/>
        </w:numPr>
        <w:spacing w:after="40" w:before="40"/>
      </w:pPr>
      <w:r>
        <w:rPr>
          <w:color w:val="09090B"/>
          <w:sz w:val="22"/>
          <w:szCs w:val="22"/>
        </w:rPr>
        <w:t xml:space="preserve">Payback — simple + discounted</w:t>
      </w:r>
    </w:p>
    <w:p>
      <w:pPr>
        <w:pStyle w:val="ListParagraph"/>
        <w:numPr>
          <w:ilvl w:val="0"/>
          <w:numId w:val="1"/>
        </w:numPr>
        <w:spacing w:after="40" w:before="40"/>
      </w:pPr>
      <w:r>
        <w:rPr>
          <w:color w:val="09090B"/>
          <w:sz w:val="22"/>
          <w:szCs w:val="22"/>
        </w:rPr>
        <w:t xml:space="preserve">Monte Carlo 500 runs (Box-Muller) → P10 / P25 / P50 / P75 / P90 + histogram + 3 trajectory arrays</w:t>
      </w:r>
    </w:p>
    <w:p>
      <w:pPr>
        <w:pStyle w:val="ListParagraph"/>
        <w:numPr>
          <w:ilvl w:val="0"/>
          <w:numId w:val="1"/>
        </w:numPr>
        <w:spacing w:after="40" w:before="40"/>
      </w:pPr>
      <w:r>
        <w:rPr>
          <w:color w:val="09090B"/>
          <w:sz w:val="22"/>
          <w:szCs w:val="22"/>
        </w:rPr>
        <w:t xml:space="preserve">Tornado chart ± 20% electricity / ± 10% solar / ± 15% capex / discount 4% vs 8% / growth 0% vs 5%</w:t>
      </w:r>
    </w:p>
    <w:p>
      <w:pPr>
        <w:pStyle w:val="ListParagraph"/>
        <w:numPr>
          <w:ilvl w:val="0"/>
          <w:numId w:val="1"/>
        </w:numPr>
        <w:spacing w:after="40" w:before="40"/>
      </w:pPr>
      <w:r>
        <w:rPr>
          <w:color w:val="09090B"/>
          <w:sz w:val="22"/>
          <w:szCs w:val="22"/>
        </w:rPr>
        <w:t xml:space="preserve">Time-of-Use (ToU) 24-hour rate multiplier — off-peak 0.7×, evening peak 1.5×</w:t>
      </w:r>
    </w:p>
    <w:p>
      <w:pPr>
        <w:pStyle w:val="ListParagraph"/>
        <w:numPr>
          <w:ilvl w:val="0"/>
          <w:numId w:val="1"/>
        </w:numPr>
        <w:spacing w:after="40" w:before="40"/>
      </w:pPr>
      <w:r>
        <w:rPr>
          <w:color w:val="09090B"/>
          <w:sz w:val="22"/>
          <w:szCs w:val="22"/>
        </w:rPr>
        <w:t xml:space="preserve">Charts: Financial KPI hero, incentive card, 25yr ComposedChart with P10/P90 fan, MC histogram, Tornado, ToU AreaChart</w:t>
      </w:r>
    </w:p>
    <w:p>
      <w:pPr>
        <w:pStyle w:val="Heading3"/>
        <w:spacing w:after="80" w:before="240"/>
      </w:pPr>
      <w:r>
        <w:t xml:space="preserve">Phase E — AI narrative + bankable report</w:t>
      </w:r>
    </w:p>
    <w:p>
      <w:pPr>
        <w:pStyle w:val="ListParagraph"/>
        <w:numPr>
          <w:ilvl w:val="0"/>
          <w:numId w:val="1"/>
        </w:numPr>
        <w:spacing w:after="40" w:before="40"/>
      </w:pPr>
      <w:r>
        <w:rPr>
          <w:color w:val="09090B"/>
          <w:sz w:val="22"/>
          <w:szCs w:val="22"/>
        </w:rPr>
        <w:t xml:space="preserve">GPT-4o-mini narrative for each section</w:t>
      </w:r>
    </w:p>
    <w:p>
      <w:pPr>
        <w:pStyle w:val="ListParagraph"/>
        <w:numPr>
          <w:ilvl w:val="0"/>
          <w:numId w:val="1"/>
        </w:numPr>
        <w:spacing w:after="40" w:before="40"/>
      </w:pPr>
      <w:r>
        <w:rPr>
          <w:color w:val="09090B"/>
          <w:sz w:val="22"/>
          <w:szCs w:val="22"/>
        </w:rPr>
        <w:t xml:space="preserve">Bankable feasibility PDF export with full disclosure (suitable for investor / lender)</w:t>
      </w:r>
    </w:p>
    <w:p>
      <w:pPr>
        <w:pStyle w:val="Heading2"/>
        <w:spacing w:after="120" w:before="360"/>
      </w:pPr>
      <w:r>
        <w:t xml:space="preserve">4.10 Investment Planner (per-building) tab</w:t>
      </w:r>
    </w:p>
    <w:p>
      <w:pPr>
        <w:spacing w:after="100" w:before="60"/>
      </w:pPr>
      <w:r>
        <w:rPr>
          <w:color w:val="09090B"/>
          <w:sz w:val="22"/>
          <w:szCs w:val="22"/>
        </w:rPr>
        <w:t xml:space="preserve">A focused intervention planner per building.</w:t>
      </w:r>
    </w:p>
    <w:p>
      <w:pPr>
        <w:pStyle w:val="Heading3"/>
        <w:spacing w:after="80" w:before="240"/>
      </w:pPr>
      <w:r>
        <w:t xml:space="preserve">Adding interventions</w:t>
      </w:r>
    </w:p>
    <w:p>
      <w:pPr>
        <w:spacing w:after="100" w:before="60"/>
      </w:pPr>
      <w:r>
        <w:rPr>
          <w:color w:val="09090B"/>
          <w:sz w:val="22"/>
          <w:szCs w:val="22"/>
        </w:rPr>
        <w:t xml:space="preserve">"Add intervention" form — title, category (LED / HVAC / Solar / Insulation / BMS / Other), CapEx (in regional currency), expected annual saving.</w:t>
      </w:r>
    </w:p>
    <w:p>
      <w:pPr>
        <w:pStyle w:val="Heading3"/>
        <w:spacing w:after="80" w:before="240"/>
      </w:pPr>
      <w:r>
        <w:t xml:space="preserve">Intervention table</w:t>
      </w:r>
    </w:p>
    <w:p>
      <w:pPr>
        <w:spacing w:after="100" w:before="60"/>
      </w:pPr>
      <w:r>
        <w:rPr>
          <w:color w:val="09090B"/>
          <w:sz w:val="22"/>
          <w:szCs w:val="22"/>
        </w:rPr>
        <w:t xml:space="preserve">Each row shows: title · category · CapEx · annual saving · simple payback · 10-year NPV · priority badge.</w:t>
      </w:r>
    </w:p>
    <w:p>
      <w:pPr>
        <w:pStyle w:val="Heading3"/>
        <w:spacing w:after="80" w:before="240"/>
      </w:pPr>
      <w:r>
        <w:t xml:space="preserve">AI rank</w:t>
      </w:r>
    </w:p>
    <w:p>
      <w:pPr>
        <w:spacing w:after="100" w:before="60"/>
      </w:pPr>
      <w:r>
        <w:rPr>
          <w:color w:val="09090B"/>
          <w:sz w:val="22"/>
          <w:szCs w:val="22"/>
        </w:rPr>
        <w:t xml:space="preserve">"Rank with AI" button — GPT-4o-mini orders the interventions by cost-effectiveness and dependency (e.g. it knows BMS optimisation should come before HVAC upgrade). Sets the priority badge.</w:t>
      </w:r>
    </w:p>
    <w:p>
      <w:pPr>
        <w:pStyle w:val="Heading3"/>
        <w:spacing w:after="80" w:before="240"/>
      </w:pPr>
      <w:r>
        <w:t xml:space="preserve">Visuals</w:t>
      </w:r>
    </w:p>
    <w:p>
      <w:pPr>
        <w:pStyle w:val="ListParagraph"/>
        <w:numPr>
          <w:ilvl w:val="0"/>
          <w:numId w:val="1"/>
        </w:numPr>
        <w:spacing w:after="40" w:before="40"/>
      </w:pPr>
      <w:r>
        <w:rPr>
          <w:color w:val="09090B"/>
          <w:sz w:val="22"/>
          <w:szCs w:val="22"/>
        </w:rPr>
        <w:t xml:space="preserve">Scatter chart — CapEx (x) vs CO₂ reduction (y) — bigger bubble = bigger annual saving</w:t>
      </w:r>
    </w:p>
    <w:p>
      <w:pPr>
        <w:pStyle w:val="ListParagraph"/>
        <w:numPr>
          <w:ilvl w:val="0"/>
          <w:numId w:val="1"/>
        </w:numPr>
        <w:spacing w:after="40" w:before="40"/>
      </w:pPr>
      <w:r>
        <w:rPr>
          <w:color w:val="09090B"/>
          <w:sz w:val="22"/>
          <w:szCs w:val="22"/>
        </w:rPr>
        <w:t xml:space="preserve">Quick wins card (&lt; 2 year payback)</w:t>
      </w:r>
    </w:p>
    <w:p>
      <w:pPr>
        <w:pStyle w:val="ListParagraph"/>
        <w:numPr>
          <w:ilvl w:val="0"/>
          <w:numId w:val="1"/>
        </w:numPr>
        <w:spacing w:after="40" w:before="40"/>
      </w:pPr>
      <w:r>
        <w:rPr>
          <w:color w:val="09090B"/>
          <w:sz w:val="22"/>
          <w:szCs w:val="22"/>
        </w:rPr>
        <w:t xml:space="preserve">Risk cards for interventions with NPV &lt; 0</w:t>
      </w:r>
    </w:p>
    <w:p>
      <w:pPr>
        <w:pStyle w:val="ListParagraph"/>
        <w:numPr>
          <w:ilvl w:val="0"/>
          <w:numId w:val="1"/>
        </w:numPr>
        <w:spacing w:after="40" w:before="40"/>
      </w:pPr>
      <w:r>
        <w:rPr>
          <w:color w:val="09090B"/>
          <w:sz w:val="22"/>
          <w:szCs w:val="22"/>
        </w:rPr>
        <w:t xml:space="preserve">Implementation sequence list — ordered timeline based on AI rank</w:t>
      </w:r>
    </w:p>
    <w:p>
      <w:pPr>
        <w:pStyle w:val="ListParagraph"/>
        <w:numPr>
          <w:ilvl w:val="0"/>
          <w:numId w:val="1"/>
        </w:numPr>
        <w:spacing w:after="40" w:before="40"/>
      </w:pPr>
      <w:r>
        <w:rPr>
          <w:color w:val="09090B"/>
          <w:sz w:val="22"/>
          <w:szCs w:val="22"/>
        </w:rPr>
        <w:t xml:space="preserve">4 KPI cards — total CapEx · total annual saving · weighted payback · total CO₂ avoided</w:t>
      </w:r>
    </w:p>
    <w:p>
      <w:pPr>
        <w:pStyle w:val="Heading2"/>
        <w:spacing w:after="120" w:before="360"/>
      </w:pPr>
      <w:r>
        <w:t xml:space="preserve">4.11 Documents tab</w:t>
      </w:r>
    </w:p>
    <w:p>
      <w:pPr>
        <w:spacing w:after="100" w:before="60"/>
      </w:pPr>
      <w:r>
        <w:rPr>
          <w:color w:val="09090B"/>
          <w:sz w:val="22"/>
          <w:szCs w:val="22"/>
        </w:rPr>
        <w:t xml:space="preserve">A repository for building-specific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37272" w:color="auto" w:val="clear"/>
            <w:tcMar>
              <w:top w:type="dxa" w:w="80"/>
              <w:left w:type="dxa" w:w="120"/>
              <w:bottom w:type="dxa" w:w="80"/>
              <w:right w:type="dxa" w:w="120"/>
            </w:tcMar>
            <w:vAlign w:val="center"/>
          </w:tcPr>
          <w:p>
            <w:r>
              <w:rPr>
                <w:b/>
                <w:bCs/>
                <w:color w:val="FFFFFF"/>
                <w:sz w:val="20"/>
                <w:szCs w:val="20"/>
              </w:rPr>
              <w:t xml:space="preserve">Document type</w:t>
            </w:r>
          </w:p>
        </w:tc>
        <w:tc>
          <w:tcPr>
            <w:tcW w:type="dxa" w:w="4500"/>
            <w:shd w:fill="037272"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4500"/>
            <w:tcMar>
              <w:top w:type="dxa" w:w="80"/>
              <w:left w:type="dxa" w:w="120"/>
              <w:bottom w:type="dxa" w:w="80"/>
              <w:right w:type="dxa" w:w="120"/>
            </w:tcMar>
            <w:vAlign w:val="center"/>
          </w:tcPr>
          <w:p>
            <w:r>
              <w:rPr>
                <w:color w:val="09090B"/>
                <w:sz w:val="20"/>
                <w:szCs w:val="20"/>
              </w:rPr>
              <w:t xml:space="preserve">EPC Certificate</w:t>
            </w:r>
          </w:p>
        </w:tc>
        <w:tc>
          <w:tcPr>
            <w:tcW w:type="dxa" w:w="4500"/>
            <w:tcMar>
              <w:top w:type="dxa" w:w="80"/>
              <w:left w:type="dxa" w:w="120"/>
              <w:bottom w:type="dxa" w:w="80"/>
              <w:right w:type="dxa" w:w="120"/>
            </w:tcMar>
            <w:vAlign w:val="center"/>
          </w:tcPr>
          <w:p>
            <w:r>
              <w:rPr>
                <w:color w:val="09090B"/>
                <w:sz w:val="20"/>
                <w:szCs w:val="20"/>
              </w:rPr>
              <w:t xml:space="preserve">UK Energy Performance Certificate — has expiry date</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BREEAM Report</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Detailed BREEAM rating documentation</w:t>
            </w:r>
          </w:p>
        </w:tc>
      </w:tr>
      <w:tr>
        <w:tc>
          <w:tcPr>
            <w:tcW w:type="dxa" w:w="4500"/>
            <w:tcMar>
              <w:top w:type="dxa" w:w="80"/>
              <w:left w:type="dxa" w:w="120"/>
              <w:bottom w:type="dxa" w:w="80"/>
              <w:right w:type="dxa" w:w="120"/>
            </w:tcMar>
            <w:vAlign w:val="center"/>
          </w:tcPr>
          <w:p>
            <w:r>
              <w:rPr>
                <w:color w:val="09090B"/>
                <w:sz w:val="20"/>
                <w:szCs w:val="20"/>
              </w:rPr>
              <w:t xml:space="preserve">Inspection Report</w:t>
            </w:r>
          </w:p>
        </w:tc>
        <w:tc>
          <w:tcPr>
            <w:tcW w:type="dxa" w:w="4500"/>
            <w:tcMar>
              <w:top w:type="dxa" w:w="80"/>
              <w:left w:type="dxa" w:w="120"/>
              <w:bottom w:type="dxa" w:w="80"/>
              <w:right w:type="dxa" w:w="120"/>
            </w:tcMar>
            <w:vAlign w:val="center"/>
          </w:tcPr>
          <w:p>
            <w:r>
              <w:rPr>
                <w:color w:val="09090B"/>
                <w:sz w:val="20"/>
                <w:szCs w:val="20"/>
              </w:rPr>
              <w:t xml:space="preserve">Fire safety, electrical, structural</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Maintenance Log</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HVAC / lifts / electrical scheduled work</w:t>
            </w:r>
          </w:p>
        </w:tc>
      </w:tr>
      <w:tr>
        <w:tc>
          <w:tcPr>
            <w:tcW w:type="dxa" w:w="4500"/>
            <w:tcMar>
              <w:top w:type="dxa" w:w="80"/>
              <w:left w:type="dxa" w:w="120"/>
              <w:bottom w:type="dxa" w:w="80"/>
              <w:right w:type="dxa" w:w="120"/>
            </w:tcMar>
            <w:vAlign w:val="center"/>
          </w:tcPr>
          <w:p>
            <w:r>
              <w:rPr>
                <w:color w:val="09090B"/>
                <w:sz w:val="20"/>
                <w:szCs w:val="20"/>
              </w:rPr>
              <w:t xml:space="preserve">Lease</w:t>
            </w:r>
          </w:p>
        </w:tc>
        <w:tc>
          <w:tcPr>
            <w:tcW w:type="dxa" w:w="4500"/>
            <w:tcMar>
              <w:top w:type="dxa" w:w="80"/>
              <w:left w:type="dxa" w:w="120"/>
              <w:bottom w:type="dxa" w:w="80"/>
              <w:right w:type="dxa" w:w="120"/>
            </w:tcMar>
            <w:vAlign w:val="center"/>
          </w:tcPr>
          <w:p>
            <w:r>
              <w:rPr>
                <w:color w:val="09090B"/>
                <w:sz w:val="20"/>
                <w:szCs w:val="20"/>
              </w:rPr>
              <w:t xml:space="preserve">Tenant lease document</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Planning Document</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Planning permission, change-of-use, etc.</w:t>
            </w:r>
          </w:p>
        </w:tc>
      </w:tr>
      <w:tr>
        <w:tc>
          <w:tcPr>
            <w:tcW w:type="dxa" w:w="4500"/>
            <w:tcMar>
              <w:top w:type="dxa" w:w="80"/>
              <w:left w:type="dxa" w:w="120"/>
              <w:bottom w:type="dxa" w:w="80"/>
              <w:right w:type="dxa" w:w="120"/>
            </w:tcMar>
            <w:vAlign w:val="center"/>
          </w:tcPr>
          <w:p>
            <w:r>
              <w:rPr>
                <w:color w:val="09090B"/>
                <w:sz w:val="20"/>
                <w:szCs w:val="20"/>
              </w:rPr>
              <w:t xml:space="preserve">Other</w:t>
            </w:r>
          </w:p>
        </w:tc>
        <w:tc>
          <w:tcPr>
            <w:tcW w:type="dxa" w:w="4500"/>
            <w:tcMar>
              <w:top w:type="dxa" w:w="80"/>
              <w:left w:type="dxa" w:w="120"/>
              <w:bottom w:type="dxa" w:w="80"/>
              <w:right w:type="dxa" w:w="120"/>
            </w:tcMar>
            <w:vAlign w:val="center"/>
          </w:tcPr>
          <w:p>
            <w:r>
              <w:rPr>
                <w:color w:val="09090B"/>
                <w:sz w:val="20"/>
                <w:szCs w:val="20"/>
              </w:rPr>
              <w:t xml:space="preserve">Anything else</w:t>
            </w:r>
          </w:p>
        </w:tc>
      </w:tr>
    </w:tbl>
    <w:p>
      <w:pPr>
        <w:pStyle w:val="Heading3"/>
        <w:spacing w:after="80" w:before="240"/>
      </w:pPr>
      <w:r>
        <w:t xml:space="preserve">Uploading</w:t>
      </w:r>
    </w:p>
    <w:p>
      <w:pPr>
        <w:spacing w:after="100" w:before="60"/>
      </w:pPr>
      <w:r>
        <w:rPr>
          <w:color w:val="09090B"/>
          <w:sz w:val="22"/>
          <w:szCs w:val="22"/>
        </w:rPr>
        <w:t xml:space="preserve">"Upload" button opens a modal with drag-drop file area, type dropdown, title field, optional expiry date. Max file size: 50 MB. Files store to AWS S3, encrypted at rest.</w:t>
      </w:r>
    </w:p>
    <w:p>
      <w:pPr>
        <w:pStyle w:val="Heading3"/>
        <w:spacing w:after="80" w:before="240"/>
      </w:pPr>
      <w:r>
        <w:t xml:space="preserve">Expiry badges</w:t>
      </w:r>
    </w:p>
    <w:p>
      <w:pPr>
        <w:pStyle w:val="ListParagraph"/>
        <w:numPr>
          <w:ilvl w:val="0"/>
          <w:numId w:val="1"/>
        </w:numPr>
        <w:spacing w:after="40" w:before="40"/>
      </w:pPr>
      <w:r>
        <w:rPr>
          <w:color w:val="09090B"/>
          <w:sz w:val="22"/>
          <w:szCs w:val="22"/>
        </w:rPr>
        <w:t xml:space="preserve">Green — valid, expiry in &gt; 6 months</w:t>
      </w:r>
    </w:p>
    <w:p>
      <w:pPr>
        <w:pStyle w:val="ListParagraph"/>
        <w:numPr>
          <w:ilvl w:val="0"/>
          <w:numId w:val="1"/>
        </w:numPr>
        <w:spacing w:after="40" w:before="40"/>
      </w:pPr>
      <w:r>
        <w:rPr>
          <w:color w:val="09090B"/>
          <w:sz w:val="22"/>
          <w:szCs w:val="22"/>
        </w:rPr>
        <w:t xml:space="preserve">Amber — expiring within 6 months</w:t>
      </w:r>
    </w:p>
    <w:p>
      <w:pPr>
        <w:pStyle w:val="ListParagraph"/>
        <w:numPr>
          <w:ilvl w:val="0"/>
          <w:numId w:val="1"/>
        </w:numPr>
        <w:spacing w:after="40" w:before="40"/>
      </w:pPr>
      <w:r>
        <w:rPr>
          <w:color w:val="09090B"/>
          <w:sz w:val="22"/>
          <w:szCs w:val="22"/>
        </w:rPr>
        <w:t xml:space="preserve">Red — expired (or no expiry tracked when one is expected)</w:t>
      </w:r>
    </w:p>
    <w:p>
      <w:pPr>
        <w:pStyle w:val="Heading3"/>
        <w:spacing w:after="80" w:before="240"/>
      </w:pPr>
      <w:r>
        <w:t xml:space="preserve">Download / delete</w:t>
      </w:r>
    </w:p>
    <w:p>
      <w:pPr>
        <w:spacing w:after="100" w:before="60"/>
      </w:pPr>
      <w:r>
        <w:rPr>
          <w:color w:val="09090B"/>
          <w:sz w:val="22"/>
          <w:szCs w:val="22"/>
        </w:rPr>
        <w:t xml:space="preserve">Each row has a download icon (generates a presigned S3 URL valid 5 minutes) and a delete icon (ConfirmDialog before action; soft-delete in DB, S3 object removed).</w:t>
      </w:r>
    </w:p>
    <w:p>
      <w:r>
        <w:br w:type="page"/>
      </w:r>
    </w:p>
    <w:p>
      <w:pPr>
        <w:pStyle w:val="Heading1"/>
        <w:pBdr>
          <w:bottom w:val="single" w:color="037272" w:sz="8" w:space="4"/>
        </w:pBdr>
        <w:spacing w:after="160" w:before="480"/>
      </w:pPr>
      <w:r>
        <w:t xml:space="preserve">5. Status Manager (Alerts)</w:t>
      </w:r>
    </w:p>
    <w:p>
      <w:pPr>
        <w:spacing w:after="100" w:before="60"/>
      </w:pPr>
      <w:r>
        <w:rPr>
          <w:color w:val="09090B"/>
          <w:sz w:val="22"/>
          <w:szCs w:val="22"/>
        </w:rPr>
        <w:t xml:space="preserve">The Status Manager at /alerts is where every alert in the workspace lands. Two tabs: Active Alerts and Historical Alerts.</w:t>
      </w:r>
    </w:p>
    <w:p>
      <w:pPr>
        <w:pStyle w:val="Heading2"/>
        <w:spacing w:after="120" w:before="360"/>
      </w:pPr>
      <w:r>
        <w:t xml:space="preserve">5.1 Alert tier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037272" w:color="auto" w:val="clear"/>
            <w:tcMar>
              <w:top w:type="dxa" w:w="80"/>
              <w:left w:type="dxa" w:w="120"/>
              <w:bottom w:type="dxa" w:w="80"/>
              <w:right w:type="dxa" w:w="120"/>
            </w:tcMar>
            <w:vAlign w:val="center"/>
          </w:tcPr>
          <w:p>
            <w:r>
              <w:rPr>
                <w:b/>
                <w:bCs/>
                <w:color w:val="FFFFFF"/>
                <w:sz w:val="20"/>
                <w:szCs w:val="20"/>
              </w:rPr>
              <w:t xml:space="preserve">Tier</w:t>
            </w:r>
          </w:p>
        </w:tc>
        <w:tc>
          <w:tcPr>
            <w:tcW w:type="dxa" w:w="1800"/>
            <w:shd w:fill="037272" w:color="auto" w:val="clear"/>
            <w:tcMar>
              <w:top w:type="dxa" w:w="80"/>
              <w:left w:type="dxa" w:w="120"/>
              <w:bottom w:type="dxa" w:w="80"/>
              <w:right w:type="dxa" w:w="120"/>
            </w:tcMar>
            <w:vAlign w:val="center"/>
          </w:tcPr>
          <w:p>
            <w:r>
              <w:rPr>
                <w:b/>
                <w:bCs/>
                <w:color w:val="FFFFFF"/>
                <w:sz w:val="20"/>
                <w:szCs w:val="20"/>
              </w:rPr>
              <w:t xml:space="preserve">Stored as</w:t>
            </w:r>
          </w:p>
        </w:tc>
        <w:tc>
          <w:tcPr>
            <w:tcW w:type="dxa" w:w="1800"/>
            <w:shd w:fill="037272" w:color="auto" w:val="clear"/>
            <w:tcMar>
              <w:top w:type="dxa" w:w="80"/>
              <w:left w:type="dxa" w:w="120"/>
              <w:bottom w:type="dxa" w:w="80"/>
              <w:right w:type="dxa" w:w="120"/>
            </w:tcMar>
            <w:vAlign w:val="center"/>
          </w:tcPr>
          <w:p>
            <w:r>
              <w:rPr>
                <w:b/>
                <w:bCs/>
                <w:color w:val="FFFFFF"/>
                <w:sz w:val="20"/>
                <w:szCs w:val="20"/>
              </w:rPr>
              <w:t xml:space="preserve">Border style</w:t>
            </w:r>
          </w:p>
        </w:tc>
        <w:tc>
          <w:tcPr>
            <w:tcW w:type="dxa" w:w="1800"/>
            <w:shd w:fill="037272" w:color="auto" w:val="clear"/>
            <w:tcMar>
              <w:top w:type="dxa" w:w="80"/>
              <w:left w:type="dxa" w:w="120"/>
              <w:bottom w:type="dxa" w:w="80"/>
              <w:right w:type="dxa" w:w="120"/>
            </w:tcMar>
            <w:vAlign w:val="center"/>
          </w:tcPr>
          <w:p>
            <w:r>
              <w:rPr>
                <w:b/>
                <w:bCs/>
                <w:color w:val="FFFFFF"/>
                <w:sz w:val="20"/>
                <w:szCs w:val="20"/>
              </w:rPr>
              <w:t xml:space="preserve">Auto-email SLA</w:t>
            </w:r>
          </w:p>
        </w:tc>
        <w:tc>
          <w:tcPr>
            <w:tcW w:type="dxa" w:w="1800"/>
            <w:shd w:fill="037272" w:color="auto" w:val="clear"/>
            <w:tcMar>
              <w:top w:type="dxa" w:w="80"/>
              <w:left w:type="dxa" w:w="120"/>
              <w:bottom w:type="dxa" w:w="80"/>
              <w:right w:type="dxa" w:w="120"/>
            </w:tcMar>
            <w:vAlign w:val="center"/>
          </w:tcPr>
          <w:p>
            <w:r>
              <w:rPr>
                <w:b/>
                <w:bCs/>
                <w:color w:val="FFFFFF"/>
                <w:sz w:val="20"/>
                <w:szCs w:val="20"/>
              </w:rPr>
              <w:t xml:space="preserve">Categories</w:t>
            </w:r>
          </w:p>
        </w:tc>
      </w:tr>
      <w:tr>
        <w:tc>
          <w:tcPr>
            <w:tcW w:type="dxa" w:w="1800"/>
            <w:tcMar>
              <w:top w:type="dxa" w:w="80"/>
              <w:left w:type="dxa" w:w="120"/>
              <w:bottom w:type="dxa" w:w="80"/>
              <w:right w:type="dxa" w:w="120"/>
            </w:tcMar>
            <w:vAlign w:val="center"/>
          </w:tcPr>
          <w:p>
            <w:r>
              <w:rPr>
                <w:color w:val="09090B"/>
                <w:sz w:val="20"/>
                <w:szCs w:val="20"/>
              </w:rPr>
              <w:t xml:space="preserve">Tier 1</w:t>
            </w:r>
          </w:p>
        </w:tc>
        <w:tc>
          <w:tcPr>
            <w:tcW w:type="dxa" w:w="1800"/>
            <w:tcMar>
              <w:top w:type="dxa" w:w="80"/>
              <w:left w:type="dxa" w:w="120"/>
              <w:bottom w:type="dxa" w:w="80"/>
              <w:right w:type="dxa" w:w="120"/>
            </w:tcMar>
            <w:vAlign w:val="center"/>
          </w:tcPr>
          <w:p>
            <w:r>
              <w:rPr>
                <w:color w:val="09090B"/>
                <w:sz w:val="20"/>
                <w:szCs w:val="20"/>
              </w:rPr>
              <w:t xml:space="preserve">alerts.tier = 1</w:t>
            </w:r>
          </w:p>
        </w:tc>
        <w:tc>
          <w:tcPr>
            <w:tcW w:type="dxa" w:w="1800"/>
            <w:tcMar>
              <w:top w:type="dxa" w:w="80"/>
              <w:left w:type="dxa" w:w="120"/>
              <w:bottom w:type="dxa" w:w="80"/>
              <w:right w:type="dxa" w:w="120"/>
            </w:tcMar>
            <w:vAlign w:val="center"/>
          </w:tcPr>
          <w:p>
            <w:r>
              <w:rPr>
                <w:color w:val="09090B"/>
                <w:sz w:val="20"/>
                <w:szCs w:val="20"/>
              </w:rPr>
              <w:t xml:space="preserve">Red, pulsing 2s loop</w:t>
            </w:r>
          </w:p>
        </w:tc>
        <w:tc>
          <w:tcPr>
            <w:tcW w:type="dxa" w:w="1800"/>
            <w:tcMar>
              <w:top w:type="dxa" w:w="80"/>
              <w:left w:type="dxa" w:w="120"/>
              <w:bottom w:type="dxa" w:w="80"/>
              <w:right w:type="dxa" w:w="120"/>
            </w:tcMar>
            <w:vAlign w:val="center"/>
          </w:tcPr>
          <w:p>
            <w:r>
              <w:rPr>
                <w:color w:val="09090B"/>
                <w:sz w:val="20"/>
                <w:szCs w:val="20"/>
              </w:rPr>
              <w:t xml:space="preserve">&lt; 60 seconds</w:t>
            </w:r>
          </w:p>
        </w:tc>
        <w:tc>
          <w:tcPr>
            <w:tcW w:type="dxa" w:w="1800"/>
            <w:tcMar>
              <w:top w:type="dxa" w:w="80"/>
              <w:left w:type="dxa" w:w="120"/>
              <w:bottom w:type="dxa" w:w="80"/>
              <w:right w:type="dxa" w:w="120"/>
            </w:tcMar>
            <w:vAlign w:val="center"/>
          </w:tcPr>
          <w:p>
            <w:r>
              <w:rPr>
                <w:color w:val="09090B"/>
                <w:sz w:val="20"/>
                <w:szCs w:val="20"/>
              </w:rPr>
              <w:t xml:space="preserve">fire · security · gas · critical_equipment</w:t>
            </w:r>
          </w:p>
        </w:tc>
      </w:tr>
      <w:tr>
        <w:tc>
          <w:tcPr>
            <w:tcW w:type="dxa" w:w="1800"/>
            <w:shd w:fill="F4F4F5" w:color="auto" w:val="clear"/>
            <w:tcMar>
              <w:top w:type="dxa" w:w="80"/>
              <w:left w:type="dxa" w:w="120"/>
              <w:bottom w:type="dxa" w:w="80"/>
              <w:right w:type="dxa" w:w="120"/>
            </w:tcMar>
            <w:vAlign w:val="center"/>
          </w:tcPr>
          <w:p>
            <w:r>
              <w:rPr>
                <w:color w:val="09090B"/>
                <w:sz w:val="20"/>
                <w:szCs w:val="20"/>
              </w:rPr>
              <w:t xml:space="preserve">Tier 2</w:t>
            </w:r>
          </w:p>
        </w:tc>
        <w:tc>
          <w:tcPr>
            <w:tcW w:type="dxa" w:w="1800"/>
            <w:shd w:fill="F4F4F5" w:color="auto" w:val="clear"/>
            <w:tcMar>
              <w:top w:type="dxa" w:w="80"/>
              <w:left w:type="dxa" w:w="120"/>
              <w:bottom w:type="dxa" w:w="80"/>
              <w:right w:type="dxa" w:w="120"/>
            </w:tcMar>
            <w:vAlign w:val="center"/>
          </w:tcPr>
          <w:p>
            <w:r>
              <w:rPr>
                <w:color w:val="09090B"/>
                <w:sz w:val="20"/>
                <w:szCs w:val="20"/>
              </w:rPr>
              <w:t xml:space="preserve">alerts.tier = 2</w:t>
            </w:r>
          </w:p>
        </w:tc>
        <w:tc>
          <w:tcPr>
            <w:tcW w:type="dxa" w:w="1800"/>
            <w:shd w:fill="F4F4F5" w:color="auto" w:val="clear"/>
            <w:tcMar>
              <w:top w:type="dxa" w:w="80"/>
              <w:left w:type="dxa" w:w="120"/>
              <w:bottom w:type="dxa" w:w="80"/>
              <w:right w:type="dxa" w:w="120"/>
            </w:tcMar>
            <w:vAlign w:val="center"/>
          </w:tcPr>
          <w:p>
            <w:r>
              <w:rPr>
                <w:color w:val="09090B"/>
                <w:sz w:val="20"/>
                <w:szCs w:val="20"/>
              </w:rPr>
              <w:t xml:space="preserve">Amber, static</w:t>
            </w:r>
          </w:p>
        </w:tc>
        <w:tc>
          <w:tcPr>
            <w:tcW w:type="dxa" w:w="1800"/>
            <w:shd w:fill="F4F4F5" w:color="auto" w:val="clear"/>
            <w:tcMar>
              <w:top w:type="dxa" w:w="80"/>
              <w:left w:type="dxa" w:w="120"/>
              <w:bottom w:type="dxa" w:w="80"/>
              <w:right w:type="dxa" w:w="120"/>
            </w:tcMar>
            <w:vAlign w:val="center"/>
          </w:tcPr>
          <w:p>
            <w:r>
              <w:rPr>
                <w:color w:val="09090B"/>
                <w:sz w:val="20"/>
                <w:szCs w:val="20"/>
              </w:rPr>
              <w:t xml:space="preserve">&lt; 5 minutes</w:t>
            </w:r>
          </w:p>
        </w:tc>
        <w:tc>
          <w:tcPr>
            <w:tcW w:type="dxa" w:w="1800"/>
            <w:shd w:fill="F4F4F5" w:color="auto" w:val="clear"/>
            <w:tcMar>
              <w:top w:type="dxa" w:w="80"/>
              <w:left w:type="dxa" w:w="120"/>
              <w:bottom w:type="dxa" w:w="80"/>
              <w:right w:type="dxa" w:w="120"/>
            </w:tcMar>
            <w:vAlign w:val="center"/>
          </w:tcPr>
          <w:p>
            <w:r>
              <w:rPr>
                <w:color w:val="09090B"/>
                <w:sz w:val="20"/>
                <w:szCs w:val="20"/>
              </w:rPr>
              <w:t xml:space="preserve">hvac · energy · water · other</w:t>
            </w:r>
          </w:p>
        </w:tc>
      </w:tr>
    </w:tbl>
    <w:p>
      <w:pPr>
        <w:pBdr>
          <w:left w:val="single" w:color="B91C1C" w:sz="12" w:space="4"/>
        </w:pBdr>
        <w:shd w:fill="FEF2F2" w:color="auto" w:val="clear"/>
        <w:spacing w:after="80" w:before="80"/>
        <w:ind w:left="200" w:right="200"/>
      </w:pPr>
      <w:r>
        <w:rPr>
          <w:b/>
          <w:bCs/>
          <w:color w:val="B91C1C"/>
          <w:sz w:val="20"/>
          <w:szCs w:val="20"/>
        </w:rPr>
        <w:t xml:space="preserve">Warning: </w:t>
      </w:r>
      <w:r>
        <w:rPr>
          <w:color w:val="52525B"/>
          <w:sz w:val="20"/>
          <w:szCs w:val="20"/>
        </w:rPr>
        <w:t xml:space="preserve">Every alert sends emails automatically via Resend the moment it is created. There is no manual "Send Alert" button anywhere in the platform. Recipients are configured in Settings → Notifications.</w:t>
      </w:r>
    </w:p>
    <w:p>
      <w:pPr>
        <w:pStyle w:val="Heading2"/>
        <w:spacing w:after="120" w:before="360"/>
      </w:pPr>
      <w:r>
        <w:t xml:space="preserve">5.2 Active Alerts tab</w:t>
      </w:r>
    </w:p>
    <w:p>
      <w:pPr>
        <w:pStyle w:val="Heading3"/>
        <w:spacing w:after="80" w:before="240"/>
      </w:pPr>
      <w:r>
        <w:t xml:space="preserve">Filters</w:t>
      </w:r>
    </w:p>
    <w:p>
      <w:pPr>
        <w:pStyle w:val="ListParagraph"/>
        <w:numPr>
          <w:ilvl w:val="0"/>
          <w:numId w:val="1"/>
        </w:numPr>
        <w:spacing w:after="40" w:before="40"/>
      </w:pPr>
      <w:r>
        <w:rPr>
          <w:color w:val="09090B"/>
          <w:sz w:val="22"/>
          <w:szCs w:val="22"/>
        </w:rPr>
        <w:t xml:space="preserve">Tier — All / T1 only / T2 only</w:t>
      </w:r>
    </w:p>
    <w:p>
      <w:pPr>
        <w:pStyle w:val="ListParagraph"/>
        <w:numPr>
          <w:ilvl w:val="0"/>
          <w:numId w:val="1"/>
        </w:numPr>
        <w:spacing w:after="40" w:before="40"/>
      </w:pPr>
      <w:r>
        <w:rPr>
          <w:color w:val="09090B"/>
          <w:sz w:val="22"/>
          <w:szCs w:val="22"/>
        </w:rPr>
        <w:t xml:space="preserve">Category — Fire, Security, Gas, Critical Equipment, HVAC, Energy, Water, Other</w:t>
      </w:r>
    </w:p>
    <w:p>
      <w:pPr>
        <w:pStyle w:val="ListParagraph"/>
        <w:numPr>
          <w:ilvl w:val="0"/>
          <w:numId w:val="1"/>
        </w:numPr>
        <w:spacing w:after="40" w:before="40"/>
      </w:pPr>
      <w:r>
        <w:rPr>
          <w:color w:val="09090B"/>
          <w:sz w:val="22"/>
          <w:szCs w:val="22"/>
        </w:rPr>
        <w:t xml:space="preserve">Asset — multi-select building filter</w:t>
      </w:r>
    </w:p>
    <w:p>
      <w:pPr>
        <w:pStyle w:val="Heading3"/>
        <w:spacing w:after="80" w:before="240"/>
      </w:pPr>
      <w:r>
        <w:t xml:space="preserve">Summary strip</w:t>
      </w:r>
    </w:p>
    <w:p>
      <w:pPr>
        <w:spacing w:after="100" w:before="60"/>
      </w:pPr>
      <w:r>
        <w:rPr>
          <w:color w:val="09090B"/>
          <w:sz w:val="22"/>
          <w:szCs w:val="22"/>
        </w:rPr>
        <w:t xml:space="preserve">Top of the tab shows: Tier 1 count · Tier 2 count · Total · "Last triggered" with relative timestamp.</w:t>
      </w:r>
    </w:p>
    <w:p>
      <w:pPr>
        <w:pStyle w:val="Heading3"/>
        <w:spacing w:after="80" w:before="240"/>
      </w:pPr>
      <w:r>
        <w:t xml:space="preserve">Alert card layout</w:t>
      </w:r>
    </w:p>
    <w:p>
      <w:pPr>
        <w:spacing w:after="100" w:before="60"/>
      </w:pPr>
      <w:r>
        <w:rPr>
          <w:color w:val="09090B"/>
          <w:sz w:val="22"/>
          <w:szCs w:val="22"/>
        </w:rPr>
        <w:t xml:space="preserve">Each card shows:</w:t>
      </w:r>
    </w:p>
    <w:p>
      <w:pPr>
        <w:pStyle w:val="ListParagraph"/>
        <w:numPr>
          <w:ilvl w:val="0"/>
          <w:numId w:val="1"/>
        </w:numPr>
        <w:spacing w:after="40" w:before="40"/>
      </w:pPr>
      <w:r>
        <w:rPr>
          <w:color w:val="09090B"/>
          <w:sz w:val="22"/>
          <w:szCs w:val="22"/>
        </w:rPr>
        <w:t xml:space="preserve">Tier badge (red T1 with pulsing border, or amber T2)</w:t>
      </w:r>
    </w:p>
    <w:p>
      <w:pPr>
        <w:pStyle w:val="ListParagraph"/>
        <w:numPr>
          <w:ilvl w:val="0"/>
          <w:numId w:val="1"/>
        </w:numPr>
        <w:spacing w:after="40" w:before="40"/>
      </w:pPr>
      <w:r>
        <w:rPr>
          <w:color w:val="09090B"/>
          <w:sz w:val="22"/>
          <w:szCs w:val="22"/>
        </w:rPr>
        <w:t xml:space="preserve">Category icon (flame for fire, shield for security, etc.)</w:t>
      </w:r>
    </w:p>
    <w:p>
      <w:pPr>
        <w:pStyle w:val="ListParagraph"/>
        <w:numPr>
          <w:ilvl w:val="0"/>
          <w:numId w:val="1"/>
        </w:numPr>
        <w:spacing w:after="40" w:before="40"/>
      </w:pPr>
      <w:r>
        <w:rPr>
          <w:color w:val="09090B"/>
          <w:sz w:val="22"/>
          <w:szCs w:val="22"/>
        </w:rPr>
        <w:t xml:space="preserve">Title — concise plain-English description</w:t>
      </w:r>
    </w:p>
    <w:p>
      <w:pPr>
        <w:pStyle w:val="ListParagraph"/>
        <w:numPr>
          <w:ilvl w:val="0"/>
          <w:numId w:val="1"/>
        </w:numPr>
        <w:spacing w:after="40" w:before="40"/>
      </w:pPr>
      <w:r>
        <w:rPr>
          <w:color w:val="09090B"/>
          <w:sz w:val="22"/>
          <w:szCs w:val="22"/>
        </w:rPr>
        <w:t xml:space="preserve">Description — full context</w:t>
      </w:r>
    </w:p>
    <w:p>
      <w:pPr>
        <w:pStyle w:val="ListParagraph"/>
        <w:numPr>
          <w:ilvl w:val="0"/>
          <w:numId w:val="1"/>
        </w:numPr>
        <w:spacing w:after="40" w:before="40"/>
      </w:pPr>
      <w:r>
        <w:rPr>
          <w:color w:val="09090B"/>
          <w:sz w:val="22"/>
          <w:szCs w:val="22"/>
        </w:rPr>
        <w:t xml:space="preserve">Location — building name → space name</w:t>
      </w:r>
    </w:p>
    <w:p>
      <w:pPr>
        <w:pStyle w:val="ListParagraph"/>
        <w:numPr>
          <w:ilvl w:val="0"/>
          <w:numId w:val="1"/>
        </w:numPr>
        <w:spacing w:after="40" w:before="40"/>
      </w:pPr>
      <w:r>
        <w:rPr>
          <w:color w:val="09090B"/>
          <w:sz w:val="22"/>
          <w:szCs w:val="22"/>
        </w:rPr>
        <w:t xml:space="preserve">Deviation text — "Setpoint 22°C, actual 28°C — 6°C above setpoint"</w:t>
      </w:r>
    </w:p>
    <w:p>
      <w:pPr>
        <w:pStyle w:val="ListParagraph"/>
        <w:numPr>
          <w:ilvl w:val="0"/>
          <w:numId w:val="1"/>
        </w:numPr>
        <w:spacing w:after="40" w:before="40"/>
      </w:pPr>
      <w:r>
        <w:rPr>
          <w:color w:val="09090B"/>
          <w:sz w:val="22"/>
          <w:szCs w:val="22"/>
        </w:rPr>
        <w:t xml:space="preserve">Notified users — avatar row of people emailed</w:t>
      </w:r>
    </w:p>
    <w:p>
      <w:pPr>
        <w:pStyle w:val="ListParagraph"/>
        <w:numPr>
          <w:ilvl w:val="0"/>
          <w:numId w:val="1"/>
        </w:numPr>
        <w:spacing w:after="40" w:before="40"/>
      </w:pPr>
      <w:r>
        <w:rPr>
          <w:color w:val="09090B"/>
          <w:sz w:val="22"/>
          <w:szCs w:val="22"/>
        </w:rPr>
        <w:t xml:space="preserve">Triggered timestamp + age ("12 min ago")</w:t>
      </w:r>
    </w:p>
    <w:p>
      <w:pPr>
        <w:pStyle w:val="ListParagraph"/>
        <w:numPr>
          <w:ilvl w:val="0"/>
          <w:numId w:val="1"/>
        </w:numPr>
        <w:spacing w:after="40" w:before="40"/>
      </w:pPr>
      <w:r>
        <w:rPr>
          <w:color w:val="09090B"/>
          <w:sz w:val="22"/>
          <w:szCs w:val="22"/>
        </w:rPr>
        <w:t xml:space="preserve">Acknowledge button (opens modal — adds note, updates `acknowledged_at` + `acknowledged_by`)</w:t>
      </w:r>
    </w:p>
    <w:p>
      <w:pPr>
        <w:pStyle w:val="ListParagraph"/>
        <w:numPr>
          <w:ilvl w:val="0"/>
          <w:numId w:val="1"/>
        </w:numPr>
        <w:spacing w:after="40" w:before="40"/>
      </w:pPr>
      <w:r>
        <w:rPr>
          <w:color w:val="09090B"/>
          <w:sz w:val="22"/>
          <w:szCs w:val="22"/>
        </w:rPr>
        <w:t xml:space="preserve">Resolve button (opens modal — adds resolution notes, updates `resolved_at` + `resolved_by`)</w:t>
      </w:r>
    </w:p>
    <w:p>
      <w:pPr>
        <w:pStyle w:val="Heading3"/>
        <w:spacing w:after="80" w:before="240"/>
      </w:pPr>
      <w:r>
        <w:t xml:space="preserve">Real-time updates</w:t>
      </w:r>
    </w:p>
    <w:p>
      <w:pPr>
        <w:spacing w:after="100" w:before="60"/>
      </w:pPr>
      <w:r>
        <w:rPr>
          <w:color w:val="09090B"/>
          <w:sz w:val="22"/>
          <w:szCs w:val="22"/>
        </w:rPr>
        <w:t xml:space="preserve">The tab subscribes to the WebSocket. New alerts arriving anywhere in the workspace trigger:</w:t>
      </w:r>
    </w:p>
    <w:p>
      <w:pPr>
        <w:pStyle w:val="ListParagraph"/>
        <w:numPr>
          <w:ilvl w:val="0"/>
          <w:numId w:val="1"/>
        </w:numPr>
        <w:spacing w:after="40" w:before="40"/>
      </w:pPr>
      <w:r>
        <w:rPr>
          <w:color w:val="09090B"/>
          <w:sz w:val="22"/>
          <w:szCs w:val="22"/>
        </w:rPr>
        <w:t xml:space="preserve">Tier 1 — red toast notification, sound (browser permitting), alert card slides in at top</w:t>
      </w:r>
    </w:p>
    <w:p>
      <w:pPr>
        <w:pStyle w:val="ListParagraph"/>
        <w:numPr>
          <w:ilvl w:val="0"/>
          <w:numId w:val="1"/>
        </w:numPr>
        <w:spacing w:after="40" w:before="40"/>
      </w:pPr>
      <w:r>
        <w:rPr>
          <w:color w:val="09090B"/>
          <w:sz w:val="22"/>
          <w:szCs w:val="22"/>
        </w:rPr>
        <w:t xml:space="preserve">Tier 2 — amber toast notification, card slides in</w:t>
      </w:r>
    </w:p>
    <w:p>
      <w:pPr>
        <w:spacing w:after="100" w:before="60"/>
      </w:pPr>
      <w:r>
        <w:rPr>
          <w:color w:val="09090B"/>
          <w:sz w:val="22"/>
          <w:szCs w:val="22"/>
        </w:rPr>
        <w:t xml:space="preserve">React Query also refetches every 30 seconds as a safety net.</w:t>
      </w:r>
    </w:p>
    <w:p>
      <w:pPr>
        <w:pStyle w:val="Heading2"/>
        <w:spacing w:after="120" w:before="360"/>
      </w:pPr>
      <w:r>
        <w:t xml:space="preserve">5.3 Historical Alerts tab</w:t>
      </w:r>
    </w:p>
    <w:p>
      <w:pPr>
        <w:pStyle w:val="Heading3"/>
        <w:spacing w:after="80" w:before="240"/>
      </w:pPr>
      <w:r>
        <w:t xml:space="preserve">Date range</w:t>
      </w:r>
    </w:p>
    <w:p>
      <w:pPr>
        <w:pStyle w:val="ListParagraph"/>
        <w:numPr>
          <w:ilvl w:val="0"/>
          <w:numId w:val="1"/>
        </w:numPr>
        <w:spacing w:after="40" w:before="40"/>
      </w:pPr>
      <w:r>
        <w:rPr>
          <w:color w:val="09090B"/>
          <w:sz w:val="22"/>
          <w:szCs w:val="22"/>
        </w:rPr>
        <w:t xml:space="preserve">Pre-set: 7 days · 30 days · 90 days</w:t>
      </w:r>
    </w:p>
    <w:p>
      <w:pPr>
        <w:pStyle w:val="ListParagraph"/>
        <w:numPr>
          <w:ilvl w:val="0"/>
          <w:numId w:val="1"/>
        </w:numPr>
        <w:spacing w:after="40" w:before="40"/>
      </w:pPr>
      <w:r>
        <w:rPr>
          <w:color w:val="09090B"/>
          <w:sz w:val="22"/>
          <w:szCs w:val="22"/>
        </w:rPr>
        <w:t xml:space="preserve">Custom — date range picker</w:t>
      </w:r>
    </w:p>
    <w:p>
      <w:pPr>
        <w:pStyle w:val="Heading3"/>
        <w:spacing w:after="80" w:before="240"/>
      </w:pPr>
      <w:r>
        <w:t xml:space="preserve">Filters and aggregates</w:t>
      </w:r>
    </w:p>
    <w:p>
      <w:pPr>
        <w:spacing w:after="100" w:before="60"/>
      </w:pPr>
      <w:r>
        <w:rPr>
          <w:color w:val="09090B"/>
          <w:sz w:val="22"/>
          <w:szCs w:val="22"/>
        </w:rPr>
        <w:t xml:space="preserve">Same tier/category/asset filters as Active. 4 aggregate stat cards summarise the period:</w:t>
      </w:r>
    </w:p>
    <w:p>
      <w:pPr>
        <w:pStyle w:val="ListParagraph"/>
        <w:numPr>
          <w:ilvl w:val="0"/>
          <w:numId w:val="1"/>
        </w:numPr>
        <w:spacing w:after="40" w:before="40"/>
      </w:pPr>
      <w:r>
        <w:rPr>
          <w:color w:val="09090B"/>
          <w:sz w:val="22"/>
          <w:szCs w:val="22"/>
        </w:rPr>
        <w:t xml:space="preserve">Total alerts · Tier 1 count · Tier 2 count · Average time-to-acknowledge</w:t>
      </w:r>
    </w:p>
    <w:p>
      <w:pPr>
        <w:pStyle w:val="Heading3"/>
        <w:spacing w:after="80" w:before="240"/>
      </w:pPr>
      <w:r>
        <w:t xml:space="preserve">Expandable rows + audit timeline</w:t>
      </w:r>
    </w:p>
    <w:p>
      <w:pPr>
        <w:spacing w:after="100" w:before="60"/>
      </w:pPr>
      <w:r>
        <w:rPr>
          <w:color w:val="09090B"/>
          <w:sz w:val="22"/>
          <w:szCs w:val="22"/>
        </w:rPr>
        <w:t xml:space="preserve">Each row expands to reveal the full audit timeline:</w:t>
      </w:r>
    </w:p>
    <w:p>
      <w:pPr>
        <w:pStyle w:val="ListParagraph"/>
        <w:numPr>
          <w:ilvl w:val="0"/>
          <w:numId w:val="1"/>
        </w:numPr>
        <w:spacing w:after="40" w:before="40"/>
      </w:pPr>
      <w:r>
        <w:rPr>
          <w:color w:val="09090B"/>
          <w:sz w:val="22"/>
          <w:szCs w:val="22"/>
        </w:rPr>
        <w:t xml:space="preserve">Triggered</w:t>
      </w:r>
    </w:p>
    <w:p>
      <w:pPr>
        <w:pStyle w:val="ListParagraph"/>
        <w:numPr>
          <w:ilvl w:val="0"/>
          <w:numId w:val="1"/>
        </w:numPr>
        <w:spacing w:after="40" w:before="40"/>
      </w:pPr>
      <w:r>
        <w:rPr>
          <w:color w:val="09090B"/>
          <w:sz w:val="22"/>
          <w:szCs w:val="22"/>
        </w:rPr>
        <w:t xml:space="preserve">Emails sent (list of recipients + timestamp)</w:t>
      </w:r>
    </w:p>
    <w:p>
      <w:pPr>
        <w:pStyle w:val="ListParagraph"/>
        <w:numPr>
          <w:ilvl w:val="0"/>
          <w:numId w:val="1"/>
        </w:numPr>
        <w:spacing w:after="40" w:before="40"/>
      </w:pPr>
      <w:r>
        <w:rPr>
          <w:color w:val="09090B"/>
          <w:sz w:val="22"/>
          <w:szCs w:val="22"/>
        </w:rPr>
        <w:t xml:space="preserve">Acknowledged (who + when + note)</w:t>
      </w:r>
    </w:p>
    <w:p>
      <w:pPr>
        <w:pStyle w:val="ListParagraph"/>
        <w:numPr>
          <w:ilvl w:val="0"/>
          <w:numId w:val="1"/>
        </w:numPr>
        <w:spacing w:after="40" w:before="40"/>
      </w:pPr>
      <w:r>
        <w:rPr>
          <w:color w:val="09090B"/>
          <w:sz w:val="22"/>
          <w:szCs w:val="22"/>
        </w:rPr>
        <w:t xml:space="preserve">Valve commands (if applicable — Novant water alerts log every Open/Close here)</w:t>
      </w:r>
    </w:p>
    <w:p>
      <w:pPr>
        <w:pStyle w:val="ListParagraph"/>
        <w:numPr>
          <w:ilvl w:val="0"/>
          <w:numId w:val="1"/>
        </w:numPr>
        <w:spacing w:after="40" w:before="40"/>
      </w:pPr>
      <w:r>
        <w:rPr>
          <w:color w:val="09090B"/>
          <w:sz w:val="22"/>
          <w:szCs w:val="22"/>
        </w:rPr>
        <w:t xml:space="preserve">Resolved (who + when + resolution notes)</w:t>
      </w:r>
    </w:p>
    <w:p>
      <w:pPr>
        <w:spacing w:after="100" w:before="60"/>
      </w:pPr>
      <w:r>
        <w:rPr>
          <w:color w:val="09090B"/>
          <w:sz w:val="22"/>
          <w:szCs w:val="22"/>
        </w:rPr>
        <w:t xml:space="preserve">The audit trail is stored as JSONB on `alerts.audit_trail` — append-only, never overwritten.</w:t>
      </w:r>
    </w:p>
    <w:p>
      <w:pPr>
        <w:pStyle w:val="Heading3"/>
        <w:spacing w:after="80" w:before="240"/>
      </w:pPr>
      <w:r>
        <w:t xml:space="preserve">Export CSV</w:t>
      </w:r>
    </w:p>
    <w:p>
      <w:pPr>
        <w:spacing w:after="100" w:before="60"/>
      </w:pPr>
      <w:r>
        <w:rPr>
          <w:color w:val="09090B"/>
          <w:sz w:val="22"/>
          <w:szCs w:val="22"/>
        </w:rPr>
        <w:t xml:space="preserve">"Export CSV" button generates a CSV of all alerts matching the current filters. Columns include all fields above. Used for compliance reporting and external auditors.</w:t>
      </w:r>
    </w:p>
    <w:p>
      <w:pPr>
        <w:pStyle w:val="Heading2"/>
        <w:spacing w:after="120" w:before="360"/>
      </w:pPr>
      <w:r>
        <w:t xml:space="preserve">5.4 Automated threshold monitoring</w:t>
      </w:r>
    </w:p>
    <w:p>
      <w:pPr>
        <w:spacing w:after="100" w:before="60"/>
      </w:pPr>
      <w:r>
        <w:rPr>
          <w:color w:val="09090B"/>
          <w:sz w:val="22"/>
          <w:szCs w:val="22"/>
        </w:rPr>
        <w:t xml:space="preserve">The sync scheduler (running every 30 minutes) calls `runAlertCheck(workspaceId, assetId)` for every asset with active data. Built-in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Metric</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Threshold</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Tier</w:t>
            </w:r>
          </w:p>
        </w:tc>
      </w:tr>
      <w:tr>
        <w:tc>
          <w:tcPr>
            <w:tcW w:type="dxa" w:w="3000"/>
            <w:tcMar>
              <w:top w:type="dxa" w:w="80"/>
              <w:left w:type="dxa" w:w="120"/>
              <w:bottom w:type="dxa" w:w="80"/>
              <w:right w:type="dxa" w:w="120"/>
            </w:tcMar>
            <w:vAlign w:val="center"/>
          </w:tcPr>
          <w:p>
            <w:r>
              <w:rPr>
                <w:color w:val="09090B"/>
                <w:sz w:val="20"/>
                <w:szCs w:val="20"/>
              </w:rPr>
              <w:t xml:space="preserve">Electricity</w:t>
            </w:r>
          </w:p>
        </w:tc>
        <w:tc>
          <w:tcPr>
            <w:tcW w:type="dxa" w:w="3000"/>
            <w:tcMar>
              <w:top w:type="dxa" w:w="80"/>
              <w:left w:type="dxa" w:w="120"/>
              <w:bottom w:type="dxa" w:w="80"/>
              <w:right w:type="dxa" w:w="120"/>
            </w:tcMar>
            <w:vAlign w:val="center"/>
          </w:tcPr>
          <w:p>
            <w:r>
              <w:rPr>
                <w:color w:val="09090B"/>
                <w:sz w:val="20"/>
                <w:szCs w:val="20"/>
              </w:rPr>
              <w:t xml:space="preserve">&gt; 120% of baseline</w:t>
            </w:r>
          </w:p>
        </w:tc>
        <w:tc>
          <w:tcPr>
            <w:tcW w:type="dxa" w:w="3000"/>
            <w:tcMar>
              <w:top w:type="dxa" w:w="80"/>
              <w:left w:type="dxa" w:w="120"/>
              <w:bottom w:type="dxa" w:w="80"/>
              <w:right w:type="dxa" w:w="120"/>
            </w:tcMar>
            <w:vAlign w:val="center"/>
          </w:tcPr>
          <w:p>
            <w:r>
              <w:rPr>
                <w:color w:val="09090B"/>
                <w:sz w:val="20"/>
                <w:szCs w:val="20"/>
              </w:rPr>
              <w:t xml:space="preserve">Tier 2 — energy</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Gas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&gt; 120% of baseline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Tier 2 — energy</w:t>
            </w:r>
          </w:p>
        </w:tc>
      </w:tr>
      <w:tr>
        <w:tc>
          <w:tcPr>
            <w:tcW w:type="dxa" w:w="3000"/>
            <w:tcMar>
              <w:top w:type="dxa" w:w="80"/>
              <w:left w:type="dxa" w:w="120"/>
              <w:bottom w:type="dxa" w:w="80"/>
              <w:right w:type="dxa" w:w="120"/>
            </w:tcMar>
            <w:vAlign w:val="center"/>
          </w:tcPr>
          <w:p>
            <w:r>
              <w:rPr>
                <w:color w:val="09090B"/>
                <w:sz w:val="20"/>
                <w:szCs w:val="20"/>
              </w:rPr>
              <w:t xml:space="preserve">Water</w:t>
            </w:r>
          </w:p>
        </w:tc>
        <w:tc>
          <w:tcPr>
            <w:tcW w:type="dxa" w:w="3000"/>
            <w:tcMar>
              <w:top w:type="dxa" w:w="80"/>
              <w:left w:type="dxa" w:w="120"/>
              <w:bottom w:type="dxa" w:w="80"/>
              <w:right w:type="dxa" w:w="120"/>
            </w:tcMar>
            <w:vAlign w:val="center"/>
          </w:tcPr>
          <w:p>
            <w:r>
              <w:rPr>
                <w:color w:val="09090B"/>
                <w:sz w:val="20"/>
                <w:szCs w:val="20"/>
              </w:rPr>
              <w:t xml:space="preserve">&gt; 120% of baseline</w:t>
            </w:r>
          </w:p>
        </w:tc>
        <w:tc>
          <w:tcPr>
            <w:tcW w:type="dxa" w:w="3000"/>
            <w:tcMar>
              <w:top w:type="dxa" w:w="80"/>
              <w:left w:type="dxa" w:w="120"/>
              <w:bottom w:type="dxa" w:w="80"/>
              <w:right w:type="dxa" w:w="120"/>
            </w:tcMar>
            <w:vAlign w:val="center"/>
          </w:tcPr>
          <w:p>
            <w:r>
              <w:rPr>
                <w:color w:val="09090B"/>
                <w:sz w:val="20"/>
                <w:szCs w:val="20"/>
              </w:rPr>
              <w:t xml:space="preserve">Tier 2 — water</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Zone temperature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 3°C from setpoint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Tier 2 — hvac</w:t>
            </w:r>
          </w:p>
        </w:tc>
      </w:tr>
      <w:tr>
        <w:tc>
          <w:tcPr>
            <w:tcW w:type="dxa" w:w="3000"/>
            <w:tcMar>
              <w:top w:type="dxa" w:w="80"/>
              <w:left w:type="dxa" w:w="120"/>
              <w:bottom w:type="dxa" w:w="80"/>
              <w:right w:type="dxa" w:w="120"/>
            </w:tcMar>
            <w:vAlign w:val="center"/>
          </w:tcPr>
          <w:p>
            <w:r>
              <w:rPr>
                <w:color w:val="09090B"/>
                <w:sz w:val="20"/>
                <w:szCs w:val="20"/>
              </w:rPr>
              <w:t xml:space="preserve">CO₂ ppm</w:t>
            </w:r>
          </w:p>
        </w:tc>
        <w:tc>
          <w:tcPr>
            <w:tcW w:type="dxa" w:w="3000"/>
            <w:tcMar>
              <w:top w:type="dxa" w:w="80"/>
              <w:left w:type="dxa" w:w="120"/>
              <w:bottom w:type="dxa" w:w="80"/>
              <w:right w:type="dxa" w:w="120"/>
            </w:tcMar>
            <w:vAlign w:val="center"/>
          </w:tcPr>
          <w:p>
            <w:r>
              <w:rPr>
                <w:color w:val="09090B"/>
                <w:sz w:val="20"/>
                <w:szCs w:val="20"/>
              </w:rPr>
              <w:t xml:space="preserve">&gt; 1500 ppm</w:t>
            </w:r>
          </w:p>
        </w:tc>
        <w:tc>
          <w:tcPr>
            <w:tcW w:type="dxa" w:w="3000"/>
            <w:tcMar>
              <w:top w:type="dxa" w:w="80"/>
              <w:left w:type="dxa" w:w="120"/>
              <w:bottom w:type="dxa" w:w="80"/>
              <w:right w:type="dxa" w:w="120"/>
            </w:tcMar>
            <w:vAlign w:val="center"/>
          </w:tcPr>
          <w:p>
            <w:r>
              <w:rPr>
                <w:color w:val="09090B"/>
                <w:sz w:val="20"/>
                <w:szCs w:val="20"/>
              </w:rPr>
              <w:t xml:space="preserve">Tier 2 — hvac</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Fire alarm signal (via Synapsis/Novant)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any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Tier 1 — fire</w:t>
            </w:r>
          </w:p>
        </w:tc>
      </w:tr>
      <w:tr>
        <w:tc>
          <w:tcPr>
            <w:tcW w:type="dxa" w:w="3000"/>
            <w:tcMar>
              <w:top w:type="dxa" w:w="80"/>
              <w:left w:type="dxa" w:w="120"/>
              <w:bottom w:type="dxa" w:w="80"/>
              <w:right w:type="dxa" w:w="120"/>
            </w:tcMar>
            <w:vAlign w:val="center"/>
          </w:tcPr>
          <w:p>
            <w:r>
              <w:rPr>
                <w:color w:val="09090B"/>
                <w:sz w:val="20"/>
                <w:szCs w:val="20"/>
              </w:rPr>
              <w:t xml:space="preserve">Intruder alarm signal</w:t>
            </w:r>
          </w:p>
        </w:tc>
        <w:tc>
          <w:tcPr>
            <w:tcW w:type="dxa" w:w="3000"/>
            <w:tcMar>
              <w:top w:type="dxa" w:w="80"/>
              <w:left w:type="dxa" w:w="120"/>
              <w:bottom w:type="dxa" w:w="80"/>
              <w:right w:type="dxa" w:w="120"/>
            </w:tcMar>
            <w:vAlign w:val="center"/>
          </w:tcPr>
          <w:p>
            <w:r>
              <w:rPr>
                <w:color w:val="09090B"/>
                <w:sz w:val="20"/>
                <w:szCs w:val="20"/>
              </w:rPr>
              <w:t xml:space="preserve">any</w:t>
            </w:r>
          </w:p>
        </w:tc>
        <w:tc>
          <w:tcPr>
            <w:tcW w:type="dxa" w:w="3000"/>
            <w:tcMar>
              <w:top w:type="dxa" w:w="80"/>
              <w:left w:type="dxa" w:w="120"/>
              <w:bottom w:type="dxa" w:w="80"/>
              <w:right w:type="dxa" w:w="120"/>
            </w:tcMar>
            <w:vAlign w:val="center"/>
          </w:tcPr>
          <w:p>
            <w:r>
              <w:rPr>
                <w:color w:val="09090B"/>
                <w:sz w:val="20"/>
                <w:szCs w:val="20"/>
              </w:rPr>
              <w:t xml:space="preserve">Tier 1 — security</w:t>
            </w:r>
          </w:p>
        </w:tc>
      </w:tr>
    </w:tbl>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A duplicate guard prevents auto-firing if the same (asset, category) combination already has an open alert from the last 6 hours. This stops a single deviation from creating dozens of duplicate alerts.</w:t>
      </w:r>
    </w:p>
    <w:p>
      <w:r>
        <w:br w:type="page"/>
      </w:r>
    </w:p>
    <w:p>
      <w:pPr>
        <w:pStyle w:val="Heading1"/>
        <w:pBdr>
          <w:bottom w:val="single" w:color="037272" w:sz="8" w:space="4"/>
        </w:pBdr>
        <w:spacing w:after="160" w:before="480"/>
      </w:pPr>
      <w:r>
        <w:t xml:space="preserve">6. Data Collection</w:t>
      </w:r>
    </w:p>
    <w:p>
      <w:pPr>
        <w:spacing w:after="100" w:before="60"/>
      </w:pPr>
      <w:r>
        <w:rPr>
          <w:color w:val="09090B"/>
          <w:sz w:val="22"/>
          <w:szCs w:val="22"/>
        </w:rPr>
        <w:t xml:space="preserve">The Data Collection page at /data-collection has four tabs covering every way to get data into Portfolio One: Manual entry, Historical CSV import, AI Bill upload, and Integration Hub.</w:t>
      </w:r>
    </w:p>
    <w:p>
      <w:pPr>
        <w:pStyle w:val="Heading2"/>
        <w:spacing w:after="120" w:before="360"/>
      </w:pPr>
      <w:r>
        <w:t xml:space="preserve">6.1 Manual tab</w:t>
      </w:r>
    </w:p>
    <w:p>
      <w:pPr>
        <w:spacing w:after="100" w:before="60"/>
      </w:pPr>
      <w:r>
        <w:rPr>
          <w:color w:val="09090B"/>
          <w:sz w:val="22"/>
          <w:szCs w:val="22"/>
        </w:rPr>
        <w:t xml:space="preserve">For one-off readings or buildings without connected integrations.</w:t>
      </w:r>
    </w:p>
    <w:p>
      <w:pPr>
        <w:pStyle w:val="Heading3"/>
        <w:spacing w:after="80" w:before="240"/>
      </w:pPr>
      <w:r>
        <w:t xml:space="preserve">Fields</w:t>
      </w:r>
    </w:p>
    <w:p>
      <w:pPr>
        <w:pStyle w:val="ListParagraph"/>
        <w:numPr>
          <w:ilvl w:val="0"/>
          <w:numId w:val="1"/>
        </w:numPr>
        <w:spacing w:after="40" w:before="40"/>
      </w:pPr>
      <w:r>
        <w:rPr>
          <w:color w:val="09090B"/>
          <w:sz w:val="22"/>
          <w:szCs w:val="22"/>
        </w:rPr>
        <w:t xml:space="preserve">Building — dropdown (filter by workspace assets)</w:t>
      </w:r>
    </w:p>
    <w:p>
      <w:pPr>
        <w:pStyle w:val="ListParagraph"/>
        <w:numPr>
          <w:ilvl w:val="0"/>
          <w:numId w:val="1"/>
        </w:numPr>
        <w:spacing w:after="40" w:before="40"/>
      </w:pPr>
      <w:r>
        <w:rPr>
          <w:color w:val="09090B"/>
          <w:sz w:val="22"/>
          <w:szCs w:val="22"/>
        </w:rPr>
        <w:t xml:space="preserve">Space — optional dropdown (per-room readings)</w:t>
      </w:r>
    </w:p>
    <w:p>
      <w:pPr>
        <w:pStyle w:val="ListParagraph"/>
        <w:numPr>
          <w:ilvl w:val="0"/>
          <w:numId w:val="1"/>
        </w:numPr>
        <w:spacing w:after="40" w:before="40"/>
      </w:pPr>
      <w:r>
        <w:rPr>
          <w:color w:val="09090B"/>
          <w:sz w:val="22"/>
          <w:szCs w:val="22"/>
        </w:rPr>
        <w:t xml:space="preserve">Metric type — electricity_kwh / gas_kwh / water_m3 / etc. (units auto-update from regionAdapter)</w:t>
      </w:r>
    </w:p>
    <w:p>
      <w:pPr>
        <w:pStyle w:val="ListParagraph"/>
        <w:numPr>
          <w:ilvl w:val="0"/>
          <w:numId w:val="1"/>
        </w:numPr>
        <w:spacing w:after="40" w:before="40"/>
      </w:pPr>
      <w:r>
        <w:rPr>
          <w:color w:val="09090B"/>
          <w:sz w:val="22"/>
          <w:szCs w:val="22"/>
        </w:rPr>
        <w:t xml:space="preserve">Value — number</w:t>
      </w:r>
    </w:p>
    <w:p>
      <w:pPr>
        <w:pStyle w:val="ListParagraph"/>
        <w:numPr>
          <w:ilvl w:val="0"/>
          <w:numId w:val="1"/>
        </w:numPr>
        <w:spacing w:after="40" w:before="40"/>
      </w:pPr>
      <w:r>
        <w:rPr>
          <w:color w:val="09090B"/>
          <w:sz w:val="22"/>
          <w:szCs w:val="22"/>
        </w:rPr>
        <w:t xml:space="preserve">Period start / Period end — billing-period dates (NULL for spot readings)</w:t>
      </w:r>
    </w:p>
    <w:p>
      <w:pPr>
        <w:pStyle w:val="ListParagraph"/>
        <w:numPr>
          <w:ilvl w:val="0"/>
          <w:numId w:val="1"/>
        </w:numPr>
        <w:spacing w:after="40" w:before="40"/>
      </w:pPr>
      <w:r>
        <w:rPr>
          <w:color w:val="09090B"/>
          <w:sz w:val="22"/>
          <w:szCs w:val="22"/>
        </w:rPr>
        <w:t xml:space="preserve">Source — "manual" auto-set</w:t>
      </w:r>
    </w:p>
    <w:p>
      <w:pPr>
        <w:pStyle w:val="ListParagraph"/>
        <w:numPr>
          <w:ilvl w:val="0"/>
          <w:numId w:val="1"/>
        </w:numPr>
        <w:spacing w:after="40" w:before="40"/>
      </w:pPr>
      <w:r>
        <w:rPr>
          <w:color w:val="09090B"/>
          <w:sz w:val="22"/>
          <w:szCs w:val="22"/>
        </w:rPr>
        <w:t xml:space="preserve">Notes — optional</w:t>
      </w:r>
    </w:p>
    <w:p>
      <w:pPr>
        <w:pStyle w:val="Heading3"/>
        <w:spacing w:after="80" w:before="240"/>
      </w:pPr>
      <w:r>
        <w:t xml:space="preserve">Recent entries table</w:t>
      </w:r>
    </w:p>
    <w:p>
      <w:pPr>
        <w:spacing w:after="100" w:before="60"/>
      </w:pPr>
      <w:r>
        <w:rPr>
          <w:color w:val="09090B"/>
          <w:sz w:val="22"/>
          <w:szCs w:val="22"/>
        </w:rPr>
        <w:t xml:space="preserve">Below the form, the last 50 manual entries for this workspace appear in a table. Each row: building, metric, value, recorded_at, source, "Delete" (soft delete; requires Owner/Admin role).</w:t>
      </w:r>
    </w:p>
    <w:p>
      <w:pPr>
        <w:pStyle w:val="Heading2"/>
        <w:spacing w:after="120" w:before="360"/>
      </w:pPr>
      <w:r>
        <w:t xml:space="preserve">6.2 Historical CSV import</w:t>
      </w:r>
    </w:p>
    <w:p>
      <w:pPr>
        <w:spacing w:after="100" w:before="60"/>
      </w:pPr>
      <w:r>
        <w:rPr>
          <w:color w:val="09090B"/>
          <w:sz w:val="22"/>
          <w:szCs w:val="22"/>
        </w:rPr>
        <w:t xml:space="preserve">For bulk importing past data (e.g. when migrating from a spreadsheet).</w:t>
      </w:r>
    </w:p>
    <w:p>
      <w:pPr>
        <w:pStyle w:val="Heading3"/>
        <w:spacing w:after="80" w:before="240"/>
      </w:pPr>
      <w:r>
        <w:t xml:space="preserve">CSV format</w:t>
      </w:r>
    </w:p>
    <w:p>
      <w:pPr>
        <w:spacing w:after="100" w:before="60"/>
      </w:pPr>
      <w:r>
        <w:rPr>
          <w:color w:val="09090B"/>
          <w:sz w:val="22"/>
          <w:szCs w:val="22"/>
        </w:rPr>
        <w:t xml:space="preserve">First row = headers. Required columns: building_name, metric_type, value, unit, recorded_at. Optional: space_name, period_start, period_end, source, notes.</w:t>
      </w:r>
    </w:p>
    <w:p>
      <w:pPr>
        <w:pStyle w:val="Heading3"/>
        <w:spacing w:after="80" w:before="240"/>
      </w:pPr>
      <w:r>
        <w:t xml:space="preserve">Workflow</w:t>
      </w:r>
    </w:p>
    <w:p>
      <w:pPr>
        <w:pStyle w:val="ListParagraph"/>
        <w:numPr>
          <w:ilvl w:val="0"/>
          <w:numId w:val="1"/>
        </w:numPr>
        <w:spacing w:after="40" w:before="40"/>
      </w:pPr>
      <w:r>
        <w:rPr>
          <w:color w:val="09090B"/>
          <w:sz w:val="22"/>
          <w:szCs w:val="22"/>
        </w:rPr>
        <w:t xml:space="preserve">1. Click "Upload CSV"</w:t>
      </w:r>
    </w:p>
    <w:p>
      <w:pPr>
        <w:pStyle w:val="ListParagraph"/>
        <w:numPr>
          <w:ilvl w:val="0"/>
          <w:numId w:val="1"/>
        </w:numPr>
        <w:spacing w:after="40" w:before="40"/>
      </w:pPr>
      <w:r>
        <w:rPr>
          <w:color w:val="09090B"/>
          <w:sz w:val="22"/>
          <w:szCs w:val="22"/>
        </w:rPr>
        <w:t xml:space="preserve">2. Preview table shows first 10 rows + total count</w:t>
      </w:r>
    </w:p>
    <w:p>
      <w:pPr>
        <w:pStyle w:val="ListParagraph"/>
        <w:numPr>
          <w:ilvl w:val="0"/>
          <w:numId w:val="1"/>
        </w:numPr>
        <w:spacing w:after="40" w:before="40"/>
      </w:pPr>
      <w:r>
        <w:rPr>
          <w:color w:val="09090B"/>
          <w:sz w:val="22"/>
          <w:szCs w:val="22"/>
        </w:rPr>
        <w:t xml:space="preserve">3. Click "Import" — progress bar fills as rows insert</w:t>
      </w:r>
    </w:p>
    <w:p>
      <w:pPr>
        <w:pStyle w:val="ListParagraph"/>
        <w:numPr>
          <w:ilvl w:val="0"/>
          <w:numId w:val="1"/>
        </w:numPr>
        <w:spacing w:after="40" w:before="40"/>
      </w:pPr>
      <w:r>
        <w:rPr>
          <w:color w:val="09090B"/>
          <w:sz w:val="22"/>
          <w:szCs w:val="22"/>
        </w:rPr>
        <w:t xml:space="preserve">4. Result summary: "X rows imported, Y skipped" + downloadable error log</w:t>
      </w:r>
    </w:p>
    <w:p>
      <w:pPr>
        <w:pBdr>
          <w:left w:val="single" w:color="047857" w:sz="12" w:space="4"/>
        </w:pBdr>
        <w:shd w:fill="F0FDF4" w:color="auto" w:val="clear"/>
        <w:spacing w:after="80" w:before="80"/>
        <w:ind w:left="200" w:right="200"/>
      </w:pPr>
      <w:r>
        <w:rPr>
          <w:b/>
          <w:bCs/>
          <w:color w:val="047857"/>
          <w:sz w:val="20"/>
          <w:szCs w:val="20"/>
        </w:rPr>
        <w:t xml:space="preserve">Tip: </w:t>
      </w:r>
      <w:r>
        <w:rPr>
          <w:color w:val="52525B"/>
          <w:sz w:val="20"/>
          <w:szCs w:val="20"/>
        </w:rPr>
        <w:t xml:space="preserve">Use the CSV export from any Utility Manager tab as a template — same column shape works for re-import to a different workspace.</w:t>
      </w:r>
    </w:p>
    <w:p>
      <w:pPr>
        <w:pStyle w:val="Heading2"/>
        <w:spacing w:after="120" w:before="360"/>
      </w:pPr>
      <w:r>
        <w:t xml:space="preserve">6.3 AI Bill upload</w:t>
      </w:r>
    </w:p>
    <w:p>
      <w:pPr>
        <w:spacing w:after="100" w:before="60"/>
      </w:pPr>
      <w:r>
        <w:rPr>
          <w:color w:val="09090B"/>
          <w:sz w:val="22"/>
          <w:szCs w:val="22"/>
        </w:rPr>
        <w:t xml:space="preserve">Upload a utility bill (PDF or image); GPT-4o + OCR extract the data.</w:t>
      </w:r>
    </w:p>
    <w:p>
      <w:pPr>
        <w:pStyle w:val="Heading3"/>
        <w:spacing w:after="80" w:before="240"/>
      </w:pPr>
      <w:r>
        <w:t xml:space="preserve">Workflow</w:t>
      </w:r>
    </w:p>
    <w:p>
      <w:pPr>
        <w:pStyle w:val="ListParagraph"/>
        <w:numPr>
          <w:ilvl w:val="0"/>
          <w:numId w:val="1"/>
        </w:numPr>
        <w:spacing w:after="40" w:before="40"/>
      </w:pPr>
      <w:r>
        <w:rPr>
          <w:color w:val="09090B"/>
          <w:sz w:val="22"/>
          <w:szCs w:val="22"/>
        </w:rPr>
        <w:t xml:space="preserve">1. Drag-drop or browse — select PDF / JPG / PNG</w:t>
      </w:r>
    </w:p>
    <w:p>
      <w:pPr>
        <w:pStyle w:val="ListParagraph"/>
        <w:numPr>
          <w:ilvl w:val="0"/>
          <w:numId w:val="1"/>
        </w:numPr>
        <w:spacing w:after="40" w:before="40"/>
      </w:pPr>
      <w:r>
        <w:rPr>
          <w:color w:val="09090B"/>
          <w:sz w:val="22"/>
          <w:szCs w:val="22"/>
        </w:rPr>
        <w:t xml:space="preserve">2. "Parsing..." spinner — OCR runs first (Google Cloud Vision if configured, otherwise OpenAI Vision)</w:t>
      </w:r>
    </w:p>
    <w:p>
      <w:pPr>
        <w:pStyle w:val="ListParagraph"/>
        <w:numPr>
          <w:ilvl w:val="0"/>
          <w:numId w:val="1"/>
        </w:numPr>
        <w:spacing w:after="40" w:before="40"/>
      </w:pPr>
      <w:r>
        <w:rPr>
          <w:color w:val="09090B"/>
          <w:sz w:val="22"/>
          <w:szCs w:val="22"/>
        </w:rPr>
        <w:t xml:space="preserve">3. GPT-4o reads the OCR text + the original image, produces a structured JSON with confidence score</w:t>
      </w:r>
    </w:p>
    <w:p>
      <w:pPr>
        <w:pStyle w:val="ListParagraph"/>
        <w:numPr>
          <w:ilvl w:val="0"/>
          <w:numId w:val="1"/>
        </w:numPr>
        <w:spacing w:after="40" w:before="40"/>
      </w:pPr>
      <w:r>
        <w:rPr>
          <w:color w:val="09090B"/>
          <w:sz w:val="22"/>
          <w:szCs w:val="22"/>
        </w:rPr>
        <w:t xml:space="preserve">4. Result card appears — every field editable, with the AI's extracted value pre-populated:</w:t>
      </w:r>
    </w:p>
    <w:p>
      <w:pPr>
        <w:pStyle w:val="ListParagraph"/>
        <w:numPr>
          <w:ilvl w:val="0"/>
          <w:numId w:val="1"/>
        </w:numPr>
        <w:spacing w:after="40" w:before="40"/>
      </w:pPr>
      <w:r>
        <w:rPr>
          <w:color w:val="09090B"/>
          <w:sz w:val="22"/>
          <w:szCs w:val="22"/>
        </w:rPr>
        <w:t xml:space="preserve">   — Supplier · Bill type (electricity / gas / water) · Period start / end · Total kWh / m³ · Total cost · Confidence badge</w:t>
      </w:r>
    </w:p>
    <w:p>
      <w:pPr>
        <w:pStyle w:val="ListParagraph"/>
        <w:numPr>
          <w:ilvl w:val="0"/>
          <w:numId w:val="1"/>
        </w:numPr>
        <w:spacing w:after="40" w:before="40"/>
      </w:pPr>
      <w:r>
        <w:rPr>
          <w:color w:val="09090B"/>
          <w:sz w:val="22"/>
          <w:szCs w:val="22"/>
        </w:rPr>
        <w:t xml:space="preserve">5. Anomaly flags appear if the AI detected unusual values</w:t>
      </w:r>
    </w:p>
    <w:p>
      <w:pPr>
        <w:pStyle w:val="ListParagraph"/>
        <w:numPr>
          <w:ilvl w:val="0"/>
          <w:numId w:val="1"/>
        </w:numPr>
        <w:spacing w:after="40" w:before="40"/>
      </w:pPr>
      <w:r>
        <w:rPr>
          <w:color w:val="09090B"/>
          <w:sz w:val="22"/>
          <w:szCs w:val="22"/>
        </w:rPr>
        <w:t xml:space="preserve">6. Click "Confirm &amp; save" — the values write to the metrics table</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Confidence &lt; 50% triggers a "Review carefully" amber banner. Confidence &lt; 20% blocks the save button — you must edit at least one field before saving.</w:t>
      </w:r>
    </w:p>
    <w:p>
      <w:pPr>
        <w:pStyle w:val="Heading2"/>
        <w:spacing w:after="120" w:before="360"/>
      </w:pPr>
      <w:r>
        <w:t xml:space="preserve">6.4 Integration Hub</w:t>
      </w:r>
    </w:p>
    <w:p>
      <w:pPr>
        <w:spacing w:after="100" w:before="60"/>
      </w:pPr>
      <w:r>
        <w:rPr>
          <w:color w:val="09090B"/>
          <w:sz w:val="22"/>
          <w:szCs w:val="22"/>
        </w:rPr>
        <w:t xml:space="preserve">The hub at /data-collection (Integration Hub tab) shows 6 partner cards. Each opens a Configure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Partner</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Credentials needed</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Frequency</w:t>
            </w:r>
          </w:p>
        </w:tc>
      </w:tr>
      <w:tr>
        <w:tc>
          <w:tcPr>
            <w:tcW w:type="dxa" w:w="3000"/>
            <w:tcMar>
              <w:top w:type="dxa" w:w="80"/>
              <w:left w:type="dxa" w:w="120"/>
              <w:bottom w:type="dxa" w:w="80"/>
              <w:right w:type="dxa" w:w="120"/>
            </w:tcMar>
            <w:vAlign w:val="center"/>
          </w:tcPr>
          <w:p>
            <w:r>
              <w:rPr>
                <w:color w:val="09090B"/>
                <w:sz w:val="20"/>
                <w:szCs w:val="20"/>
              </w:rPr>
              <w:t xml:space="preserve">Synapsis</w:t>
            </w:r>
          </w:p>
        </w:tc>
        <w:tc>
          <w:tcPr>
            <w:tcW w:type="dxa" w:w="3000"/>
            <w:tcMar>
              <w:top w:type="dxa" w:w="80"/>
              <w:left w:type="dxa" w:w="120"/>
              <w:bottom w:type="dxa" w:w="80"/>
              <w:right w:type="dxa" w:w="120"/>
            </w:tcMar>
            <w:vAlign w:val="center"/>
          </w:tcPr>
          <w:p>
            <w:r>
              <w:rPr>
                <w:color w:val="09090B"/>
                <w:sz w:val="20"/>
                <w:szCs w:val="20"/>
              </w:rPr>
              <w:t xml:space="preserve">API key, base URL</w:t>
            </w:r>
          </w:p>
        </w:tc>
        <w:tc>
          <w:tcPr>
            <w:tcW w:type="dxa" w:w="3000"/>
            <w:tcMar>
              <w:top w:type="dxa" w:w="80"/>
              <w:left w:type="dxa" w:w="120"/>
              <w:bottom w:type="dxa" w:w="80"/>
              <w:right w:type="dxa" w:w="120"/>
            </w:tcMar>
            <w:vAlign w:val="center"/>
          </w:tcPr>
          <w:p>
            <w:r>
              <w:rPr>
                <w:color w:val="09090B"/>
                <w:sz w:val="20"/>
                <w:szCs w:val="20"/>
              </w:rPr>
              <w:t xml:space="preserve">Every 30 min via sync scheduler</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Novant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API key, base URL</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Every 30 min + on-demand for valve control</w:t>
            </w:r>
          </w:p>
        </w:tc>
      </w:tr>
      <w:tr>
        <w:tc>
          <w:tcPr>
            <w:tcW w:type="dxa" w:w="3000"/>
            <w:tcMar>
              <w:top w:type="dxa" w:w="80"/>
              <w:left w:type="dxa" w:w="120"/>
              <w:bottom w:type="dxa" w:w="80"/>
              <w:right w:type="dxa" w:w="120"/>
            </w:tcMar>
            <w:vAlign w:val="center"/>
          </w:tcPr>
          <w:p>
            <w:r>
              <w:rPr>
                <w:color w:val="09090B"/>
                <w:sz w:val="20"/>
                <w:szCs w:val="20"/>
              </w:rPr>
              <w:t xml:space="preserve">Softhard</w:t>
            </w:r>
          </w:p>
        </w:tc>
        <w:tc>
          <w:tcPr>
            <w:tcW w:type="dxa" w:w="3000"/>
            <w:tcMar>
              <w:top w:type="dxa" w:w="80"/>
              <w:left w:type="dxa" w:w="120"/>
              <w:bottom w:type="dxa" w:w="80"/>
              <w:right w:type="dxa" w:w="120"/>
            </w:tcMar>
            <w:vAlign w:val="center"/>
          </w:tcPr>
          <w:p>
            <w:r>
              <w:rPr>
                <w:color w:val="09090B"/>
                <w:sz w:val="20"/>
                <w:szCs w:val="20"/>
              </w:rPr>
              <w:t xml:space="preserve">API key, base URL</w:t>
            </w:r>
          </w:p>
        </w:tc>
        <w:tc>
          <w:tcPr>
            <w:tcW w:type="dxa" w:w="3000"/>
            <w:tcMar>
              <w:top w:type="dxa" w:w="80"/>
              <w:left w:type="dxa" w:w="120"/>
              <w:bottom w:type="dxa" w:w="80"/>
              <w:right w:type="dxa" w:w="120"/>
            </w:tcMar>
            <w:vAlign w:val="center"/>
          </w:tcPr>
          <w:p>
            <w:r>
              <w:rPr>
                <w:color w:val="09090B"/>
                <w:sz w:val="20"/>
                <w:szCs w:val="20"/>
              </w:rPr>
              <w:t xml:space="preserve">Every 30 min</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Grid API</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API key (optional — falls back to public APIs)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Hourly cache, refresh on-demand</w:t>
            </w:r>
          </w:p>
        </w:tc>
      </w:tr>
      <w:tr>
        <w:tc>
          <w:tcPr>
            <w:tcW w:type="dxa" w:w="3000"/>
            <w:tcMar>
              <w:top w:type="dxa" w:w="80"/>
              <w:left w:type="dxa" w:w="120"/>
              <w:bottom w:type="dxa" w:w="80"/>
              <w:right w:type="dxa" w:w="120"/>
            </w:tcMar>
            <w:vAlign w:val="center"/>
          </w:tcPr>
          <w:p>
            <w:r>
              <w:rPr>
                <w:color w:val="09090B"/>
                <w:sz w:val="20"/>
                <w:szCs w:val="20"/>
              </w:rPr>
              <w:t xml:space="preserve">Solar / PV</w:t>
            </w:r>
          </w:p>
        </w:tc>
        <w:tc>
          <w:tcPr>
            <w:tcW w:type="dxa" w:w="3000"/>
            <w:tcMar>
              <w:top w:type="dxa" w:w="80"/>
              <w:left w:type="dxa" w:w="120"/>
              <w:bottom w:type="dxa" w:w="80"/>
              <w:right w:type="dxa" w:w="120"/>
            </w:tcMar>
            <w:vAlign w:val="center"/>
          </w:tcPr>
          <w:p>
            <w:r>
              <w:rPr>
                <w:color w:val="09090B"/>
                <w:sz w:val="20"/>
                <w:szCs w:val="20"/>
              </w:rPr>
              <w:t xml:space="preserve">API key, inverter endpoint URL</w:t>
            </w:r>
          </w:p>
        </w:tc>
        <w:tc>
          <w:tcPr>
            <w:tcW w:type="dxa" w:w="3000"/>
            <w:tcMar>
              <w:top w:type="dxa" w:w="80"/>
              <w:left w:type="dxa" w:w="120"/>
              <w:bottom w:type="dxa" w:w="80"/>
              <w:right w:type="dxa" w:w="120"/>
            </w:tcMar>
            <w:vAlign w:val="center"/>
          </w:tcPr>
          <w:p>
            <w:r>
              <w:rPr>
                <w:color w:val="09090B"/>
                <w:sz w:val="20"/>
                <w:szCs w:val="20"/>
              </w:rPr>
              <w:t xml:space="preserve">Every 30 min</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BMS Generic</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BACnet/Modbus REST bridge URL + auth</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Every 30 min</w:t>
            </w:r>
          </w:p>
        </w:tc>
      </w:tr>
    </w:tbl>
    <w:p>
      <w:pPr>
        <w:pStyle w:val="Heading3"/>
        <w:spacing w:after="80" w:before="240"/>
      </w:pPr>
      <w:r>
        <w:t xml:space="preserve">Workflow</w:t>
      </w:r>
    </w:p>
    <w:p>
      <w:pPr>
        <w:pStyle w:val="ListParagraph"/>
        <w:numPr>
          <w:ilvl w:val="0"/>
          <w:numId w:val="1"/>
        </w:numPr>
        <w:spacing w:after="40" w:before="40"/>
      </w:pPr>
      <w:r>
        <w:rPr>
          <w:color w:val="09090B"/>
          <w:sz w:val="22"/>
          <w:szCs w:val="22"/>
        </w:rPr>
        <w:t xml:space="preserve">1. Click partner card → "Configure"</w:t>
      </w:r>
    </w:p>
    <w:p>
      <w:pPr>
        <w:pStyle w:val="ListParagraph"/>
        <w:numPr>
          <w:ilvl w:val="0"/>
          <w:numId w:val="1"/>
        </w:numPr>
        <w:spacing w:after="40" w:before="40"/>
      </w:pPr>
      <w:r>
        <w:rPr>
          <w:color w:val="09090B"/>
          <w:sz w:val="22"/>
          <w:szCs w:val="22"/>
        </w:rPr>
        <w:t xml:space="preserve">2. Enter credentials</w:t>
      </w:r>
    </w:p>
    <w:p>
      <w:pPr>
        <w:pStyle w:val="ListParagraph"/>
        <w:numPr>
          <w:ilvl w:val="0"/>
          <w:numId w:val="1"/>
        </w:numPr>
        <w:spacing w:after="40" w:before="40"/>
      </w:pPr>
      <w:r>
        <w:rPr>
          <w:color w:val="09090B"/>
          <w:sz w:val="22"/>
          <w:szCs w:val="22"/>
        </w:rPr>
        <w:t xml:space="preserve">3. Click "Test connection" — synchronous test call to partner API</w:t>
      </w:r>
    </w:p>
    <w:p>
      <w:pPr>
        <w:pStyle w:val="ListParagraph"/>
        <w:numPr>
          <w:ilvl w:val="0"/>
          <w:numId w:val="1"/>
        </w:numPr>
        <w:spacing w:after="40" w:before="40"/>
      </w:pPr>
      <w:r>
        <w:rPr>
          <w:color w:val="09090B"/>
          <w:sz w:val="22"/>
          <w:szCs w:val="22"/>
        </w:rPr>
        <w:t xml:space="preserve">4. Success → credentials encrypted (AES-256-GCM) and saved to data_partner_connections</w:t>
      </w:r>
    </w:p>
    <w:p>
      <w:pPr>
        <w:pStyle w:val="ListParagraph"/>
        <w:numPr>
          <w:ilvl w:val="0"/>
          <w:numId w:val="1"/>
        </w:numPr>
        <w:spacing w:after="40" w:before="40"/>
      </w:pPr>
      <w:r>
        <w:rPr>
          <w:color w:val="09090B"/>
          <w:sz w:val="22"/>
          <w:szCs w:val="22"/>
        </w:rPr>
        <w:t xml:space="preserve">5. Failure → error message shown; credentials NOT saved</w:t>
      </w:r>
    </w:p>
    <w:p>
      <w:pPr>
        <w:pStyle w:val="Heading3"/>
        <w:spacing w:after="80" w:before="240"/>
      </w:pPr>
      <w:r>
        <w:t xml:space="preserve">Status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Status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Colour</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Meaning</w:t>
            </w:r>
          </w:p>
        </w:tc>
      </w:tr>
      <w:tr>
        <w:tc>
          <w:tcPr>
            <w:tcW w:type="dxa" w:w="3000"/>
            <w:tcMar>
              <w:top w:type="dxa" w:w="80"/>
              <w:left w:type="dxa" w:w="120"/>
              <w:bottom w:type="dxa" w:w="80"/>
              <w:right w:type="dxa" w:w="120"/>
            </w:tcMar>
            <w:vAlign w:val="center"/>
          </w:tcPr>
          <w:p>
            <w:r>
              <w:rPr>
                <w:color w:val="09090B"/>
                <w:sz w:val="20"/>
                <w:szCs w:val="20"/>
              </w:rPr>
              <w:t xml:space="preserve">Connected</w:t>
            </w:r>
          </w:p>
        </w:tc>
        <w:tc>
          <w:tcPr>
            <w:tcW w:type="dxa" w:w="3000"/>
            <w:tcMar>
              <w:top w:type="dxa" w:w="80"/>
              <w:left w:type="dxa" w:w="120"/>
              <w:bottom w:type="dxa" w:w="80"/>
              <w:right w:type="dxa" w:w="120"/>
            </w:tcMar>
            <w:vAlign w:val="center"/>
          </w:tcPr>
          <w:p>
            <w:r>
              <w:rPr>
                <w:color w:val="09090B"/>
                <w:sz w:val="20"/>
                <w:szCs w:val="20"/>
              </w:rPr>
              <w:t xml:space="preserve">Green</w:t>
            </w:r>
          </w:p>
        </w:tc>
        <w:tc>
          <w:tcPr>
            <w:tcW w:type="dxa" w:w="3000"/>
            <w:tcMar>
              <w:top w:type="dxa" w:w="80"/>
              <w:left w:type="dxa" w:w="120"/>
              <w:bottom w:type="dxa" w:w="80"/>
              <w:right w:type="dxa" w:w="120"/>
            </w:tcMar>
            <w:vAlign w:val="center"/>
          </w:tcPr>
          <w:p>
            <w:r>
              <w:rPr>
                <w:color w:val="09090B"/>
                <w:sz w:val="20"/>
                <w:szCs w:val="20"/>
              </w:rPr>
              <w:t xml:space="preserve">Active, last sync successful</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Testing</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Blue pulse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Connection test in progress</w:t>
            </w:r>
          </w:p>
        </w:tc>
      </w:tr>
      <w:tr>
        <w:tc>
          <w:tcPr>
            <w:tcW w:type="dxa" w:w="3000"/>
            <w:tcMar>
              <w:top w:type="dxa" w:w="80"/>
              <w:left w:type="dxa" w:w="120"/>
              <w:bottom w:type="dxa" w:w="80"/>
              <w:right w:type="dxa" w:w="120"/>
            </w:tcMar>
            <w:vAlign w:val="center"/>
          </w:tcPr>
          <w:p>
            <w:r>
              <w:rPr>
                <w:color w:val="09090B"/>
                <w:sz w:val="20"/>
                <w:szCs w:val="20"/>
              </w:rPr>
              <w:t xml:space="preserve">Error</w:t>
            </w:r>
          </w:p>
        </w:tc>
        <w:tc>
          <w:tcPr>
            <w:tcW w:type="dxa" w:w="3000"/>
            <w:tcMar>
              <w:top w:type="dxa" w:w="80"/>
              <w:left w:type="dxa" w:w="120"/>
              <w:bottom w:type="dxa" w:w="80"/>
              <w:right w:type="dxa" w:w="120"/>
            </w:tcMar>
            <w:vAlign w:val="center"/>
          </w:tcPr>
          <w:p>
            <w:r>
              <w:rPr>
                <w:color w:val="09090B"/>
                <w:sz w:val="20"/>
                <w:szCs w:val="20"/>
              </w:rPr>
              <w:t xml:space="preserve">Red</w:t>
            </w:r>
          </w:p>
        </w:tc>
        <w:tc>
          <w:tcPr>
            <w:tcW w:type="dxa" w:w="3000"/>
            <w:tcMar>
              <w:top w:type="dxa" w:w="80"/>
              <w:left w:type="dxa" w:w="120"/>
              <w:bottom w:type="dxa" w:w="80"/>
              <w:right w:type="dxa" w:w="120"/>
            </w:tcMar>
            <w:vAlign w:val="center"/>
          </w:tcPr>
          <w:p>
            <w:r>
              <w:rPr>
                <w:color w:val="09090B"/>
                <w:sz w:val="20"/>
                <w:szCs w:val="20"/>
              </w:rPr>
              <w:t xml:space="preserve">Last sync failed — check "last_error" detail</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Disconnected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Grey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Credentials not saved or manually disconnected</w:t>
            </w:r>
          </w:p>
        </w:tc>
      </w:tr>
    </w:tbl>
    <w:p>
      <w:pPr>
        <w:pBdr>
          <w:left w:val="single" w:color="B91C1C" w:sz="12" w:space="4"/>
        </w:pBdr>
        <w:shd w:fill="FEF2F2" w:color="auto" w:val="clear"/>
        <w:spacing w:after="80" w:before="80"/>
        <w:ind w:left="200" w:right="200"/>
      </w:pPr>
      <w:r>
        <w:rPr>
          <w:b/>
          <w:bCs/>
          <w:color w:val="B91C1C"/>
          <w:sz w:val="20"/>
          <w:szCs w:val="20"/>
        </w:rPr>
        <w:t xml:space="preserve">Warning: </w:t>
      </w:r>
      <w:r>
        <w:rPr>
          <w:color w:val="52525B"/>
          <w:sz w:val="20"/>
          <w:szCs w:val="20"/>
        </w:rPr>
        <w:t xml:space="preserve">Disconnecting a partner does not delete historical data — only stops future syncs. Existing metrics records remain. To remove data, use the Buildings → Data tab → Bulk delete (Admin role required).</w:t>
      </w:r>
    </w:p>
    <w:p>
      <w:r>
        <w:br w:type="page"/>
      </w:r>
    </w:p>
    <w:p>
      <w:pPr>
        <w:pStyle w:val="Heading1"/>
        <w:pBdr>
          <w:bottom w:val="single" w:color="037272" w:sz="8" w:space="4"/>
        </w:pBdr>
        <w:spacing w:after="160" w:before="480"/>
      </w:pPr>
      <w:r>
        <w:t xml:space="preserve">7. Carbon &amp; Emissions</w:t>
      </w:r>
    </w:p>
    <w:p>
      <w:pPr>
        <w:spacing w:after="100" w:before="60"/>
      </w:pPr>
      <w:r>
        <w:rPr>
          <w:color w:val="09090B"/>
          <w:sz w:val="22"/>
          <w:szCs w:val="22"/>
        </w:rPr>
        <w:t xml:space="preserve">Carbon and emissions data is surfaced in three places:</w:t>
      </w:r>
    </w:p>
    <w:p>
      <w:pPr>
        <w:pStyle w:val="ListParagraph"/>
        <w:numPr>
          <w:ilvl w:val="0"/>
          <w:numId w:val="1"/>
        </w:numPr>
        <w:spacing w:after="40" w:before="40"/>
      </w:pPr>
      <w:r>
        <w:rPr>
          <w:color w:val="09090B"/>
          <w:sz w:val="22"/>
          <w:szCs w:val="22"/>
        </w:rPr>
        <w:t xml:space="preserve">Per-building → Carbon Intelligence tab (the deepest view — covered in §4.7)</w:t>
      </w:r>
    </w:p>
    <w:p>
      <w:pPr>
        <w:pStyle w:val="ListParagraph"/>
        <w:numPr>
          <w:ilvl w:val="0"/>
          <w:numId w:val="1"/>
        </w:numPr>
        <w:spacing w:after="40" w:before="40"/>
      </w:pPr>
      <w:r>
        <w:rPr>
          <w:color w:val="09090B"/>
          <w:sz w:val="22"/>
          <w:szCs w:val="22"/>
        </w:rPr>
        <w:t xml:space="preserve">Portfolio-level → Analytics tab → Carbon sub-tab (covered in §9)</w:t>
      </w:r>
    </w:p>
    <w:p>
      <w:pPr>
        <w:pStyle w:val="ListParagraph"/>
        <w:numPr>
          <w:ilvl w:val="0"/>
          <w:numId w:val="1"/>
        </w:numPr>
        <w:spacing w:after="40" w:before="40"/>
      </w:pPr>
      <w:r>
        <w:rPr>
          <w:color w:val="09090B"/>
          <w:sz w:val="22"/>
          <w:szCs w:val="22"/>
        </w:rPr>
        <w:t xml:space="preserve">Cross-cutting AI services — benchmark scanner and regulatory watch (covered below)</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The standalone Carbon page (/carbon) redirects to /analytics. The `carbon` module code is still active to keep shared components working.</w:t>
      </w:r>
    </w:p>
    <w:p>
      <w:pPr>
        <w:pStyle w:val="Heading2"/>
        <w:spacing w:after="120" w:before="360"/>
      </w:pPr>
      <w:r>
        <w:t xml:space="preserve">7.1 Scope 1 + 2 calculation</w:t>
      </w:r>
    </w:p>
    <w:p>
      <w:pPr>
        <w:spacing w:after="100" w:before="60"/>
      </w:pPr>
      <w:r>
        <w:rPr>
          <w:color w:val="09090B"/>
          <w:sz w:val="22"/>
          <w:szCs w:val="22"/>
        </w:rPr>
        <w:t xml:space="preserve">Portfolio One calculates emissions on the fly from the metrics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Scope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What it covers</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Formula</w:t>
            </w:r>
          </w:p>
        </w:tc>
      </w:tr>
      <w:tr>
        <w:tc>
          <w:tcPr>
            <w:tcW w:type="dxa" w:w="3000"/>
            <w:tcMar>
              <w:top w:type="dxa" w:w="80"/>
              <w:left w:type="dxa" w:w="120"/>
              <w:bottom w:type="dxa" w:w="80"/>
              <w:right w:type="dxa" w:w="120"/>
            </w:tcMar>
            <w:vAlign w:val="center"/>
          </w:tcPr>
          <w:p>
            <w:r>
              <w:rPr>
                <w:color w:val="09090B"/>
                <w:sz w:val="20"/>
                <w:szCs w:val="20"/>
              </w:rPr>
              <w:t xml:space="preserve">Scope 1</w:t>
            </w:r>
          </w:p>
        </w:tc>
        <w:tc>
          <w:tcPr>
            <w:tcW w:type="dxa" w:w="3000"/>
            <w:tcMar>
              <w:top w:type="dxa" w:w="80"/>
              <w:left w:type="dxa" w:w="120"/>
              <w:bottom w:type="dxa" w:w="80"/>
              <w:right w:type="dxa" w:w="120"/>
            </w:tcMar>
            <w:vAlign w:val="center"/>
          </w:tcPr>
          <w:p>
            <w:r>
              <w:rPr>
                <w:color w:val="09090B"/>
                <w:sz w:val="20"/>
                <w:szCs w:val="20"/>
              </w:rPr>
              <w:t xml:space="preserve">Direct emissions — gas, diesel, LPG combustion</w:t>
            </w:r>
          </w:p>
        </w:tc>
        <w:tc>
          <w:tcPr>
            <w:tcW w:type="dxa" w:w="3000"/>
            <w:tcMar>
              <w:top w:type="dxa" w:w="80"/>
              <w:left w:type="dxa" w:w="120"/>
              <w:bottom w:type="dxa" w:w="80"/>
              <w:right w:type="dxa" w:w="120"/>
            </w:tcMar>
            <w:vAlign w:val="center"/>
          </w:tcPr>
          <w:p>
            <w:r>
              <w:rPr>
                <w:color w:val="09090B"/>
                <w:sz w:val="20"/>
                <w:szCs w:val="20"/>
              </w:rPr>
              <w:t xml:space="preserve">metric value × emission factor (kgCO₂e per unit, from regionAdapter)</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Scope 2</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Purchased electricity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electricity_kwh × grid emission factor (region-specific eGRID / DEFRA / NGA / etc.)</w:t>
            </w:r>
          </w:p>
        </w:tc>
      </w:tr>
    </w:tbl>
    <w:p>
      <w:pPr>
        <w:spacing w:after="100" w:before="60"/>
      </w:pPr>
      <w:r>
        <w:rPr>
          <w:color w:val="09090B"/>
          <w:sz w:val="22"/>
          <w:szCs w:val="22"/>
        </w:rPr>
        <w:t xml:space="preserve">Emission factors live in the `emission_factors` DB table (region-specific) with regionAdapter fallback defaults. The factors are tagged by year — `getRegionConfig` returns the most recent active row.</w:t>
      </w:r>
    </w:p>
    <w:p>
      <w:pPr>
        <w:spacing w:after="100" w:before="60"/>
      </w:pPr>
      <w:r>
        <w:rPr>
          <w:color w:val="09090B"/>
          <w:sz w:val="22"/>
          <w:szCs w:val="22"/>
        </w:rPr>
        <w:t xml:space="preserve">Solar generation (`solar_kwh` metric) is netted off electricity before applying the Scope 2 factor — i.e. self-consumed solar is treated as zero-emission, only grid-imported electricity is counted.</w:t>
      </w:r>
    </w:p>
    <w:p>
      <w:pPr>
        <w:pStyle w:val="Heading2"/>
        <w:spacing w:after="120" w:before="360"/>
      </w:pPr>
      <w:r>
        <w:t xml:space="preserve">7.2 Net Zero trajectory</w:t>
      </w:r>
    </w:p>
    <w:p>
      <w:pPr>
        <w:spacing w:after="100" w:before="60"/>
      </w:pPr>
      <w:r>
        <w:rPr>
          <w:color w:val="09090B"/>
          <w:sz w:val="22"/>
          <w:szCs w:val="22"/>
        </w:rPr>
        <w:t xml:space="preserve">Each workspace has a default `net_zero_target_year` (typically 2050 per region). The trajectory is a linear glide path from current year to target year, against which monthly actuals are compared.</w:t>
      </w:r>
    </w:p>
    <w:p>
      <w:pPr>
        <w:spacing w:after="100" w:before="60"/>
      </w:pPr>
      <w:r>
        <w:rPr>
          <w:color w:val="09090B"/>
          <w:sz w:val="22"/>
          <w:szCs w:val="22"/>
        </w:rPr>
        <w:t xml:space="preserve">On the per-building Net Zero tab, scenarios can override this trajectory with intervention-based projections (see §4.8).</w:t>
      </w:r>
    </w:p>
    <w:p>
      <w:pPr>
        <w:pStyle w:val="Heading2"/>
        <w:spacing w:after="120" w:before="360"/>
      </w:pPr>
      <w:r>
        <w:t xml:space="preserve">7.3 AI Benchmark Scanner (`ai_benchmark` module)</w:t>
      </w:r>
    </w:p>
    <w:p>
      <w:pPr>
        <w:spacing w:after="100" w:before="60"/>
      </w:pPr>
      <w:r>
        <w:rPr>
          <w:color w:val="09090B"/>
          <w:sz w:val="22"/>
          <w:szCs w:val="22"/>
        </w:rPr>
        <w:t xml:space="preserve">A weekly job (configured in the sync scheduler) calls GPT-4o with `web_search_preview` for each region, retrieving the latest CIBSE / NABERS / ENERGY STAR / EDB benchmark values for each building type. Results cache to `benchmarks.json` with a `last_scanned_at` timestamp; auto-refresh if &gt; 30 days stale.</w:t>
      </w:r>
    </w:p>
    <w:p>
      <w:pPr>
        <w:spacing w:after="100" w:before="60"/>
      </w:pPr>
      <w:r>
        <w:rPr>
          <w:color w:val="09090B"/>
          <w:sz w:val="22"/>
          <w:szCs w:val="22"/>
        </w:rPr>
        <w:t xml:space="preserve">The cache is used by the Building Overview, Building Rankings, and the Carbon Intelligence panel's "How We Compare" slide.</w:t>
      </w:r>
    </w:p>
    <w:p>
      <w:pPr>
        <w:pStyle w:val="Heading2"/>
        <w:spacing w:after="120" w:before="360"/>
      </w:pPr>
      <w:r>
        <w:t xml:space="preserve">7.4 AI Regulatory Watch (`ai_regulatory` module)</w:t>
      </w:r>
    </w:p>
    <w:p>
      <w:pPr>
        <w:spacing w:after="100" w:before="60"/>
      </w:pPr>
      <w:r>
        <w:rPr>
          <w:color w:val="09090B"/>
          <w:sz w:val="22"/>
          <w:szCs w:val="22"/>
        </w:rPr>
        <w:t xml:space="preserve">A weekly job calls GPT-4o with `web_search_preview` for each active workspace's region, scanning for new ESG/energy regulations affecting that market. Returns urgency-tagged items.</w:t>
      </w:r>
    </w:p>
    <w:p>
      <w:pPr>
        <w:pStyle w:val="Heading3"/>
        <w:spacing w:after="80" w:before="240"/>
      </w:pPr>
      <w:r>
        <w:t xml:space="preserve">Where they appear</w:t>
      </w:r>
    </w:p>
    <w:p>
      <w:pPr>
        <w:pStyle w:val="ListParagraph"/>
        <w:numPr>
          <w:ilvl w:val="0"/>
          <w:numId w:val="1"/>
        </w:numPr>
        <w:spacing w:after="40" w:before="40"/>
      </w:pPr>
      <w:r>
        <w:rPr>
          <w:color w:val="09090B"/>
          <w:sz w:val="22"/>
          <w:szCs w:val="22"/>
        </w:rPr>
        <w:t xml:space="preserve">Carbon Intelligence regulatory context card (per building)</w:t>
      </w:r>
    </w:p>
    <w:p>
      <w:pPr>
        <w:pStyle w:val="ListParagraph"/>
        <w:numPr>
          <w:ilvl w:val="0"/>
          <w:numId w:val="1"/>
        </w:numPr>
        <w:spacing w:after="40" w:before="40"/>
      </w:pPr>
      <w:r>
        <w:rPr>
          <w:color w:val="09090B"/>
          <w:sz w:val="22"/>
          <w:szCs w:val="22"/>
        </w:rPr>
        <w:t xml:space="preserve">AI Insights drawer on the Dashboard</w:t>
      </w:r>
    </w:p>
    <w:p>
      <w:pPr>
        <w:pStyle w:val="ListParagraph"/>
        <w:numPr>
          <w:ilvl w:val="0"/>
          <w:numId w:val="1"/>
        </w:numPr>
        <w:spacing w:after="40" w:before="40"/>
      </w:pPr>
      <w:r>
        <w:rPr>
          <w:color w:val="09090B"/>
          <w:sz w:val="22"/>
          <w:szCs w:val="22"/>
        </w:rPr>
        <w:t xml:space="preserve">Settings → Notifications → Regulatory updates email digest (weekly Monday)</w:t>
      </w:r>
    </w:p>
    <w:p>
      <w:pPr>
        <w:pStyle w:val="Heading3"/>
        <w:spacing w:after="80" w:before="240"/>
      </w:pPr>
      <w:r>
        <w:t xml:space="preserve">Urgency colours</w:t>
      </w:r>
    </w:p>
    <w:p>
      <w:pPr>
        <w:pStyle w:val="ListParagraph"/>
        <w:numPr>
          <w:ilvl w:val="0"/>
          <w:numId w:val="1"/>
        </w:numPr>
        <w:spacing w:after="40" w:before="40"/>
      </w:pPr>
      <w:r>
        <w:rPr>
          <w:color w:val="09090B"/>
          <w:sz w:val="22"/>
          <w:szCs w:val="22"/>
        </w:rPr>
        <w:t xml:space="preserve">High — Red — Effective within 6 months, applies to your region + building type</w:t>
      </w:r>
    </w:p>
    <w:p>
      <w:pPr>
        <w:pStyle w:val="ListParagraph"/>
        <w:numPr>
          <w:ilvl w:val="0"/>
          <w:numId w:val="1"/>
        </w:numPr>
        <w:spacing w:after="40" w:before="40"/>
      </w:pPr>
      <w:r>
        <w:rPr>
          <w:color w:val="09090B"/>
          <w:sz w:val="22"/>
          <w:szCs w:val="22"/>
        </w:rPr>
        <w:t xml:space="preserve">Medium — Amber — Effective within 12 months, or applies to your region generally</w:t>
      </w:r>
    </w:p>
    <w:p>
      <w:pPr>
        <w:pStyle w:val="ListParagraph"/>
        <w:numPr>
          <w:ilvl w:val="0"/>
          <w:numId w:val="1"/>
        </w:numPr>
        <w:spacing w:after="40" w:before="40"/>
      </w:pPr>
      <w:r>
        <w:rPr>
          <w:color w:val="09090B"/>
          <w:sz w:val="22"/>
          <w:szCs w:val="22"/>
        </w:rPr>
        <w:t xml:space="preserve">Low — Grey — Informational, may affect you in 12+ months</w:t>
      </w:r>
    </w:p>
    <w:p>
      <w:pPr>
        <w:spacing w:after="100" w:before="60"/>
      </w:pPr>
      <w:r>
        <w:rPr>
          <w:color w:val="09090B"/>
          <w:sz w:val="22"/>
          <w:szCs w:val="22"/>
        </w:rPr>
        <w:t xml:space="preserve">Items can be dismissed (stored to localStorage) so they don't reappear after acknowledgement.</w:t>
      </w:r>
    </w:p>
    <w:p>
      <w:pPr>
        <w:pStyle w:val="Heading2"/>
        <w:spacing w:after="120" w:before="360"/>
      </w:pPr>
      <w:r>
        <w:t xml:space="preserve">7.5 Carbon offsets marketplace</w:t>
      </w:r>
    </w:p>
    <w:p>
      <w:pPr>
        <w:spacing w:after="100" w:before="60"/>
      </w:pPr>
      <w:r>
        <w:rPr>
          <w:color w:val="09090B"/>
          <w:sz w:val="22"/>
          <w:szCs w:val="22"/>
        </w:rPr>
        <w:t xml:space="preserve">Six hard-coded offset projects (one per region) appear at the bottom of the Carbon Intelligence page:</w:t>
      </w:r>
    </w:p>
    <w:p>
      <w:pPr>
        <w:pStyle w:val="ListParagraph"/>
        <w:numPr>
          <w:ilvl w:val="0"/>
          <w:numId w:val="1"/>
        </w:numPr>
        <w:spacing w:after="40" w:before="40"/>
      </w:pPr>
      <w:r>
        <w:rPr>
          <w:color w:val="09090B"/>
          <w:sz w:val="22"/>
          <w:szCs w:val="22"/>
        </w:rPr>
        <w:t xml:space="preserve">UK — Woodland creation (Woodland Carbon Code)</w:t>
      </w:r>
    </w:p>
    <w:p>
      <w:pPr>
        <w:pStyle w:val="ListParagraph"/>
        <w:numPr>
          <w:ilvl w:val="0"/>
          <w:numId w:val="1"/>
        </w:numPr>
        <w:spacing w:after="40" w:before="40"/>
      </w:pPr>
      <w:r>
        <w:rPr>
          <w:color w:val="09090B"/>
          <w:sz w:val="22"/>
          <w:szCs w:val="22"/>
        </w:rPr>
        <w:t xml:space="preserve">US — Texas wind farm (Verra VCS)</w:t>
      </w:r>
    </w:p>
    <w:p>
      <w:pPr>
        <w:pStyle w:val="ListParagraph"/>
        <w:numPr>
          <w:ilvl w:val="0"/>
          <w:numId w:val="1"/>
        </w:numPr>
        <w:spacing w:after="40" w:before="40"/>
      </w:pPr>
      <w:r>
        <w:rPr>
          <w:color w:val="09090B"/>
          <w:sz w:val="22"/>
          <w:szCs w:val="22"/>
        </w:rPr>
        <w:t xml:space="preserve">AU — Savanna burning project (ACCU)</w:t>
      </w:r>
    </w:p>
    <w:p>
      <w:pPr>
        <w:pStyle w:val="ListParagraph"/>
        <w:numPr>
          <w:ilvl w:val="0"/>
          <w:numId w:val="1"/>
        </w:numPr>
        <w:spacing w:after="40" w:before="40"/>
      </w:pPr>
      <w:r>
        <w:rPr>
          <w:color w:val="09090B"/>
          <w:sz w:val="22"/>
          <w:szCs w:val="22"/>
        </w:rPr>
        <w:t xml:space="preserve">HK — Mangrove restoration (Gold Standard)</w:t>
      </w:r>
    </w:p>
    <w:p>
      <w:pPr>
        <w:pStyle w:val="ListParagraph"/>
        <w:numPr>
          <w:ilvl w:val="0"/>
          <w:numId w:val="1"/>
        </w:numPr>
        <w:spacing w:after="40" w:before="40"/>
      </w:pPr>
      <w:r>
        <w:rPr>
          <w:color w:val="09090B"/>
          <w:sz w:val="22"/>
          <w:szCs w:val="22"/>
        </w:rPr>
        <w:t xml:space="preserve">EU — Solar microgrid (Gold Standard)</w:t>
      </w:r>
    </w:p>
    <w:p>
      <w:pPr>
        <w:pStyle w:val="ListParagraph"/>
        <w:numPr>
          <w:ilvl w:val="0"/>
          <w:numId w:val="1"/>
        </w:numPr>
        <w:spacing w:after="40" w:before="40"/>
      </w:pPr>
      <w:r>
        <w:rPr>
          <w:color w:val="09090B"/>
          <w:sz w:val="22"/>
          <w:szCs w:val="22"/>
        </w:rPr>
        <w:t xml:space="preserve">JM — Mangrove restoration (Verra VCS)</w:t>
      </w:r>
    </w:p>
    <w:p>
      <w:pPr>
        <w:pStyle w:val="Heading3"/>
        <w:spacing w:after="80" w:before="240"/>
      </w:pPr>
      <w:r>
        <w:t xml:space="preserve">Purchase simulation</w:t>
      </w:r>
    </w:p>
    <w:p>
      <w:pPr>
        <w:spacing w:after="100" w:before="60"/>
      </w:pPr>
      <w:r>
        <w:rPr>
          <w:color w:val="09090B"/>
          <w:sz w:val="22"/>
          <w:szCs w:val="22"/>
        </w:rPr>
        <w:t xml:space="preserve">Click any project card → modal opens. Enter tonnes to purchase → modal shows impact equivalency (tonnes × 0.2 = cars off the road) and total cost. Confirm → record inserts into `carbon_offsets` table.</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Purchases are recorded for reporting; they do not actually transact (no payment integration). The model is suitable for showing offset intent in management reports.</w:t>
      </w:r>
    </w:p>
    <w:p>
      <w:r>
        <w:br w:type="page"/>
      </w:r>
    </w:p>
    <w:p>
      <w:pPr>
        <w:pStyle w:val="Heading1"/>
        <w:pBdr>
          <w:bottom w:val="single" w:color="037272" w:sz="8" w:space="4"/>
        </w:pBdr>
        <w:spacing w:after="160" w:before="480"/>
      </w:pPr>
      <w:r>
        <w:t xml:space="preserve">8. Reports</w:t>
      </w:r>
    </w:p>
    <w:p>
      <w:pPr>
        <w:spacing w:after="100" w:before="60"/>
      </w:pPr>
      <w:r>
        <w:rPr>
          <w:color w:val="09090B"/>
          <w:sz w:val="22"/>
          <w:szCs w:val="22"/>
        </w:rPr>
        <w:t xml:space="preserve">The Reports module at /reports lets you generate, share, and archive every kind of stakeholder-facing document Portfolio One produces.</w:t>
      </w:r>
    </w:p>
    <w:p>
      <w:pPr>
        <w:pStyle w:val="Heading2"/>
        <w:spacing w:after="120" w:before="360"/>
      </w:pPr>
      <w:r>
        <w:t xml:space="preserve">8.1 Report list (history)</w:t>
      </w:r>
    </w:p>
    <w:p>
      <w:pPr>
        <w:spacing w:after="100" w:before="60"/>
      </w:pPr>
      <w:r>
        <w:rPr>
          <w:color w:val="09090B"/>
          <w:sz w:val="22"/>
          <w:szCs w:val="22"/>
        </w:rPr>
        <w:t xml:space="preserve">The default view is a table of every report ever generated for this workspace.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037272" w:color="auto" w:val="clear"/>
            <w:tcMar>
              <w:top w:type="dxa" w:w="80"/>
              <w:left w:type="dxa" w:w="120"/>
              <w:bottom w:type="dxa" w:w="80"/>
              <w:right w:type="dxa" w:w="120"/>
            </w:tcMar>
            <w:vAlign w:val="center"/>
          </w:tcPr>
          <w:p>
            <w:r>
              <w:rPr>
                <w:b/>
                <w:bCs/>
                <w:color w:val="FFFFFF"/>
                <w:sz w:val="20"/>
                <w:szCs w:val="20"/>
              </w:rPr>
              <w:t xml:space="preserve">Column</w:t>
            </w:r>
          </w:p>
        </w:tc>
        <w:tc>
          <w:tcPr>
            <w:tcW w:type="dxa" w:w="4500"/>
            <w:shd w:fill="037272"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4500"/>
            <w:tcMar>
              <w:top w:type="dxa" w:w="80"/>
              <w:left w:type="dxa" w:w="120"/>
              <w:bottom w:type="dxa" w:w="80"/>
              <w:right w:type="dxa" w:w="120"/>
            </w:tcMar>
            <w:vAlign w:val="center"/>
          </w:tcPr>
          <w:p>
            <w:r>
              <w:rPr>
                <w:color w:val="09090B"/>
                <w:sz w:val="20"/>
                <w:szCs w:val="20"/>
              </w:rPr>
              <w:t xml:space="preserve">Title</w:t>
            </w:r>
          </w:p>
        </w:tc>
        <w:tc>
          <w:tcPr>
            <w:tcW w:type="dxa" w:w="4500"/>
            <w:tcMar>
              <w:top w:type="dxa" w:w="80"/>
              <w:left w:type="dxa" w:w="120"/>
              <w:bottom w:type="dxa" w:w="80"/>
              <w:right w:type="dxa" w:w="120"/>
            </w:tcMar>
            <w:vAlign w:val="center"/>
          </w:tcPr>
          <w:p>
            <w:r>
              <w:rPr>
                <w:color w:val="09090B"/>
                <w:sz w:val="20"/>
                <w:szCs w:val="20"/>
              </w:rPr>
              <w:t xml:space="preserve">Editable inline</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Scope</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Portfolio / Asset</w:t>
            </w:r>
          </w:p>
        </w:tc>
      </w:tr>
      <w:tr>
        <w:tc>
          <w:tcPr>
            <w:tcW w:type="dxa" w:w="4500"/>
            <w:tcMar>
              <w:top w:type="dxa" w:w="80"/>
              <w:left w:type="dxa" w:w="120"/>
              <w:bottom w:type="dxa" w:w="80"/>
              <w:right w:type="dxa" w:w="120"/>
            </w:tcMar>
            <w:vAlign w:val="center"/>
          </w:tcPr>
          <w:p>
            <w:r>
              <w:rPr>
                <w:color w:val="09090B"/>
                <w:sz w:val="20"/>
                <w:szCs w:val="20"/>
              </w:rPr>
              <w:t xml:space="preserve">Format</w:t>
            </w:r>
          </w:p>
        </w:tc>
        <w:tc>
          <w:tcPr>
            <w:tcW w:type="dxa" w:w="4500"/>
            <w:tcMar>
              <w:top w:type="dxa" w:w="80"/>
              <w:left w:type="dxa" w:w="120"/>
              <w:bottom w:type="dxa" w:w="80"/>
              <w:right w:type="dxa" w:w="120"/>
            </w:tcMar>
            <w:vAlign w:val="center"/>
          </w:tcPr>
          <w:p>
            <w:r>
              <w:rPr>
                <w:color w:val="09090B"/>
                <w:sz w:val="20"/>
                <w:szCs w:val="20"/>
              </w:rPr>
              <w:t xml:space="preserve">PDF / XLSX / PPTX / DOCX badge</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Status</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Draft / Generating (with spinner) / Complete / Failed</w:t>
            </w:r>
          </w:p>
        </w:tc>
      </w:tr>
      <w:tr>
        <w:tc>
          <w:tcPr>
            <w:tcW w:type="dxa" w:w="4500"/>
            <w:tcMar>
              <w:top w:type="dxa" w:w="80"/>
              <w:left w:type="dxa" w:w="120"/>
              <w:bottom w:type="dxa" w:w="80"/>
              <w:right w:type="dxa" w:w="120"/>
            </w:tcMar>
            <w:vAlign w:val="center"/>
          </w:tcPr>
          <w:p>
            <w:r>
              <w:rPr>
                <w:color w:val="09090B"/>
                <w:sz w:val="20"/>
                <w:szCs w:val="20"/>
              </w:rPr>
              <w:t xml:space="preserve">Generated</w:t>
            </w:r>
          </w:p>
        </w:tc>
        <w:tc>
          <w:tcPr>
            <w:tcW w:type="dxa" w:w="4500"/>
            <w:tcMar>
              <w:top w:type="dxa" w:w="80"/>
              <w:left w:type="dxa" w:w="120"/>
              <w:bottom w:type="dxa" w:w="80"/>
              <w:right w:type="dxa" w:w="120"/>
            </w:tcMar>
            <w:vAlign w:val="center"/>
          </w:tcPr>
          <w:p>
            <w:r>
              <w:rPr>
                <w:color w:val="09090B"/>
                <w:sz w:val="20"/>
                <w:szCs w:val="20"/>
              </w:rPr>
              <w:t xml:space="preserve">Relative timestamp</w:t>
            </w:r>
          </w:p>
        </w:tc>
      </w:tr>
      <w:tr>
        <w:tc>
          <w:tcPr>
            <w:tcW w:type="dxa" w:w="4500"/>
            <w:shd w:fill="F4F4F5" w:color="auto" w:val="clear"/>
            <w:tcMar>
              <w:top w:type="dxa" w:w="80"/>
              <w:left w:type="dxa" w:w="120"/>
              <w:bottom w:type="dxa" w:w="80"/>
              <w:right w:type="dxa" w:w="120"/>
            </w:tcMar>
            <w:vAlign w:val="center"/>
          </w:tcPr>
          <w:p>
            <w:r>
              <w:rPr>
                <w:color w:val="09090B"/>
                <w:sz w:val="20"/>
                <w:szCs w:val="20"/>
              </w:rPr>
              <w:t xml:space="preserve">Generated by</w:t>
            </w:r>
          </w:p>
        </w:tc>
        <w:tc>
          <w:tcPr>
            <w:tcW w:type="dxa" w:w="4500"/>
            <w:shd w:fill="F4F4F5" w:color="auto" w:val="clear"/>
            <w:tcMar>
              <w:top w:type="dxa" w:w="80"/>
              <w:left w:type="dxa" w:w="120"/>
              <w:bottom w:type="dxa" w:w="80"/>
              <w:right w:type="dxa" w:w="120"/>
            </w:tcMar>
            <w:vAlign w:val="center"/>
          </w:tcPr>
          <w:p>
            <w:r>
              <w:rPr>
                <w:color w:val="09090B"/>
                <w:sz w:val="20"/>
                <w:szCs w:val="20"/>
              </w:rPr>
              <w:t xml:space="preserve">User name</w:t>
            </w:r>
          </w:p>
        </w:tc>
      </w:tr>
      <w:tr>
        <w:tc>
          <w:tcPr>
            <w:tcW w:type="dxa" w:w="4500"/>
            <w:tcMar>
              <w:top w:type="dxa" w:w="80"/>
              <w:left w:type="dxa" w:w="120"/>
              <w:bottom w:type="dxa" w:w="80"/>
              <w:right w:type="dxa" w:w="120"/>
            </w:tcMar>
            <w:vAlign w:val="center"/>
          </w:tcPr>
          <w:p>
            <w:r>
              <w:rPr>
                <w:color w:val="09090B"/>
                <w:sz w:val="20"/>
                <w:szCs w:val="20"/>
              </w:rPr>
              <w:t xml:space="preserve">Actions</w:t>
            </w:r>
          </w:p>
        </w:tc>
        <w:tc>
          <w:tcPr>
            <w:tcW w:type="dxa" w:w="4500"/>
            <w:tcMar>
              <w:top w:type="dxa" w:w="80"/>
              <w:left w:type="dxa" w:w="120"/>
              <w:bottom w:type="dxa" w:w="80"/>
              <w:right w:type="dxa" w:w="120"/>
            </w:tcMar>
            <w:vAlign w:val="center"/>
          </w:tcPr>
          <w:p>
            <w:r>
              <w:rPr>
                <w:color w:val="09090B"/>
                <w:sz w:val="20"/>
                <w:szCs w:val="20"/>
              </w:rPr>
              <w:t xml:space="preserve">Download · Share · Delete</w:t>
            </w:r>
          </w:p>
        </w:tc>
      </w:tr>
    </w:tbl>
    <w:p>
      <w:pPr>
        <w:pStyle w:val="Heading2"/>
        <w:spacing w:after="120" w:before="360"/>
      </w:pPr>
      <w:r>
        <w:t xml:space="preserve">8.2 Report Builder</w:t>
      </w:r>
    </w:p>
    <w:p>
      <w:pPr>
        <w:spacing w:after="100" w:before="60"/>
      </w:pPr>
      <w:r>
        <w:rPr>
          <w:color w:val="09090B"/>
          <w:sz w:val="22"/>
          <w:szCs w:val="22"/>
        </w:rPr>
        <w:t xml:space="preserve">"Create report" button opens a slide-in drawer.</w:t>
      </w:r>
    </w:p>
    <w:p>
      <w:pPr>
        <w:pStyle w:val="Heading3"/>
        <w:spacing w:after="80" w:before="240"/>
      </w:pPr>
      <w:r>
        <w:t xml:space="preserve">Step 1 — Scope</w:t>
      </w:r>
    </w:p>
    <w:p>
      <w:pPr>
        <w:pStyle w:val="ListParagraph"/>
        <w:numPr>
          <w:ilvl w:val="0"/>
          <w:numId w:val="1"/>
        </w:numPr>
        <w:spacing w:after="40" w:before="40"/>
      </w:pPr>
      <w:r>
        <w:rPr>
          <w:color w:val="09090B"/>
          <w:sz w:val="22"/>
          <w:szCs w:val="22"/>
        </w:rPr>
        <w:t xml:space="preserve">Portfolio — covers every asset in the workspace</w:t>
      </w:r>
    </w:p>
    <w:p>
      <w:pPr>
        <w:pStyle w:val="ListParagraph"/>
        <w:numPr>
          <w:ilvl w:val="0"/>
          <w:numId w:val="1"/>
        </w:numPr>
        <w:spacing w:after="40" w:before="40"/>
      </w:pPr>
      <w:r>
        <w:rPr>
          <w:color w:val="09090B"/>
          <w:sz w:val="22"/>
          <w:szCs w:val="22"/>
        </w:rPr>
        <w:t xml:space="preserve">Asset — pick a single building (asset dropdown appears)</w:t>
      </w:r>
    </w:p>
    <w:p>
      <w:pPr>
        <w:pStyle w:val="Heading3"/>
        <w:spacing w:after="80" w:before="240"/>
      </w:pPr>
      <w:r>
        <w:t xml:space="preserve">Step 2 — Period</w:t>
      </w:r>
    </w:p>
    <w:p>
      <w:pPr>
        <w:pStyle w:val="ListParagraph"/>
        <w:numPr>
          <w:ilvl w:val="0"/>
          <w:numId w:val="1"/>
        </w:numPr>
        <w:spacing w:after="40" w:before="40"/>
      </w:pPr>
      <w:r>
        <w:rPr>
          <w:color w:val="09090B"/>
          <w:sz w:val="22"/>
          <w:szCs w:val="22"/>
        </w:rPr>
        <w:t xml:space="preserve">Last calendar month</w:t>
      </w:r>
    </w:p>
    <w:p>
      <w:pPr>
        <w:pStyle w:val="ListParagraph"/>
        <w:numPr>
          <w:ilvl w:val="0"/>
          <w:numId w:val="1"/>
        </w:numPr>
        <w:spacing w:after="40" w:before="40"/>
      </w:pPr>
      <w:r>
        <w:rPr>
          <w:color w:val="09090B"/>
          <w:sz w:val="22"/>
          <w:szCs w:val="22"/>
        </w:rPr>
        <w:t xml:space="preserve">Last 3 / 6 / 12 months</w:t>
      </w:r>
    </w:p>
    <w:p>
      <w:pPr>
        <w:pStyle w:val="ListParagraph"/>
        <w:numPr>
          <w:ilvl w:val="0"/>
          <w:numId w:val="1"/>
        </w:numPr>
        <w:spacing w:after="40" w:before="40"/>
      </w:pPr>
      <w:r>
        <w:rPr>
          <w:color w:val="09090B"/>
          <w:sz w:val="22"/>
          <w:szCs w:val="22"/>
        </w:rPr>
        <w:t xml:space="preserve">Custom date range</w:t>
      </w:r>
    </w:p>
    <w:p>
      <w:pPr>
        <w:pStyle w:val="Heading3"/>
        <w:spacing w:after="80" w:before="240"/>
      </w:pPr>
      <w:r>
        <w:t xml:space="preserve">Step 3 —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Template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Output format</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Sections</w:t>
            </w:r>
          </w:p>
        </w:tc>
      </w:tr>
      <w:tr>
        <w:tc>
          <w:tcPr>
            <w:tcW w:type="dxa" w:w="3000"/>
            <w:tcMar>
              <w:top w:type="dxa" w:w="80"/>
              <w:left w:type="dxa" w:w="120"/>
              <w:bottom w:type="dxa" w:w="80"/>
              <w:right w:type="dxa" w:w="120"/>
            </w:tcMar>
            <w:vAlign w:val="center"/>
          </w:tcPr>
          <w:p>
            <w:r>
              <w:rPr>
                <w:color w:val="09090B"/>
                <w:sz w:val="20"/>
                <w:szCs w:val="20"/>
              </w:rPr>
              <w:t xml:space="preserve">Standard</w:t>
            </w:r>
          </w:p>
        </w:tc>
        <w:tc>
          <w:tcPr>
            <w:tcW w:type="dxa" w:w="3000"/>
            <w:tcMar>
              <w:top w:type="dxa" w:w="80"/>
              <w:left w:type="dxa" w:w="120"/>
              <w:bottom w:type="dxa" w:w="80"/>
              <w:right w:type="dxa" w:w="120"/>
            </w:tcMar>
            <w:vAlign w:val="center"/>
          </w:tcPr>
          <w:p>
            <w:r>
              <w:rPr>
                <w:color w:val="09090B"/>
                <w:sz w:val="20"/>
                <w:szCs w:val="20"/>
              </w:rPr>
              <w:t xml:space="preserve">PDF</w:t>
            </w:r>
          </w:p>
        </w:tc>
        <w:tc>
          <w:tcPr>
            <w:tcW w:type="dxa" w:w="3000"/>
            <w:tcMar>
              <w:top w:type="dxa" w:w="80"/>
              <w:left w:type="dxa" w:w="120"/>
              <w:bottom w:type="dxa" w:w="80"/>
              <w:right w:type="dxa" w:w="120"/>
            </w:tcMar>
            <w:vAlign w:val="center"/>
          </w:tcPr>
          <w:p>
            <w:r>
              <w:rPr>
                <w:color w:val="09090B"/>
                <w:sz w:val="20"/>
                <w:szCs w:val="20"/>
              </w:rPr>
              <w:t xml:space="preserve">Cover · KPIs · Building rankings · Net zero · Alert summary · AI insights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ESG Snapshot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PDF + DOCX</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Cover · Scope 1+2 totals · YoY · Regulatory context · Certifications</w:t>
            </w:r>
          </w:p>
        </w:tc>
      </w:tr>
      <w:tr>
        <w:tc>
          <w:tcPr>
            <w:tcW w:type="dxa" w:w="3000"/>
            <w:tcMar>
              <w:top w:type="dxa" w:w="80"/>
              <w:left w:type="dxa" w:w="120"/>
              <w:bottom w:type="dxa" w:w="80"/>
              <w:right w:type="dxa" w:w="120"/>
            </w:tcMar>
            <w:vAlign w:val="center"/>
          </w:tcPr>
          <w:p>
            <w:r>
              <w:rPr>
                <w:color w:val="09090B"/>
                <w:sz w:val="20"/>
                <w:szCs w:val="20"/>
              </w:rPr>
              <w:t xml:space="preserve">Investor</w:t>
            </w:r>
          </w:p>
        </w:tc>
        <w:tc>
          <w:tcPr>
            <w:tcW w:type="dxa" w:w="3000"/>
            <w:tcMar>
              <w:top w:type="dxa" w:w="80"/>
              <w:left w:type="dxa" w:w="120"/>
              <w:bottom w:type="dxa" w:w="80"/>
              <w:right w:type="dxa" w:w="120"/>
            </w:tcMar>
            <w:vAlign w:val="center"/>
          </w:tcPr>
          <w:p>
            <w:r>
              <w:rPr>
                <w:color w:val="09090B"/>
                <w:sz w:val="20"/>
                <w:szCs w:val="20"/>
              </w:rPr>
              <w:t xml:space="preserve">PDF + PPTX</w:t>
            </w:r>
          </w:p>
        </w:tc>
        <w:tc>
          <w:tcPr>
            <w:tcW w:type="dxa" w:w="3000"/>
            <w:tcMar>
              <w:top w:type="dxa" w:w="80"/>
              <w:left w:type="dxa" w:w="120"/>
              <w:bottom w:type="dxa" w:w="80"/>
              <w:right w:type="dxa" w:w="120"/>
            </w:tcMar>
            <w:vAlign w:val="center"/>
          </w:tcPr>
          <w:p>
            <w:r>
              <w:rPr>
                <w:color w:val="09090B"/>
                <w:sz w:val="20"/>
                <w:szCs w:val="20"/>
              </w:rPr>
              <w:t xml:space="preserve">Executive summary · Portfolio carbon · Investment opportunities · ROI projections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Custom</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PDF + XLSX</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Pick any section you want — checkbox list</w:t>
            </w:r>
          </w:p>
        </w:tc>
      </w:tr>
    </w:tbl>
    <w:p>
      <w:pPr>
        <w:pStyle w:val="Heading3"/>
        <w:spacing w:after="80" w:before="240"/>
      </w:pPr>
      <w:r>
        <w:t xml:space="preserve">Step 4 — Generate</w:t>
      </w:r>
    </w:p>
    <w:p>
      <w:pPr>
        <w:spacing w:after="100" w:before="60"/>
      </w:pPr>
      <w:r>
        <w:rPr>
          <w:color w:val="09090B"/>
          <w:sz w:val="22"/>
          <w:szCs w:val="22"/>
        </w:rPr>
        <w:t xml:space="preserve">Click "Generate" → the drawer shows an SSE (Server-Sent Events) progress stream:</w:t>
      </w:r>
    </w:p>
    <w:p>
      <w:pPr>
        <w:pStyle w:val="ListParagraph"/>
        <w:numPr>
          <w:ilvl w:val="0"/>
          <w:numId w:val="1"/>
        </w:numPr>
        <w:spacing w:after="40" w:before="40"/>
      </w:pPr>
      <w:r>
        <w:rPr>
          <w:color w:val="09090B"/>
          <w:sz w:val="22"/>
          <w:szCs w:val="22"/>
        </w:rPr>
        <w:t xml:space="preserve">"Aggregating portfolio data..."</w:t>
      </w:r>
    </w:p>
    <w:p>
      <w:pPr>
        <w:pStyle w:val="ListParagraph"/>
        <w:numPr>
          <w:ilvl w:val="0"/>
          <w:numId w:val="1"/>
        </w:numPr>
        <w:spacing w:after="40" w:before="40"/>
      </w:pPr>
      <w:r>
        <w:rPr>
          <w:color w:val="09090B"/>
          <w:sz w:val="22"/>
          <w:szCs w:val="22"/>
        </w:rPr>
        <w:t xml:space="preserve">"Calculating Scope 1+2 emissions..."</w:t>
      </w:r>
    </w:p>
    <w:p>
      <w:pPr>
        <w:pStyle w:val="ListParagraph"/>
        <w:numPr>
          <w:ilvl w:val="0"/>
          <w:numId w:val="1"/>
        </w:numPr>
        <w:spacing w:after="40" w:before="40"/>
      </w:pPr>
      <w:r>
        <w:rPr>
          <w:color w:val="09090B"/>
          <w:sz w:val="22"/>
          <w:szCs w:val="22"/>
        </w:rPr>
        <w:t xml:space="preserve">"Writing executive summary (AI)..."</w:t>
      </w:r>
    </w:p>
    <w:p>
      <w:pPr>
        <w:pStyle w:val="ListParagraph"/>
        <w:numPr>
          <w:ilvl w:val="0"/>
          <w:numId w:val="1"/>
        </w:numPr>
        <w:spacing w:after="40" w:before="40"/>
      </w:pPr>
      <w:r>
        <w:rPr>
          <w:color w:val="09090B"/>
          <w:sz w:val="22"/>
          <w:szCs w:val="22"/>
        </w:rPr>
        <w:t xml:space="preserve">"Rendering charts..."</w:t>
      </w:r>
    </w:p>
    <w:p>
      <w:pPr>
        <w:pStyle w:val="ListParagraph"/>
        <w:numPr>
          <w:ilvl w:val="0"/>
          <w:numId w:val="1"/>
        </w:numPr>
        <w:spacing w:after="40" w:before="40"/>
      </w:pPr>
      <w:r>
        <w:rPr>
          <w:color w:val="09090B"/>
          <w:sz w:val="22"/>
          <w:szCs w:val="22"/>
        </w:rPr>
        <w:t xml:space="preserve">"Generating PDF via Puppeteer..."</w:t>
      </w:r>
    </w:p>
    <w:p>
      <w:pPr>
        <w:pStyle w:val="ListParagraph"/>
        <w:numPr>
          <w:ilvl w:val="0"/>
          <w:numId w:val="1"/>
        </w:numPr>
        <w:spacing w:after="40" w:before="40"/>
      </w:pPr>
      <w:r>
        <w:rPr>
          <w:color w:val="09090B"/>
          <w:sz w:val="22"/>
          <w:szCs w:val="22"/>
        </w:rPr>
        <w:t xml:space="preserve">"Uploading to S3..."</w:t>
      </w:r>
    </w:p>
    <w:p>
      <w:pPr>
        <w:pStyle w:val="ListParagraph"/>
        <w:numPr>
          <w:ilvl w:val="0"/>
          <w:numId w:val="1"/>
        </w:numPr>
        <w:spacing w:after="40" w:before="40"/>
      </w:pPr>
      <w:r>
        <w:rPr>
          <w:color w:val="09090B"/>
          <w:sz w:val="22"/>
          <w:szCs w:val="22"/>
        </w:rPr>
        <w:t xml:space="preserve">"Ready ✓"</w:t>
      </w:r>
    </w:p>
    <w:p>
      <w:pPr>
        <w:spacing w:after="100" w:before="60"/>
      </w:pPr>
      <w:r>
        <w:rPr>
          <w:color w:val="09090B"/>
          <w:sz w:val="22"/>
          <w:szCs w:val="22"/>
        </w:rPr>
        <w:t xml:space="preserve">Total generation time: 30-90 seconds depending on portfolio size and template complexity. The page is safe to navigate away from — the report continues server-side and the row in the table updates to "Complete" when done.</w:t>
      </w:r>
    </w:p>
    <w:p>
      <w:pPr>
        <w:pStyle w:val="Heading2"/>
        <w:spacing w:after="120" w:before="360"/>
      </w:pPr>
      <w:r>
        <w:t xml:space="preserve">8.3 Share links</w:t>
      </w:r>
    </w:p>
    <w:p>
      <w:pPr>
        <w:spacing w:after="100" w:before="60"/>
      </w:pPr>
      <w:r>
        <w:rPr>
          <w:color w:val="09090B"/>
          <w:sz w:val="22"/>
          <w:szCs w:val="22"/>
        </w:rPr>
        <w:t xml:space="preserve">Click "Share" on any complete report → modal opens.</w:t>
      </w:r>
    </w:p>
    <w:p>
      <w:pPr>
        <w:pStyle w:val="ListParagraph"/>
        <w:numPr>
          <w:ilvl w:val="0"/>
          <w:numId w:val="1"/>
        </w:numPr>
        <w:spacing w:after="40" w:before="40"/>
      </w:pPr>
      <w:r>
        <w:rPr>
          <w:color w:val="09090B"/>
          <w:sz w:val="22"/>
          <w:szCs w:val="22"/>
        </w:rPr>
        <w:t xml:space="preserve">Generate share token — creates a one-time UUID, valid for 30 days by default</w:t>
      </w:r>
    </w:p>
    <w:p>
      <w:pPr>
        <w:pStyle w:val="ListParagraph"/>
        <w:numPr>
          <w:ilvl w:val="0"/>
          <w:numId w:val="1"/>
        </w:numPr>
        <w:spacing w:after="40" w:before="40"/>
      </w:pPr>
      <w:r>
        <w:rPr>
          <w:color w:val="09090B"/>
          <w:sz w:val="22"/>
          <w:szCs w:val="22"/>
        </w:rPr>
        <w:t xml:space="preserve">Copy link — "/reports/shared/[token]"</w:t>
      </w:r>
    </w:p>
    <w:p>
      <w:pPr>
        <w:pStyle w:val="ListParagraph"/>
        <w:numPr>
          <w:ilvl w:val="0"/>
          <w:numId w:val="1"/>
        </w:numPr>
        <w:spacing w:after="40" w:before="40"/>
      </w:pPr>
      <w:r>
        <w:rPr>
          <w:color w:val="09090B"/>
          <w:sz w:val="22"/>
          <w:szCs w:val="22"/>
        </w:rPr>
        <w:t xml:space="preserve">Expires — date picker (1 day / 7 days / 30 days / 90 days / never)</w:t>
      </w:r>
    </w:p>
    <w:p>
      <w:pPr>
        <w:pStyle w:val="ListParagraph"/>
        <w:numPr>
          <w:ilvl w:val="0"/>
          <w:numId w:val="1"/>
        </w:numPr>
        <w:spacing w:after="40" w:before="40"/>
      </w:pPr>
      <w:r>
        <w:rPr>
          <w:color w:val="09090B"/>
          <w:sz w:val="22"/>
          <w:szCs w:val="22"/>
        </w:rPr>
        <w:t xml:space="preserve">Revoke link — sets share_expires_at to NOW(); existing copies of the link stop working</w:t>
      </w:r>
    </w:p>
    <w:p>
      <w:pPr>
        <w:spacing w:after="100" w:before="60"/>
      </w:pPr>
      <w:r>
        <w:rPr>
          <w:color w:val="09090B"/>
          <w:sz w:val="22"/>
          <w:szCs w:val="22"/>
        </w:rPr>
        <w:t xml:space="preserve">Shared links bypass authentication — anyone with the link can view + download the PDF. Use carefully for sensitive data.</w:t>
      </w:r>
    </w:p>
    <w:p>
      <w:pPr>
        <w:pStyle w:val="Heading2"/>
        <w:spacing w:after="120" w:before="360"/>
      </w:pPr>
      <w:r>
        <w:t xml:space="preserve">8.4 Report preview</w:t>
      </w:r>
    </w:p>
    <w:p>
      <w:pPr>
        <w:spacing w:after="100" w:before="60"/>
      </w:pPr>
      <w:r>
        <w:rPr>
          <w:color w:val="09090B"/>
          <w:sz w:val="22"/>
          <w:szCs w:val="22"/>
        </w:rPr>
        <w:t xml:space="preserve">Click any report row → /reports/:id/preview opens a full-page preview with download button. The preview is rendered from the S3-stored HTML.</w:t>
      </w:r>
    </w:p>
    <w:p>
      <w:pPr>
        <w:pStyle w:val="Heading2"/>
        <w:spacing w:after="120" w:before="360"/>
      </w:pPr>
      <w:r>
        <w:t xml:space="preserve">8.5 Tier 1 alert reports</w:t>
      </w:r>
    </w:p>
    <w:p>
      <w:pPr>
        <w:spacing w:after="100" w:before="60"/>
      </w:pPr>
      <w:r>
        <w:rPr>
          <w:color w:val="09090B"/>
          <w:sz w:val="22"/>
          <w:szCs w:val="22"/>
        </w:rPr>
        <w:t xml:space="preserve">When a Tier 1 alert is acknowledged, a "Generate incident report" button appears in the audit timeline. This produces a 1-page PDF specific to that incident:</w:t>
      </w:r>
    </w:p>
    <w:p>
      <w:pPr>
        <w:pStyle w:val="ListParagraph"/>
        <w:numPr>
          <w:ilvl w:val="0"/>
          <w:numId w:val="1"/>
        </w:numPr>
        <w:spacing w:after="40" w:before="40"/>
      </w:pPr>
      <w:r>
        <w:rPr>
          <w:color w:val="09090B"/>
          <w:sz w:val="22"/>
          <w:szCs w:val="22"/>
        </w:rPr>
        <w:t xml:space="preserve">Cover with incident timestamp + building</w:t>
      </w:r>
    </w:p>
    <w:p>
      <w:pPr>
        <w:pStyle w:val="ListParagraph"/>
        <w:numPr>
          <w:ilvl w:val="0"/>
          <w:numId w:val="1"/>
        </w:numPr>
        <w:spacing w:after="40" w:before="40"/>
      </w:pPr>
      <w:r>
        <w:rPr>
          <w:color w:val="09090B"/>
          <w:sz w:val="22"/>
          <w:szCs w:val="22"/>
        </w:rPr>
        <w:t xml:space="preserve">Sensor snapshot at trigger</w:t>
      </w:r>
    </w:p>
    <w:p>
      <w:pPr>
        <w:pStyle w:val="ListParagraph"/>
        <w:numPr>
          <w:ilvl w:val="0"/>
          <w:numId w:val="1"/>
        </w:numPr>
        <w:spacing w:after="40" w:before="40"/>
      </w:pPr>
      <w:r>
        <w:rPr>
          <w:color w:val="09090B"/>
          <w:sz w:val="22"/>
          <w:szCs w:val="22"/>
        </w:rPr>
        <w:t xml:space="preserve">Audit timeline (every step taken with timestamp and user)</w:t>
      </w:r>
    </w:p>
    <w:p>
      <w:pPr>
        <w:pStyle w:val="ListParagraph"/>
        <w:numPr>
          <w:ilvl w:val="0"/>
          <w:numId w:val="1"/>
        </w:numPr>
        <w:spacing w:after="40" w:before="40"/>
      </w:pPr>
      <w:r>
        <w:rPr>
          <w:color w:val="09090B"/>
          <w:sz w:val="22"/>
          <w:szCs w:val="22"/>
        </w:rPr>
        <w:t xml:space="preserve">Resolution notes</w:t>
      </w:r>
    </w:p>
    <w:p>
      <w:pPr>
        <w:spacing w:after="100" w:before="60"/>
      </w:pPr>
      <w:r>
        <w:rPr>
          <w:color w:val="09090B"/>
          <w:sz w:val="22"/>
          <w:szCs w:val="22"/>
        </w:rPr>
        <w:t xml:space="preserve">Suitable for insurance carrier FNOL submission.</w:t>
      </w:r>
    </w:p>
    <w:p>
      <w:r>
        <w:br w:type="page"/>
      </w:r>
    </w:p>
    <w:p>
      <w:pPr>
        <w:pStyle w:val="Heading1"/>
        <w:pBdr>
          <w:bottom w:val="single" w:color="037272" w:sz="8" w:space="4"/>
        </w:pBdr>
        <w:spacing w:after="160" w:before="480"/>
      </w:pPr>
      <w:r>
        <w:t xml:space="preserve">9. Analytics (Premium tier)</w:t>
      </w:r>
    </w:p>
    <w:p>
      <w:pPr>
        <w:spacing w:after="100" w:before="60"/>
      </w:pPr>
      <w:r>
        <w:rPr>
          <w:color w:val="09090B"/>
          <w:sz w:val="22"/>
          <w:szCs w:val="22"/>
        </w:rPr>
        <w:t xml:space="preserve">The Analytics page at /analytics is the cross-portfolio analysis surface. Requires Premium tier. Includes the Carbon sub-tab (where the old standalone Carbon page was folded).</w:t>
      </w:r>
    </w:p>
    <w:p>
      <w:pPr>
        <w:pStyle w:val="Heading2"/>
        <w:spacing w:after="120" w:before="360"/>
      </w:pPr>
      <w:r>
        <w:t xml:space="preserve">9.1 Six chart panels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Panel</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Chart type</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Use case</w:t>
            </w:r>
          </w:p>
        </w:tc>
      </w:tr>
      <w:tr>
        <w:tc>
          <w:tcPr>
            <w:tcW w:type="dxa" w:w="3000"/>
            <w:tcMar>
              <w:top w:type="dxa" w:w="80"/>
              <w:left w:type="dxa" w:w="120"/>
              <w:bottom w:type="dxa" w:w="80"/>
              <w:right w:type="dxa" w:w="120"/>
            </w:tcMar>
            <w:vAlign w:val="center"/>
          </w:tcPr>
          <w:p>
            <w:r>
              <w:rPr>
                <w:color w:val="09090B"/>
                <w:sz w:val="20"/>
                <w:szCs w:val="20"/>
              </w:rPr>
              <w:t xml:space="preserve">Cross-portfolio EUI</w:t>
            </w:r>
          </w:p>
        </w:tc>
        <w:tc>
          <w:tcPr>
            <w:tcW w:type="dxa" w:w="3000"/>
            <w:tcMar>
              <w:top w:type="dxa" w:w="80"/>
              <w:left w:type="dxa" w:w="120"/>
              <w:bottom w:type="dxa" w:w="80"/>
              <w:right w:type="dxa" w:w="120"/>
            </w:tcMar>
            <w:vAlign w:val="center"/>
          </w:tcPr>
          <w:p>
            <w:r>
              <w:rPr>
                <w:color w:val="09090B"/>
                <w:sz w:val="20"/>
                <w:szCs w:val="20"/>
              </w:rPr>
              <w:t xml:space="preserve">Horizontal BarChart, colour-coded vs benchmark</w:t>
            </w:r>
          </w:p>
        </w:tc>
        <w:tc>
          <w:tcPr>
            <w:tcW w:type="dxa" w:w="3000"/>
            <w:tcMar>
              <w:top w:type="dxa" w:w="80"/>
              <w:left w:type="dxa" w:w="120"/>
              <w:bottom w:type="dxa" w:w="80"/>
              <w:right w:type="dxa" w:w="120"/>
            </w:tcMar>
            <w:vAlign w:val="center"/>
          </w:tcPr>
          <w:p>
            <w:r>
              <w:rPr>
                <w:color w:val="09090B"/>
                <w:sz w:val="20"/>
                <w:szCs w:val="20"/>
              </w:rPr>
              <w:t xml:space="preserve">Identify which buildings are above benchmark at a glance</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Emissions trend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LineChart actual + glide-path target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Track portfolio decarbonisation pace</w:t>
            </w:r>
          </w:p>
        </w:tc>
      </w:tr>
      <w:tr>
        <w:tc>
          <w:tcPr>
            <w:tcW w:type="dxa" w:w="3000"/>
            <w:tcMar>
              <w:top w:type="dxa" w:w="80"/>
              <w:left w:type="dxa" w:w="120"/>
              <w:bottom w:type="dxa" w:w="80"/>
              <w:right w:type="dxa" w:w="120"/>
            </w:tcMar>
            <w:vAlign w:val="center"/>
          </w:tcPr>
          <w:p>
            <w:r>
              <w:rPr>
                <w:color w:val="09090B"/>
                <w:sz w:val="20"/>
                <w:szCs w:val="20"/>
              </w:rPr>
              <w:t xml:space="preserve">Energy mix</w:t>
            </w:r>
          </w:p>
        </w:tc>
        <w:tc>
          <w:tcPr>
            <w:tcW w:type="dxa" w:w="3000"/>
            <w:tcMar>
              <w:top w:type="dxa" w:w="80"/>
              <w:left w:type="dxa" w:w="120"/>
              <w:bottom w:type="dxa" w:w="80"/>
              <w:right w:type="dxa" w:w="120"/>
            </w:tcMar>
            <w:vAlign w:val="center"/>
          </w:tcPr>
          <w:p>
            <w:r>
              <w:rPr>
                <w:color w:val="09090B"/>
                <w:sz w:val="20"/>
                <w:szCs w:val="20"/>
              </w:rPr>
              <w:t xml:space="preserve">Stacked BarChart per asset (electricity / gas / solar)</w:t>
            </w:r>
          </w:p>
        </w:tc>
        <w:tc>
          <w:tcPr>
            <w:tcW w:type="dxa" w:w="3000"/>
            <w:tcMar>
              <w:top w:type="dxa" w:w="80"/>
              <w:left w:type="dxa" w:w="120"/>
              <w:bottom w:type="dxa" w:w="80"/>
              <w:right w:type="dxa" w:w="120"/>
            </w:tcMar>
            <w:vAlign w:val="center"/>
          </w:tcPr>
          <w:p>
            <w:r>
              <w:rPr>
                <w:color w:val="09090B"/>
                <w:sz w:val="20"/>
                <w:szCs w:val="20"/>
              </w:rPr>
              <w:t xml:space="preserve">See which buildings still rely on gas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Water consumption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BarChart per month + portfolio average line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Spot water-intensive buildings</w:t>
            </w:r>
          </w:p>
        </w:tc>
      </w:tr>
      <w:tr>
        <w:tc>
          <w:tcPr>
            <w:tcW w:type="dxa" w:w="3000"/>
            <w:tcMar>
              <w:top w:type="dxa" w:w="80"/>
              <w:left w:type="dxa" w:w="120"/>
              <w:bottom w:type="dxa" w:w="80"/>
              <w:right w:type="dxa" w:w="120"/>
            </w:tcMar>
            <w:vAlign w:val="center"/>
          </w:tcPr>
          <w:p>
            <w:r>
              <w:rPr>
                <w:color w:val="09090B"/>
                <w:sz w:val="20"/>
                <w:szCs w:val="20"/>
              </w:rPr>
              <w:t xml:space="preserve">Carbon intensity</w:t>
            </w:r>
          </w:p>
        </w:tc>
        <w:tc>
          <w:tcPr>
            <w:tcW w:type="dxa" w:w="3000"/>
            <w:tcMar>
              <w:top w:type="dxa" w:w="80"/>
              <w:left w:type="dxa" w:w="120"/>
              <w:bottom w:type="dxa" w:w="80"/>
              <w:right w:type="dxa" w:w="120"/>
            </w:tcMar>
            <w:vAlign w:val="center"/>
          </w:tcPr>
          <w:p>
            <w:r>
              <w:rPr>
                <w:color w:val="09090B"/>
                <w:sz w:val="20"/>
                <w:szCs w:val="20"/>
              </w:rPr>
              <w:t xml:space="preserve">ScatterChart — x = floor area, y = tCO₂e/m², z = energy cost (bubble size)</w:t>
            </w:r>
          </w:p>
        </w:tc>
        <w:tc>
          <w:tcPr>
            <w:tcW w:type="dxa" w:w="3000"/>
            <w:tcMar>
              <w:top w:type="dxa" w:w="80"/>
              <w:left w:type="dxa" w:w="120"/>
              <w:bottom w:type="dxa" w:w="80"/>
              <w:right w:type="dxa" w:w="120"/>
            </w:tcMar>
            <w:vAlign w:val="center"/>
          </w:tcPr>
          <w:p>
            <w:r>
              <w:rPr>
                <w:color w:val="09090B"/>
                <w:sz w:val="20"/>
                <w:szCs w:val="20"/>
              </w:rPr>
              <w:t xml:space="preserve">Identify high-intensity outliers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Multi-asset comparison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LineChart per asset (up to 6), colour-coded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Side-by-side comparison of any 6 buildings</w:t>
            </w:r>
          </w:p>
        </w:tc>
      </w:tr>
    </w:tbl>
    <w:p>
      <w:pPr>
        <w:pStyle w:val="Heading2"/>
        <w:spacing w:after="120" w:before="360"/>
      </w:pPr>
      <w:r>
        <w:t xml:space="preserve">9.2 Carbon sub-tab</w:t>
      </w:r>
    </w:p>
    <w:p>
      <w:pPr>
        <w:spacing w:after="100" w:before="60"/>
      </w:pPr>
      <w:r>
        <w:rPr>
          <w:color w:val="09090B"/>
          <w:sz w:val="22"/>
          <w:szCs w:val="22"/>
        </w:rPr>
        <w:t xml:space="preserve">Contains the portfolio-level Scope 1+2 view that used to live at /carbon. Stacked monthly BarChart, Scope donut, regulatory alerts widget, benchmark panel, offsets marketplace teaser (with link to per-building Carbon Intelligence for purchase).</w:t>
      </w:r>
    </w:p>
    <w:p>
      <w:pPr>
        <w:pStyle w:val="Heading2"/>
        <w:spacing w:after="120" w:before="360"/>
      </w:pPr>
      <w:r>
        <w:t xml:space="preserve">9.3 Date range</w:t>
      </w:r>
    </w:p>
    <w:p>
      <w:pPr>
        <w:pStyle w:val="ListParagraph"/>
        <w:numPr>
          <w:ilvl w:val="0"/>
          <w:numId w:val="1"/>
        </w:numPr>
        <w:spacing w:after="40" w:before="40"/>
      </w:pPr>
      <w:r>
        <w:rPr>
          <w:color w:val="09090B"/>
          <w:sz w:val="22"/>
          <w:szCs w:val="22"/>
        </w:rPr>
        <w:t xml:space="preserve">Top of page — global date range (3m / 6m / 12m / custom)</w:t>
      </w:r>
    </w:p>
    <w:p>
      <w:pPr>
        <w:pStyle w:val="ListParagraph"/>
        <w:numPr>
          <w:ilvl w:val="0"/>
          <w:numId w:val="1"/>
        </w:numPr>
        <w:spacing w:after="40" w:before="40"/>
      </w:pPr>
      <w:r>
        <w:rPr>
          <w:color w:val="09090B"/>
          <w:sz w:val="22"/>
          <w:szCs w:val="22"/>
        </w:rPr>
        <w:t xml:space="preserve">Applies to every panel simultaneously</w:t>
      </w:r>
    </w:p>
    <w:p>
      <w:pPr>
        <w:pStyle w:val="Heading2"/>
        <w:spacing w:after="120" w:before="360"/>
      </w:pPr>
      <w:r>
        <w:t xml:space="preserve">9.4 Export</w:t>
      </w:r>
    </w:p>
    <w:p>
      <w:pPr>
        <w:spacing w:after="100" w:before="60"/>
      </w:pPr>
      <w:r>
        <w:rPr>
          <w:color w:val="09090B"/>
          <w:sz w:val="22"/>
          <w:szCs w:val="22"/>
        </w:rPr>
        <w:t xml:space="preserve">Each panel has a cosmetic "Export PDF" button — uses html-to-image client-side to capture the chart, then downloads as PDF.</w:t>
      </w:r>
    </w:p>
    <w:p>
      <w:r>
        <w:br w:type="page"/>
      </w:r>
    </w:p>
    <w:p>
      <w:pPr>
        <w:pStyle w:val="Heading1"/>
        <w:pBdr>
          <w:bottom w:val="single" w:color="037272" w:sz="8" w:space="4"/>
        </w:pBdr>
        <w:spacing w:after="160" w:before="480"/>
      </w:pPr>
      <w:r>
        <w:t xml:space="preserve">10. Maps (Premium tier)</w:t>
      </w:r>
    </w:p>
    <w:p>
      <w:pPr>
        <w:spacing w:after="100" w:before="60"/>
      </w:pPr>
      <w:r>
        <w:rPr>
          <w:color w:val="09090B"/>
          <w:sz w:val="22"/>
          <w:szCs w:val="22"/>
        </w:rPr>
        <w:t xml:space="preserve">The Maps page at /maps shows every building in the workspace on an interactive Leaflet map.</w:t>
      </w:r>
    </w:p>
    <w:p>
      <w:pPr>
        <w:pStyle w:val="Heading2"/>
        <w:spacing w:after="120" w:before="360"/>
      </w:pPr>
      <w:r>
        <w:t xml:space="preserve">10.1 Marker layout</w:t>
      </w:r>
    </w:p>
    <w:p>
      <w:pPr>
        <w:pStyle w:val="ListParagraph"/>
        <w:numPr>
          <w:ilvl w:val="0"/>
          <w:numId w:val="1"/>
        </w:numPr>
        <w:spacing w:after="40" w:before="40"/>
      </w:pPr>
      <w:r>
        <w:rPr>
          <w:color w:val="09090B"/>
          <w:sz w:val="22"/>
          <w:szCs w:val="22"/>
        </w:rPr>
        <w:t xml:space="preserve">CircleMarker per asset, positioned by latitude / longitude</w:t>
      </w:r>
    </w:p>
    <w:p>
      <w:pPr>
        <w:pStyle w:val="ListParagraph"/>
        <w:numPr>
          <w:ilvl w:val="0"/>
          <w:numId w:val="1"/>
        </w:numPr>
        <w:spacing w:after="40" w:before="40"/>
      </w:pPr>
      <w:r>
        <w:rPr>
          <w:color w:val="09090B"/>
          <w:sz w:val="22"/>
          <w:szCs w:val="22"/>
        </w:rPr>
        <w:t xml:space="preserve">Marker fill colour = EUI status (teal = good, amber = warning, red = poor)</w:t>
      </w:r>
    </w:p>
    <w:p>
      <w:pPr>
        <w:pStyle w:val="ListParagraph"/>
        <w:numPr>
          <w:ilvl w:val="0"/>
          <w:numId w:val="1"/>
        </w:numPr>
        <w:spacing w:after="40" w:before="40"/>
      </w:pPr>
      <w:r>
        <w:rPr>
          <w:color w:val="09090B"/>
          <w:sz w:val="22"/>
          <w:szCs w:val="22"/>
        </w:rPr>
        <w:t xml:space="preserve">Red ring around marker = active alerts on this building</w:t>
      </w:r>
    </w:p>
    <w:p>
      <w:pPr>
        <w:pStyle w:val="ListParagraph"/>
        <w:numPr>
          <w:ilvl w:val="0"/>
          <w:numId w:val="1"/>
        </w:numPr>
        <w:spacing w:after="40" w:before="40"/>
      </w:pPr>
      <w:r>
        <w:rPr>
          <w:color w:val="09090B"/>
          <w:sz w:val="22"/>
          <w:szCs w:val="22"/>
        </w:rPr>
        <w:t xml:space="preserve">Markers cluster at low zoom levels (react-leaflet-cluster) — cluster shows count</w:t>
      </w:r>
    </w:p>
    <w:p>
      <w:pPr>
        <w:pStyle w:val="Heading2"/>
        <w:spacing w:after="120" w:before="360"/>
      </w:pPr>
      <w:r>
        <w:t xml:space="preserve">10.2 Popup</w:t>
      </w:r>
    </w:p>
    <w:p>
      <w:pPr>
        <w:spacing w:after="100" w:before="60"/>
      </w:pPr>
      <w:r>
        <w:rPr>
          <w:color w:val="09090B"/>
          <w:sz w:val="22"/>
          <w:szCs w:val="22"/>
        </w:rPr>
        <w:t xml:space="preserve">Click any marker → popup appears with:</w:t>
      </w:r>
    </w:p>
    <w:p>
      <w:pPr>
        <w:pStyle w:val="ListParagraph"/>
        <w:numPr>
          <w:ilvl w:val="0"/>
          <w:numId w:val="1"/>
        </w:numPr>
        <w:spacing w:after="40" w:before="40"/>
      </w:pPr>
      <w:r>
        <w:rPr>
          <w:color w:val="09090B"/>
          <w:sz w:val="22"/>
          <w:szCs w:val="22"/>
        </w:rPr>
        <w:t xml:space="preserve">Building name + type</w:t>
      </w:r>
    </w:p>
    <w:p>
      <w:pPr>
        <w:pStyle w:val="ListParagraph"/>
        <w:numPr>
          <w:ilvl w:val="0"/>
          <w:numId w:val="1"/>
        </w:numPr>
        <w:spacing w:after="40" w:before="40"/>
      </w:pPr>
      <w:r>
        <w:rPr>
          <w:color w:val="09090B"/>
          <w:sz w:val="22"/>
          <w:szCs w:val="22"/>
        </w:rPr>
        <w:t xml:space="preserve">Address</w:t>
      </w:r>
    </w:p>
    <w:p>
      <w:pPr>
        <w:pStyle w:val="ListParagraph"/>
        <w:numPr>
          <w:ilvl w:val="0"/>
          <w:numId w:val="1"/>
        </w:numPr>
        <w:spacing w:after="40" w:before="40"/>
      </w:pPr>
      <w:r>
        <w:rPr>
          <w:color w:val="09090B"/>
          <w:sz w:val="22"/>
          <w:szCs w:val="22"/>
        </w:rPr>
        <w:t xml:space="preserve">EUI + benchmark deviation</w:t>
      </w:r>
    </w:p>
    <w:p>
      <w:pPr>
        <w:pStyle w:val="ListParagraph"/>
        <w:numPr>
          <w:ilvl w:val="0"/>
          <w:numId w:val="1"/>
        </w:numPr>
        <w:spacing w:after="40" w:before="40"/>
      </w:pPr>
      <w:r>
        <w:rPr>
          <w:color w:val="09090B"/>
          <w:sz w:val="22"/>
          <w:szCs w:val="22"/>
        </w:rPr>
        <w:t xml:space="preserve">Active alert count</w:t>
      </w:r>
    </w:p>
    <w:p>
      <w:pPr>
        <w:pStyle w:val="ListParagraph"/>
        <w:numPr>
          <w:ilvl w:val="0"/>
          <w:numId w:val="1"/>
        </w:numPr>
        <w:spacing w:after="40" w:before="40"/>
      </w:pPr>
      <w:r>
        <w:rPr>
          <w:color w:val="09090B"/>
          <w:sz w:val="22"/>
          <w:szCs w:val="22"/>
        </w:rPr>
        <w:t xml:space="preserve">Certification chips</w:t>
      </w:r>
    </w:p>
    <w:p>
      <w:pPr>
        <w:pStyle w:val="ListParagraph"/>
        <w:numPr>
          <w:ilvl w:val="0"/>
          <w:numId w:val="1"/>
        </w:numPr>
        <w:spacing w:after="40" w:before="40"/>
      </w:pPr>
      <w:r>
        <w:rPr>
          <w:color w:val="09090B"/>
          <w:sz w:val="22"/>
          <w:szCs w:val="22"/>
        </w:rPr>
        <w:t xml:space="preserve">"View building" link (opens building Overview tab)</w:t>
      </w:r>
    </w:p>
    <w:p>
      <w:pPr>
        <w:pStyle w:val="Heading2"/>
        <w:spacing w:after="120" w:before="360"/>
      </w:pPr>
      <w:r>
        <w:t xml:space="preserve">10.3 Filters</w:t>
      </w:r>
    </w:p>
    <w:p>
      <w:pPr>
        <w:pStyle w:val="ListParagraph"/>
        <w:numPr>
          <w:ilvl w:val="0"/>
          <w:numId w:val="1"/>
        </w:numPr>
        <w:spacing w:after="40" w:before="40"/>
      </w:pPr>
      <w:r>
        <w:rPr>
          <w:color w:val="09090B"/>
          <w:sz w:val="22"/>
          <w:szCs w:val="22"/>
        </w:rPr>
        <w:t xml:space="preserve">"Alerts only" toggle — hides buildings with zero active alerts</w:t>
      </w:r>
    </w:p>
    <w:p>
      <w:pPr>
        <w:pStyle w:val="ListParagraph"/>
        <w:numPr>
          <w:ilvl w:val="0"/>
          <w:numId w:val="1"/>
        </w:numPr>
        <w:spacing w:after="40" w:before="40"/>
      </w:pPr>
      <w:r>
        <w:rPr>
          <w:color w:val="09090B"/>
          <w:sz w:val="22"/>
          <w:szCs w:val="22"/>
        </w:rPr>
        <w:t xml:space="preserve">"Above benchmark only" toggle — hides buildings at or below benchmark</w:t>
      </w:r>
    </w:p>
    <w:p>
      <w:pPr>
        <w:pStyle w:val="Heading2"/>
        <w:spacing w:after="120" w:before="360"/>
      </w:pPr>
      <w:r>
        <w:t xml:space="preserve">10.4 Legend</w:t>
      </w:r>
    </w:p>
    <w:p>
      <w:pPr>
        <w:spacing w:after="100" w:before="60"/>
      </w:pPr>
      <w:r>
        <w:rPr>
          <w:color w:val="09090B"/>
          <w:sz w:val="22"/>
          <w:szCs w:val="22"/>
        </w:rPr>
        <w:t xml:space="preserve">Bottom-left absolute overlay — colour-coded EUI ranges:</w:t>
      </w:r>
    </w:p>
    <w:p>
      <w:pPr>
        <w:pStyle w:val="ListParagraph"/>
        <w:numPr>
          <w:ilvl w:val="0"/>
          <w:numId w:val="1"/>
        </w:numPr>
        <w:spacing w:after="40" w:before="40"/>
      </w:pPr>
      <w:r>
        <w:rPr>
          <w:color w:val="09090B"/>
          <w:sz w:val="22"/>
          <w:szCs w:val="22"/>
        </w:rPr>
        <w:t xml:space="preserve">Teal — at or below benchmark</w:t>
      </w:r>
    </w:p>
    <w:p>
      <w:pPr>
        <w:pStyle w:val="ListParagraph"/>
        <w:numPr>
          <w:ilvl w:val="0"/>
          <w:numId w:val="1"/>
        </w:numPr>
        <w:spacing w:after="40" w:before="40"/>
      </w:pPr>
      <w:r>
        <w:rPr>
          <w:color w:val="09090B"/>
          <w:sz w:val="22"/>
          <w:szCs w:val="22"/>
        </w:rPr>
        <w:t xml:space="preserve">Amber — within 20% above benchmark</w:t>
      </w:r>
    </w:p>
    <w:p>
      <w:pPr>
        <w:pStyle w:val="ListParagraph"/>
        <w:numPr>
          <w:ilvl w:val="0"/>
          <w:numId w:val="1"/>
        </w:numPr>
        <w:spacing w:after="40" w:before="40"/>
      </w:pPr>
      <w:r>
        <w:rPr>
          <w:color w:val="09090B"/>
          <w:sz w:val="22"/>
          <w:szCs w:val="22"/>
        </w:rPr>
        <w:t xml:space="preserve">Red — &gt; 20% above benchmark</w:t>
      </w:r>
    </w:p>
    <w:p>
      <w:pPr>
        <w:pStyle w:val="ListParagraph"/>
        <w:numPr>
          <w:ilvl w:val="0"/>
          <w:numId w:val="1"/>
        </w:numPr>
        <w:spacing w:after="40" w:before="40"/>
      </w:pPr>
      <w:r>
        <w:rPr>
          <w:color w:val="09090B"/>
          <w:sz w:val="22"/>
          <w:szCs w:val="22"/>
        </w:rPr>
        <w:t xml:space="preserve">Grey — insufficient data</w:t>
      </w:r>
    </w:p>
    <w:p>
      <w:pPr>
        <w:pStyle w:val="Heading2"/>
        <w:spacing w:after="120" w:before="360"/>
      </w:pPr>
      <w:r>
        <w:t xml:space="preserve">10.5 Unmapped buildings notice</w:t>
      </w:r>
    </w:p>
    <w:p>
      <w:pPr>
        <w:spacing w:after="100" w:before="60"/>
      </w:pPr>
      <w:r>
        <w:rPr>
          <w:color w:val="09090B"/>
          <w:sz w:val="22"/>
          <w:szCs w:val="22"/>
        </w:rPr>
        <w:t xml:space="preserve">If any buildings lack latitude/longitude, a notice bar at the top says "X buildings not shown on map — add coordinates via Building Settings". Click to jump to the offending buildings.</w:t>
      </w:r>
    </w:p>
    <w:p>
      <w:r>
        <w:br w:type="page"/>
      </w:r>
    </w:p>
    <w:p>
      <w:pPr>
        <w:pStyle w:val="Heading1"/>
        <w:pBdr>
          <w:bottom w:val="single" w:color="037272" w:sz="8" w:space="4"/>
        </w:pBdr>
        <w:spacing w:after="160" w:before="480"/>
      </w:pPr>
      <w:r>
        <w:t xml:space="preserve">11. Solar Monitor (Premium tier — legacy sidebar)</w:t>
      </w:r>
    </w:p>
    <w:p>
      <w:pPr>
        <w:spacing w:after="100" w:before="60"/>
      </w:pPr>
      <w:r>
        <w:rPr>
          <w:color w:val="09090B"/>
          <w:sz w:val="22"/>
          <w:szCs w:val="22"/>
        </w:rPr>
        <w:t xml:space="preserve">The Solar Monitor at /solar is the original lighter-weight solar tracking view. For deep solar feasibility analysis, use the per-building Solar &amp; Energy tab (§4.9).</w:t>
      </w:r>
    </w:p>
    <w:p>
      <w:pPr>
        <w:pStyle w:val="Heading2"/>
        <w:spacing w:after="120" w:before="360"/>
      </w:pPr>
      <w:r>
        <w:t xml:space="preserve">11.1 Asset selector</w:t>
      </w:r>
    </w:p>
    <w:p>
      <w:pPr>
        <w:spacing w:after="100" w:before="60"/>
      </w:pPr>
      <w:r>
        <w:rPr>
          <w:color w:val="09090B"/>
          <w:sz w:val="22"/>
          <w:szCs w:val="22"/>
        </w:rPr>
        <w:t xml:space="preserve">Top of page — dropdown listing every asset with solar data (either `solar_kwh` metrics or `solar_capacity_kw` metadata).</w:t>
      </w:r>
    </w:p>
    <w:p>
      <w:pPr>
        <w:pStyle w:val="Heading2"/>
        <w:spacing w:after="120" w:before="360"/>
      </w:pPr>
      <w:r>
        <w:t xml:space="preserve">11.2 Date range</w:t>
      </w:r>
    </w:p>
    <w:p>
      <w:pPr>
        <w:pStyle w:val="ListParagraph"/>
        <w:numPr>
          <w:ilvl w:val="0"/>
          <w:numId w:val="1"/>
        </w:numPr>
        <w:spacing w:after="40" w:before="40"/>
      </w:pPr>
      <w:r>
        <w:rPr>
          <w:color w:val="09090B"/>
          <w:sz w:val="22"/>
          <w:szCs w:val="22"/>
        </w:rPr>
        <w:t xml:space="preserve">7 days · 30 days · 90 days</w:t>
      </w:r>
    </w:p>
    <w:p>
      <w:pPr>
        <w:pStyle w:val="Heading2"/>
        <w:spacing w:after="120" w:before="360"/>
      </w:pPr>
      <w:r>
        <w:t xml:space="preserve">11.3 KPI strip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Card</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Metric</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Unit</w:t>
            </w:r>
          </w:p>
        </w:tc>
      </w:tr>
      <w:tr>
        <w:tc>
          <w:tcPr>
            <w:tcW w:type="dxa" w:w="3000"/>
            <w:tcMar>
              <w:top w:type="dxa" w:w="80"/>
              <w:left w:type="dxa" w:w="120"/>
              <w:bottom w:type="dxa" w:w="80"/>
              <w:right w:type="dxa" w:w="120"/>
            </w:tcMar>
            <w:vAlign w:val="center"/>
          </w:tcPr>
          <w:p>
            <w:r>
              <w:rPr>
                <w:color w:val="09090B"/>
                <w:sz w:val="20"/>
                <w:szCs w:val="20"/>
              </w:rPr>
              <w:t xml:space="preserve">Generation</w:t>
            </w:r>
          </w:p>
        </w:tc>
        <w:tc>
          <w:tcPr>
            <w:tcW w:type="dxa" w:w="3000"/>
            <w:tcMar>
              <w:top w:type="dxa" w:w="80"/>
              <w:left w:type="dxa" w:w="120"/>
              <w:bottom w:type="dxa" w:w="80"/>
              <w:right w:type="dxa" w:w="120"/>
            </w:tcMar>
            <w:vAlign w:val="center"/>
          </w:tcPr>
          <w:p>
            <w:r>
              <w:rPr>
                <w:color w:val="09090B"/>
                <w:sz w:val="20"/>
                <w:szCs w:val="20"/>
              </w:rPr>
              <w:t xml:space="preserve">Total solar produced in period</w:t>
            </w:r>
          </w:p>
        </w:tc>
        <w:tc>
          <w:tcPr>
            <w:tcW w:type="dxa" w:w="3000"/>
            <w:tcMar>
              <w:top w:type="dxa" w:w="80"/>
              <w:left w:type="dxa" w:w="120"/>
              <w:bottom w:type="dxa" w:w="80"/>
              <w:right w:type="dxa" w:w="120"/>
            </w:tcMar>
            <w:vAlign w:val="center"/>
          </w:tcPr>
          <w:p>
            <w:r>
              <w:rPr>
                <w:color w:val="09090B"/>
                <w:sz w:val="20"/>
                <w:szCs w:val="20"/>
              </w:rPr>
              <w:t xml:space="preserve">kWh</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Cost saved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Generation × regional tariff</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Currency</w:t>
            </w:r>
          </w:p>
        </w:tc>
      </w:tr>
      <w:tr>
        <w:tc>
          <w:tcPr>
            <w:tcW w:type="dxa" w:w="3000"/>
            <w:tcMar>
              <w:top w:type="dxa" w:w="80"/>
              <w:left w:type="dxa" w:w="120"/>
              <w:bottom w:type="dxa" w:w="80"/>
              <w:right w:type="dxa" w:w="120"/>
            </w:tcMar>
            <w:vAlign w:val="center"/>
          </w:tcPr>
          <w:p>
            <w:r>
              <w:rPr>
                <w:color w:val="09090B"/>
                <w:sz w:val="20"/>
                <w:szCs w:val="20"/>
              </w:rPr>
              <w:t xml:space="preserve">CO₂ avoided</w:t>
            </w:r>
          </w:p>
        </w:tc>
        <w:tc>
          <w:tcPr>
            <w:tcW w:type="dxa" w:w="3000"/>
            <w:tcMar>
              <w:top w:type="dxa" w:w="80"/>
              <w:left w:type="dxa" w:w="120"/>
              <w:bottom w:type="dxa" w:w="80"/>
              <w:right w:type="dxa" w:w="120"/>
            </w:tcMar>
            <w:vAlign w:val="center"/>
          </w:tcPr>
          <w:p>
            <w:r>
              <w:rPr>
                <w:color w:val="09090B"/>
                <w:sz w:val="20"/>
                <w:szCs w:val="20"/>
              </w:rPr>
              <w:t xml:space="preserve">Generation × regional emission factor</w:t>
            </w:r>
          </w:p>
        </w:tc>
        <w:tc>
          <w:tcPr>
            <w:tcW w:type="dxa" w:w="3000"/>
            <w:tcMar>
              <w:top w:type="dxa" w:w="80"/>
              <w:left w:type="dxa" w:w="120"/>
              <w:bottom w:type="dxa" w:w="80"/>
              <w:right w:type="dxa" w:w="120"/>
            </w:tcMar>
            <w:vAlign w:val="center"/>
          </w:tcPr>
          <w:p>
            <w:r>
              <w:rPr>
                <w:color w:val="09090B"/>
                <w:sz w:val="20"/>
                <w:szCs w:val="20"/>
              </w:rPr>
              <w:t xml:space="preserve">tCO₂e</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Grid export</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Solar generated beyond demand</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kWh</w:t>
            </w:r>
          </w:p>
        </w:tc>
      </w:tr>
    </w:tbl>
    <w:p>
      <w:pPr>
        <w:pStyle w:val="Heading2"/>
        <w:spacing w:after="120" w:before="360"/>
      </w:pPr>
      <w:r>
        <w:t xml:space="preserve">11.4 Performance ratio</w:t>
      </w:r>
    </w:p>
    <w:p>
      <w:pPr>
        <w:spacing w:after="100" w:before="60"/>
      </w:pPr>
      <w:r>
        <w:rPr>
          <w:color w:val="09090B"/>
          <w:sz w:val="22"/>
          <w:szCs w:val="22"/>
        </w:rPr>
        <w:t xml:space="preserve">SVG ring gauge — actual generation as % of nameplate capacity. Green &gt; 80%, amber 60-80%, red &lt; 60%.</w:t>
      </w:r>
    </w:p>
    <w:p>
      <w:pPr>
        <w:pStyle w:val="Heading2"/>
        <w:spacing w:after="120" w:before="360"/>
      </w:pPr>
      <w:r>
        <w:t xml:space="preserve">11.5 Daily generation chart</w:t>
      </w:r>
    </w:p>
    <w:p>
      <w:pPr>
        <w:spacing w:after="100" w:before="60"/>
      </w:pPr>
      <w:r>
        <w:rPr>
          <w:color w:val="09090B"/>
          <w:sz w:val="22"/>
          <w:szCs w:val="22"/>
        </w:rPr>
        <w:t xml:space="preserve">AreaChart — solid line = actual daily generation, dashed line = forecast for upcoming days.</w:t>
      </w:r>
    </w:p>
    <w:p>
      <w:pPr>
        <w:pStyle w:val="Heading2"/>
        <w:spacing w:after="120" w:before="360"/>
      </w:pPr>
      <w:r>
        <w:t xml:space="preserve">11.6 Monthly chart with self-sufficiency</w:t>
      </w:r>
    </w:p>
    <w:p>
      <w:pPr>
        <w:spacing w:after="100" w:before="60"/>
      </w:pPr>
      <w:r>
        <w:rPr>
          <w:color w:val="09090B"/>
          <w:sz w:val="22"/>
          <w:szCs w:val="22"/>
        </w:rPr>
        <w:t xml:space="preserve">BarChart — solar generation by month, with a dual Y-axis line overlay showing self-sufficiency % (solar consumed / total consumption).</w:t>
      </w:r>
    </w:p>
    <w:p>
      <w:pPr>
        <w:pStyle w:val="Heading2"/>
        <w:spacing w:after="120" w:before="360"/>
      </w:pPr>
      <w:r>
        <w:t xml:space="preserve">11.7 7-day forecast grid</w:t>
      </w:r>
    </w:p>
    <w:p>
      <w:pPr>
        <w:spacing w:after="100" w:before="60"/>
      </w:pPr>
      <w:r>
        <w:rPr>
          <w:color w:val="09090B"/>
          <w:sz w:val="22"/>
          <w:szCs w:val="22"/>
        </w:rPr>
        <w:t xml:space="preserve">Grid of 7 cards (one per day). Each card: day name, weather emoji (☀️ ⛅ ☁️ 🌧️), expected kWh.</w:t>
      </w:r>
    </w:p>
    <w:p>
      <w:pPr>
        <w:spacing w:after="100" w:before="60"/>
      </w:pPr>
      <w:r>
        <w:rPr>
          <w:color w:val="09090B"/>
          <w:sz w:val="22"/>
          <w:szCs w:val="22"/>
        </w:rPr>
        <w:t xml:space="preserve">Forecast = capacityKw × peak sun hours × cloud factor (from Open-Meteo via `OPEN_METEO_BASE_URL`).</w:t>
      </w:r>
    </w:p>
    <w:p>
      <w:r>
        <w:br w:type="page"/>
      </w:r>
    </w:p>
    <w:p>
      <w:pPr>
        <w:pStyle w:val="Heading1"/>
        <w:pBdr>
          <w:bottom w:val="single" w:color="037272" w:sz="8" w:space="4"/>
        </w:pBdr>
        <w:spacing w:after="160" w:before="480"/>
      </w:pPr>
      <w:r>
        <w:t xml:space="preserve">12. Investment Planner (legacy opt-in module)</w:t>
      </w:r>
    </w:p>
    <w:p>
      <w:pPr>
        <w:spacing w:after="100" w:before="60"/>
      </w:pPr>
      <w:r>
        <w:rPr>
          <w:color w:val="09090B"/>
          <w:sz w:val="22"/>
          <w:szCs w:val="22"/>
        </w:rPr>
        <w:t xml:space="preserve">Two views of the same engine: portfolio-level (/investment) and per-building (§4.10).</w:t>
      </w:r>
    </w:p>
    <w:p>
      <w:pPr>
        <w:pStyle w:val="Heading2"/>
        <w:spacing w:after="120" w:before="360"/>
      </w:pPr>
      <w:r>
        <w:t xml:space="preserve">12.1 Portfolio view (/investment)</w:t>
      </w:r>
    </w:p>
    <w:p>
      <w:pPr>
        <w:pStyle w:val="Heading3"/>
        <w:spacing w:after="80" w:before="240"/>
      </w:pPr>
      <w:r>
        <w:t xml:space="preserve">Asset selector</w:t>
      </w:r>
    </w:p>
    <w:p>
      <w:pPr>
        <w:spacing w:after="100" w:before="60"/>
      </w:pPr>
      <w:r>
        <w:rPr>
          <w:color w:val="09090B"/>
          <w:sz w:val="22"/>
          <w:szCs w:val="22"/>
        </w:rPr>
        <w:t xml:space="preserve">Dropdown listing all assets in the workspace.</w:t>
      </w:r>
    </w:p>
    <w:p>
      <w:pPr>
        <w:pStyle w:val="Heading3"/>
        <w:spacing w:after="80" w:before="240"/>
      </w:pPr>
      <w:r>
        <w:t xml:space="preserve">Intervention type cards</w:t>
      </w:r>
    </w:p>
    <w:p>
      <w:pPr>
        <w:spacing w:after="100" w:before="60"/>
      </w:pPr>
      <w:r>
        <w:rPr>
          <w:color w:val="09090B"/>
          <w:sz w:val="22"/>
          <w:szCs w:val="22"/>
        </w:rPr>
        <w:t xml:space="preserve">Five large cards with icons: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37272" w:color="auto" w:val="clear"/>
            <w:tcMar>
              <w:top w:type="dxa" w:w="80"/>
              <w:left w:type="dxa" w:w="120"/>
              <w:bottom w:type="dxa" w:w="80"/>
              <w:right w:type="dxa" w:w="120"/>
            </w:tcMar>
            <w:vAlign w:val="center"/>
          </w:tcPr>
          <w:p>
            <w:r>
              <w:rPr>
                <w:b/>
                <w:bCs/>
                <w:color w:val="FFFFFF"/>
                <w:sz w:val="20"/>
                <w:szCs w:val="20"/>
              </w:rPr>
              <w:t xml:space="preserve">Intervention</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Saving model</w:t>
            </w:r>
          </w:p>
        </w:tc>
        <w:tc>
          <w:tcPr>
            <w:tcW w:type="dxa" w:w="3000"/>
            <w:shd w:fill="037272" w:color="auto" w:val="clear"/>
            <w:tcMar>
              <w:top w:type="dxa" w:w="80"/>
              <w:left w:type="dxa" w:w="120"/>
              <w:bottom w:type="dxa" w:w="80"/>
              <w:right w:type="dxa" w:w="120"/>
            </w:tcMar>
            <w:vAlign w:val="center"/>
          </w:tcPr>
          <w:p>
            <w:r>
              <w:rPr>
                <w:b/>
                <w:bCs/>
                <w:color w:val="FFFFFF"/>
                <w:sz w:val="20"/>
                <w:szCs w:val="20"/>
              </w:rPr>
              <w:t xml:space="preserve">Typical payback</w:t>
            </w:r>
          </w:p>
        </w:tc>
      </w:tr>
      <w:tr>
        <w:tc>
          <w:tcPr>
            <w:tcW w:type="dxa" w:w="3000"/>
            <w:tcMar>
              <w:top w:type="dxa" w:w="80"/>
              <w:left w:type="dxa" w:w="120"/>
              <w:bottom w:type="dxa" w:w="80"/>
              <w:right w:type="dxa" w:w="120"/>
            </w:tcMar>
            <w:vAlign w:val="center"/>
          </w:tcPr>
          <w:p>
            <w:r>
              <w:rPr>
                <w:color w:val="09090B"/>
                <w:sz w:val="20"/>
                <w:szCs w:val="20"/>
              </w:rPr>
              <w:t xml:space="preserve">LED retrofit</w:t>
            </w:r>
          </w:p>
        </w:tc>
        <w:tc>
          <w:tcPr>
            <w:tcW w:type="dxa" w:w="3000"/>
            <w:tcMar>
              <w:top w:type="dxa" w:w="80"/>
              <w:left w:type="dxa" w:w="120"/>
              <w:bottom w:type="dxa" w:w="80"/>
              <w:right w:type="dxa" w:w="120"/>
            </w:tcMar>
            <w:vAlign w:val="center"/>
          </w:tcPr>
          <w:p>
            <w:r>
              <w:rPr>
                <w:color w:val="09090B"/>
                <w:sz w:val="20"/>
                <w:szCs w:val="20"/>
              </w:rPr>
              <w:t xml:space="preserve">12% reduction in electricity</w:t>
            </w:r>
          </w:p>
        </w:tc>
        <w:tc>
          <w:tcPr>
            <w:tcW w:type="dxa" w:w="3000"/>
            <w:tcMar>
              <w:top w:type="dxa" w:w="80"/>
              <w:left w:type="dxa" w:w="120"/>
              <w:bottom w:type="dxa" w:w="80"/>
              <w:right w:type="dxa" w:w="120"/>
            </w:tcMar>
            <w:vAlign w:val="center"/>
          </w:tcPr>
          <w:p>
            <w:r>
              <w:rPr>
                <w:color w:val="09090B"/>
                <w:sz w:val="20"/>
                <w:szCs w:val="20"/>
              </w:rPr>
              <w:t xml:space="preserve">2-4 years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HVAC upgrade</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20% of HVAC portion (estimated 40% of total energy)</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5-9 years</w:t>
            </w:r>
          </w:p>
        </w:tc>
      </w:tr>
      <w:tr>
        <w:tc>
          <w:tcPr>
            <w:tcW w:type="dxa" w:w="3000"/>
            <w:tcMar>
              <w:top w:type="dxa" w:w="80"/>
              <w:left w:type="dxa" w:w="120"/>
              <w:bottom w:type="dxa" w:w="80"/>
              <w:right w:type="dxa" w:w="120"/>
            </w:tcMar>
            <w:vAlign w:val="center"/>
          </w:tcPr>
          <w:p>
            <w:r>
              <w:rPr>
                <w:color w:val="09090B"/>
                <w:sz w:val="20"/>
                <w:szCs w:val="20"/>
              </w:rPr>
              <w:t xml:space="preserve">Solar PV</w:t>
            </w:r>
          </w:p>
        </w:tc>
        <w:tc>
          <w:tcPr>
            <w:tcW w:type="dxa" w:w="3000"/>
            <w:tcMar>
              <w:top w:type="dxa" w:w="80"/>
              <w:left w:type="dxa" w:w="120"/>
              <w:bottom w:type="dxa" w:w="80"/>
              <w:right w:type="dxa" w:w="120"/>
            </w:tcMar>
            <w:vAlign w:val="center"/>
          </w:tcPr>
          <w:p>
            <w:r>
              <w:rPr>
                <w:color w:val="09090B"/>
                <w:sz w:val="20"/>
                <w:szCs w:val="20"/>
              </w:rPr>
              <w:t xml:space="preserve">Floor area × 65 W/m² × regional capacity factor</w:t>
            </w:r>
          </w:p>
        </w:tc>
        <w:tc>
          <w:tcPr>
            <w:tcW w:type="dxa" w:w="3000"/>
            <w:tcMar>
              <w:top w:type="dxa" w:w="80"/>
              <w:left w:type="dxa" w:w="120"/>
              <w:bottom w:type="dxa" w:w="80"/>
              <w:right w:type="dxa" w:w="120"/>
            </w:tcMar>
            <w:vAlign w:val="center"/>
          </w:tcPr>
          <w:p>
            <w:r>
              <w:rPr>
                <w:color w:val="09090B"/>
                <w:sz w:val="20"/>
                <w:szCs w:val="20"/>
              </w:rPr>
              <w:t xml:space="preserve">7-12 years</w:t>
            </w:r>
          </w:p>
        </w:tc>
      </w:tr>
      <w:tr>
        <w:tc>
          <w:tcPr>
            <w:tcW w:type="dxa" w:w="3000"/>
            <w:shd w:fill="F4F4F5" w:color="auto" w:val="clear"/>
            <w:tcMar>
              <w:top w:type="dxa" w:w="80"/>
              <w:left w:type="dxa" w:w="120"/>
              <w:bottom w:type="dxa" w:w="80"/>
              <w:right w:type="dxa" w:w="120"/>
            </w:tcMar>
            <w:vAlign w:val="center"/>
          </w:tcPr>
          <w:p>
            <w:r>
              <w:rPr>
                <w:color w:val="09090B"/>
                <w:sz w:val="20"/>
                <w:szCs w:val="20"/>
              </w:rPr>
              <w:t xml:space="preserve">Insulation</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8% reduction in gas</w:t>
            </w:r>
          </w:p>
        </w:tc>
        <w:tc>
          <w:tcPr>
            <w:tcW w:type="dxa" w:w="3000"/>
            <w:shd w:fill="F4F4F5" w:color="auto" w:val="clear"/>
            <w:tcMar>
              <w:top w:type="dxa" w:w="80"/>
              <w:left w:type="dxa" w:w="120"/>
              <w:bottom w:type="dxa" w:w="80"/>
              <w:right w:type="dxa" w:w="120"/>
            </w:tcMar>
            <w:vAlign w:val="center"/>
          </w:tcPr>
          <w:p>
            <w:r>
              <w:rPr>
                <w:color w:val="09090B"/>
                <w:sz w:val="20"/>
                <w:szCs w:val="20"/>
              </w:rPr>
              <w:t xml:space="preserve">8-15 years</w:t>
            </w:r>
          </w:p>
        </w:tc>
      </w:tr>
      <w:tr>
        <w:tc>
          <w:tcPr>
            <w:tcW w:type="dxa" w:w="3000"/>
            <w:tcMar>
              <w:top w:type="dxa" w:w="80"/>
              <w:left w:type="dxa" w:w="120"/>
              <w:bottom w:type="dxa" w:w="80"/>
              <w:right w:type="dxa" w:w="120"/>
            </w:tcMar>
            <w:vAlign w:val="center"/>
          </w:tcPr>
          <w:p>
            <w:r>
              <w:rPr>
                <w:color w:val="09090B"/>
                <w:sz w:val="20"/>
                <w:szCs w:val="20"/>
              </w:rPr>
              <w:t xml:space="preserve">BMS optimisation</w:t>
            </w:r>
          </w:p>
        </w:tc>
        <w:tc>
          <w:tcPr>
            <w:tcW w:type="dxa" w:w="3000"/>
            <w:tcMar>
              <w:top w:type="dxa" w:w="80"/>
              <w:left w:type="dxa" w:w="120"/>
              <w:bottom w:type="dxa" w:w="80"/>
              <w:right w:type="dxa" w:w="120"/>
            </w:tcMar>
            <w:vAlign w:val="center"/>
          </w:tcPr>
          <w:p>
            <w:r>
              <w:rPr>
                <w:color w:val="09090B"/>
                <w:sz w:val="20"/>
                <w:szCs w:val="20"/>
              </w:rPr>
              <w:t xml:space="preserve">15% reduction in total energy</w:t>
            </w:r>
          </w:p>
        </w:tc>
        <w:tc>
          <w:tcPr>
            <w:tcW w:type="dxa" w:w="3000"/>
            <w:tcMar>
              <w:top w:type="dxa" w:w="80"/>
              <w:left w:type="dxa" w:w="120"/>
              <w:bottom w:type="dxa" w:w="80"/>
              <w:right w:type="dxa" w:w="120"/>
            </w:tcMar>
            <w:vAlign w:val="center"/>
          </w:tcPr>
          <w:p>
            <w:r>
              <w:rPr>
                <w:color w:val="09090B"/>
                <w:sz w:val="20"/>
                <w:szCs w:val="20"/>
              </w:rPr>
              <w:t xml:space="preserve">1-3 years</w:t>
            </w:r>
          </w:p>
        </w:tc>
      </w:tr>
    </w:tbl>
    <w:p>
      <w:pPr>
        <w:pStyle w:val="Heading3"/>
        <w:spacing w:after="80" w:before="240"/>
      </w:pPr>
      <w:r>
        <w:t xml:space="preserve">CapEx input</w:t>
      </w:r>
    </w:p>
    <w:p>
      <w:pPr>
        <w:spacing w:after="100" w:before="60"/>
      </w:pPr>
      <w:r>
        <w:rPr>
          <w:color w:val="09090B"/>
          <w:sz w:val="22"/>
          <w:szCs w:val="22"/>
        </w:rPr>
        <w:t xml:space="preserve">Number field with regional currency symbol (£, €, $, A$, HK$). Default values seeded based on building floor area.</w:t>
      </w:r>
    </w:p>
    <w:p>
      <w:pPr>
        <w:pStyle w:val="Heading3"/>
        <w:spacing w:after="80" w:before="240"/>
      </w:pPr>
      <w:r>
        <w:t xml:space="preserve">Calculate ROI button</w:t>
      </w:r>
    </w:p>
    <w:p>
      <w:pPr>
        <w:spacing w:after="100" w:before="60"/>
      </w:pPr>
      <w:r>
        <w:rPr>
          <w:color w:val="09090B"/>
          <w:sz w:val="22"/>
          <w:szCs w:val="22"/>
        </w:rPr>
        <w:t xml:space="preserve">Clicking triggers an animated reveal:</w:t>
      </w:r>
    </w:p>
    <w:p>
      <w:pPr>
        <w:pStyle w:val="ListParagraph"/>
        <w:numPr>
          <w:ilvl w:val="0"/>
          <w:numId w:val="1"/>
        </w:numPr>
        <w:spacing w:after="40" w:before="40"/>
      </w:pPr>
      <w:r>
        <w:rPr>
          <w:color w:val="09090B"/>
          <w:sz w:val="22"/>
          <w:szCs w:val="22"/>
        </w:rPr>
        <w:t xml:space="preserve">SVG payback ring — animates from 0 to the calculated score (10 / payback years × 100)</w:t>
      </w:r>
    </w:p>
    <w:p>
      <w:pPr>
        <w:pStyle w:val="ListParagraph"/>
        <w:numPr>
          <w:ilvl w:val="0"/>
          <w:numId w:val="1"/>
        </w:numPr>
        <w:spacing w:after="40" w:before="40"/>
      </w:pPr>
      <w:r>
        <w:rPr>
          <w:color w:val="09090B"/>
          <w:sz w:val="22"/>
          <w:szCs w:val="22"/>
        </w:rPr>
        <w:t xml:space="preserve">StatCards animate in: Annual saving · 25-year NPV · CO₂ avoided</w:t>
      </w:r>
    </w:p>
    <w:p>
      <w:pPr>
        <w:pStyle w:val="ListParagraph"/>
        <w:numPr>
          <w:ilvl w:val="0"/>
          <w:numId w:val="1"/>
        </w:numPr>
        <w:spacing w:after="40" w:before="40"/>
      </w:pPr>
      <w:r>
        <w:rPr>
          <w:color w:val="09090B"/>
          <w:sz w:val="22"/>
          <w:szCs w:val="22"/>
        </w:rPr>
        <w:t xml:space="preserve">LineChart shows 10-year cumulative cashflow with a ReferenceLine at the CapEx crossover point</w:t>
      </w:r>
    </w:p>
    <w:p>
      <w:pPr>
        <w:pStyle w:val="ListParagraph"/>
        <w:numPr>
          <w:ilvl w:val="0"/>
          <w:numId w:val="1"/>
        </w:numPr>
        <w:spacing w:after="40" w:before="40"/>
      </w:pPr>
      <w:r>
        <w:rPr>
          <w:color w:val="09090B"/>
          <w:sz w:val="22"/>
          <w:szCs w:val="22"/>
        </w:rPr>
        <w:t xml:space="preserve">"Download ROI Report" button → generates a 2-page PDF</w:t>
      </w:r>
    </w:p>
    <w:p>
      <w:pPr>
        <w:pStyle w:val="Heading2"/>
        <w:spacing w:after="120" w:before="360"/>
      </w:pPr>
      <w:r>
        <w:t xml:space="preserve">12.2 Per-building view</w:t>
      </w:r>
    </w:p>
    <w:p>
      <w:pPr>
        <w:spacing w:after="100" w:before="60"/>
      </w:pPr>
      <w:r>
        <w:rPr>
          <w:color w:val="09090B"/>
          <w:sz w:val="22"/>
          <w:szCs w:val="22"/>
        </w:rPr>
        <w:t xml:space="preserve">Covered in §4.10. Adds AI-ranked priority ordering and multi-intervention scenarios.</w:t>
      </w:r>
    </w:p>
    <w:p>
      <w:pPr>
        <w:pStyle w:val="Heading2"/>
        <w:spacing w:after="120" w:before="360"/>
      </w:pPr>
      <w:r>
        <w:t xml:space="preserve">12.3 Calculations</w:t>
      </w:r>
    </w:p>
    <w:p>
      <w:pPr>
        <w:pStyle w:val="ListParagraph"/>
        <w:numPr>
          <w:ilvl w:val="0"/>
          <w:numId w:val="1"/>
        </w:numPr>
        <w:spacing w:after="40" w:before="40"/>
      </w:pPr>
      <w:r>
        <w:rPr>
          <w:color w:val="09090B"/>
          <w:sz w:val="22"/>
          <w:szCs w:val="22"/>
        </w:rPr>
        <w:t xml:space="preserve">NPV at 7% discount rate</w:t>
      </w:r>
    </w:p>
    <w:p>
      <w:pPr>
        <w:pStyle w:val="ListParagraph"/>
        <w:numPr>
          <w:ilvl w:val="0"/>
          <w:numId w:val="1"/>
        </w:numPr>
        <w:spacing w:after="40" w:before="40"/>
      </w:pPr>
      <w:r>
        <w:rPr>
          <w:color w:val="09090B"/>
          <w:sz w:val="22"/>
          <w:szCs w:val="22"/>
        </w:rPr>
        <w:t xml:space="preserve">IRR via binary search</w:t>
      </w:r>
    </w:p>
    <w:p>
      <w:pPr>
        <w:pStyle w:val="ListParagraph"/>
        <w:numPr>
          <w:ilvl w:val="0"/>
          <w:numId w:val="1"/>
        </w:numPr>
        <w:spacing w:after="40" w:before="40"/>
      </w:pPr>
      <w:r>
        <w:rPr>
          <w:color w:val="09090B"/>
          <w:sz w:val="22"/>
          <w:szCs w:val="22"/>
        </w:rPr>
        <w:t xml:space="preserve">Annual saving uses regional tariff from regionAdapter</w:t>
      </w:r>
    </w:p>
    <w:p>
      <w:pPr>
        <w:pStyle w:val="ListParagraph"/>
        <w:numPr>
          <w:ilvl w:val="0"/>
          <w:numId w:val="1"/>
        </w:numPr>
        <w:spacing w:after="40" w:before="40"/>
      </w:pPr>
      <w:r>
        <w:rPr>
          <w:color w:val="09090B"/>
          <w:sz w:val="22"/>
          <w:szCs w:val="22"/>
        </w:rPr>
        <w:t xml:space="preserve">CO₂ avoided uses regional emission factor</w:t>
      </w:r>
    </w:p>
    <w:p>
      <w:r>
        <w:br w:type="page"/>
      </w:r>
    </w:p>
    <w:p>
      <w:pPr>
        <w:pStyle w:val="Heading1"/>
        <w:pBdr>
          <w:bottom w:val="single" w:color="037272" w:sz="8" w:space="4"/>
        </w:pBdr>
        <w:spacing w:after="160" w:before="480"/>
      </w:pPr>
      <w:r>
        <w:t xml:space="preserve">13. Ask Your Building (AI Chat — legacy opt-in)</w:t>
      </w:r>
    </w:p>
    <w:p>
      <w:pPr>
        <w:spacing w:after="100" w:before="60"/>
      </w:pPr>
      <w:r>
        <w:rPr>
          <w:color w:val="09090B"/>
          <w:sz w:val="22"/>
          <w:szCs w:val="22"/>
        </w:rPr>
        <w:t xml:space="preserve">The Ask Your Building page at /ask is a chat interface to a GPT-4o RAG (Retrieval-Augmented Generation) assistant. Context is built dynamically from the workspace's real data — no hallucination on numbers.</w:t>
      </w:r>
    </w:p>
    <w:p>
      <w:pPr>
        <w:pStyle w:val="Heading2"/>
        <w:spacing w:after="120" w:before="360"/>
      </w:pPr>
      <w:r>
        <w:t xml:space="preserve">13.1 Context selector</w:t>
      </w:r>
    </w:p>
    <w:p>
      <w:pPr>
        <w:spacing w:after="100" w:before="60"/>
      </w:pPr>
      <w:r>
        <w:rPr>
          <w:color w:val="09090B"/>
          <w:sz w:val="22"/>
          <w:szCs w:val="22"/>
        </w:rPr>
        <w:t xml:space="preserve">Top of the page — switch between Portfolio scope and any individual building. Changing scope re-builds the RAG context.</w:t>
      </w:r>
    </w:p>
    <w:p>
      <w:pPr>
        <w:pStyle w:val="Heading2"/>
        <w:spacing w:after="120" w:before="360"/>
      </w:pPr>
      <w:r>
        <w:t xml:space="preserve">13.2 Quick prompts</w:t>
      </w:r>
    </w:p>
    <w:p>
      <w:pPr>
        <w:spacing w:after="100" w:before="60"/>
      </w:pPr>
      <w:r>
        <w:rPr>
          <w:color w:val="09090B"/>
          <w:sz w:val="22"/>
          <w:szCs w:val="22"/>
        </w:rPr>
        <w:t xml:space="preserve">6 starter prompts appear as clickable chips:</w:t>
      </w:r>
    </w:p>
    <w:p>
      <w:pPr>
        <w:pStyle w:val="ListParagraph"/>
        <w:numPr>
          <w:ilvl w:val="0"/>
          <w:numId w:val="1"/>
        </w:numPr>
        <w:spacing w:after="40" w:before="40"/>
      </w:pPr>
      <w:r>
        <w:rPr>
          <w:color w:val="09090B"/>
          <w:sz w:val="22"/>
          <w:szCs w:val="22"/>
        </w:rPr>
        <w:t xml:space="preserve">"Where can we cut emissions fastest?"</w:t>
      </w:r>
    </w:p>
    <w:p>
      <w:pPr>
        <w:pStyle w:val="ListParagraph"/>
        <w:numPr>
          <w:ilvl w:val="0"/>
          <w:numId w:val="1"/>
        </w:numPr>
        <w:spacing w:after="40" w:before="40"/>
      </w:pPr>
      <w:r>
        <w:rPr>
          <w:color w:val="09090B"/>
          <w:sz w:val="22"/>
          <w:szCs w:val="22"/>
        </w:rPr>
        <w:t xml:space="preserve">"Which building is underperforming and why?"</w:t>
      </w:r>
    </w:p>
    <w:p>
      <w:pPr>
        <w:pStyle w:val="ListParagraph"/>
        <w:numPr>
          <w:ilvl w:val="0"/>
          <w:numId w:val="1"/>
        </w:numPr>
        <w:spacing w:after="40" w:before="40"/>
      </w:pPr>
      <w:r>
        <w:rPr>
          <w:color w:val="09090B"/>
          <w:sz w:val="22"/>
          <w:szCs w:val="22"/>
        </w:rPr>
        <w:t xml:space="preserve">"What would a 50 kWp solar PV system save us?"</w:t>
      </w:r>
    </w:p>
    <w:p>
      <w:pPr>
        <w:pStyle w:val="ListParagraph"/>
        <w:numPr>
          <w:ilvl w:val="0"/>
          <w:numId w:val="1"/>
        </w:numPr>
        <w:spacing w:after="40" w:before="40"/>
      </w:pPr>
      <w:r>
        <w:rPr>
          <w:color w:val="09090B"/>
          <w:sz w:val="22"/>
          <w:szCs w:val="22"/>
        </w:rPr>
        <w:t xml:space="preserve">"Summarise our last 12 months of alerts."</w:t>
      </w:r>
    </w:p>
    <w:p>
      <w:pPr>
        <w:pStyle w:val="ListParagraph"/>
        <w:numPr>
          <w:ilvl w:val="0"/>
          <w:numId w:val="1"/>
        </w:numPr>
        <w:spacing w:after="40" w:before="40"/>
      </w:pPr>
      <w:r>
        <w:rPr>
          <w:color w:val="09090B"/>
          <w:sz w:val="22"/>
          <w:szCs w:val="22"/>
        </w:rPr>
        <w:t xml:space="preserve">"Is our portfolio on track for net zero?"</w:t>
      </w:r>
    </w:p>
    <w:p>
      <w:pPr>
        <w:pStyle w:val="ListParagraph"/>
        <w:numPr>
          <w:ilvl w:val="0"/>
          <w:numId w:val="1"/>
        </w:numPr>
        <w:spacing w:after="40" w:before="40"/>
      </w:pPr>
      <w:r>
        <w:rPr>
          <w:color w:val="09090B"/>
          <w:sz w:val="22"/>
          <w:szCs w:val="22"/>
        </w:rPr>
        <w:t xml:space="preserve">"Which interventions have the best payback?"</w:t>
      </w:r>
    </w:p>
    <w:p>
      <w:pPr>
        <w:pStyle w:val="Heading2"/>
        <w:spacing w:after="120" w:before="360"/>
      </w:pPr>
      <w:r>
        <w:t xml:space="preserve">13.3 Chat input</w:t>
      </w:r>
    </w:p>
    <w:p>
      <w:pPr>
        <w:pStyle w:val="ListParagraph"/>
        <w:numPr>
          <w:ilvl w:val="0"/>
          <w:numId w:val="1"/>
        </w:numPr>
        <w:spacing w:after="40" w:before="40"/>
      </w:pPr>
      <w:r>
        <w:rPr>
          <w:color w:val="09090B"/>
          <w:sz w:val="22"/>
          <w:szCs w:val="22"/>
        </w:rPr>
        <w:t xml:space="preserve">Enter to send, Shift+Enter for newline</w:t>
      </w:r>
    </w:p>
    <w:p>
      <w:pPr>
        <w:pStyle w:val="ListParagraph"/>
        <w:numPr>
          <w:ilvl w:val="0"/>
          <w:numId w:val="1"/>
        </w:numPr>
        <w:spacing w:after="40" w:before="40"/>
      </w:pPr>
      <w:r>
        <w:rPr>
          <w:color w:val="09090B"/>
          <w:sz w:val="22"/>
          <w:szCs w:val="22"/>
        </w:rPr>
        <w:t xml:space="preserve">Streaming response (SSE) — words appear one at a time with a blinking cursor</w:t>
      </w:r>
    </w:p>
    <w:p>
      <w:pPr>
        <w:pStyle w:val="ListParagraph"/>
        <w:numPr>
          <w:ilvl w:val="0"/>
          <w:numId w:val="1"/>
        </w:numPr>
        <w:spacing w:after="40" w:before="40"/>
      </w:pPr>
      <w:r>
        <w:rPr>
          <w:color w:val="09090B"/>
          <w:sz w:val="22"/>
          <w:szCs w:val="22"/>
        </w:rPr>
        <w:t xml:space="preserve">Auto-scroll to bottom as the response streams</w:t>
      </w:r>
    </w:p>
    <w:p>
      <w:pPr>
        <w:pStyle w:val="ListParagraph"/>
        <w:numPr>
          <w:ilvl w:val="0"/>
          <w:numId w:val="1"/>
        </w:numPr>
        <w:spacing w:after="40" w:before="40"/>
      </w:pPr>
      <w:r>
        <w:rPr>
          <w:color w:val="09090B"/>
          <w:sz w:val="22"/>
          <w:szCs w:val="22"/>
        </w:rPr>
        <w:t xml:space="preserve">History window — 8 turns retained; older turns trimmed when context fills</w:t>
      </w:r>
    </w:p>
    <w:p>
      <w:pPr>
        <w:pStyle w:val="Heading2"/>
        <w:spacing w:after="120" w:before="360"/>
      </w:pPr>
      <w:r>
        <w:t xml:space="preserve">13.4 Anti-hallucination rules</w:t>
      </w:r>
    </w:p>
    <w:p>
      <w:pPr>
        <w:spacing w:after="100" w:before="60"/>
      </w:pPr>
      <w:r>
        <w:rPr>
          <w:color w:val="09090B"/>
          <w:sz w:val="22"/>
          <w:szCs w:val="22"/>
        </w:rPr>
        <w:t xml:space="preserve">The system prompt enforces 6 STRICT RULES:</w:t>
      </w:r>
    </w:p>
    <w:p>
      <w:pPr>
        <w:pStyle w:val="ListParagraph"/>
        <w:numPr>
          <w:ilvl w:val="0"/>
          <w:numId w:val="1"/>
        </w:numPr>
        <w:spacing w:after="40" w:before="40"/>
      </w:pPr>
      <w:r>
        <w:rPr>
          <w:color w:val="09090B"/>
          <w:sz w:val="22"/>
          <w:szCs w:val="22"/>
        </w:rPr>
        <w:t xml:space="preserve">Never invent specific numbers — only cite values present in the provided context</w:t>
      </w:r>
    </w:p>
    <w:p>
      <w:pPr>
        <w:pStyle w:val="ListParagraph"/>
        <w:numPr>
          <w:ilvl w:val="0"/>
          <w:numId w:val="1"/>
        </w:numPr>
        <w:spacing w:after="40" w:before="40"/>
      </w:pPr>
      <w:r>
        <w:rPr>
          <w:color w:val="09090B"/>
          <w:sz w:val="22"/>
          <w:szCs w:val="22"/>
        </w:rPr>
        <w:t xml:space="preserve">If asked about a building not in scope, decline and ask the user to switch scope</w:t>
      </w:r>
    </w:p>
    <w:p>
      <w:pPr>
        <w:pStyle w:val="ListParagraph"/>
        <w:numPr>
          <w:ilvl w:val="0"/>
          <w:numId w:val="1"/>
        </w:numPr>
        <w:spacing w:after="40" w:before="40"/>
      </w:pPr>
      <w:r>
        <w:rPr>
          <w:color w:val="09090B"/>
          <w:sz w:val="22"/>
          <w:szCs w:val="22"/>
        </w:rPr>
        <w:t xml:space="preserve">Cite the source for every claim (e.g. "Per the last 30 days of metrics...")</w:t>
      </w:r>
    </w:p>
    <w:p>
      <w:pPr>
        <w:pStyle w:val="ListParagraph"/>
        <w:numPr>
          <w:ilvl w:val="0"/>
          <w:numId w:val="1"/>
        </w:numPr>
        <w:spacing w:after="40" w:before="40"/>
      </w:pPr>
      <w:r>
        <w:rPr>
          <w:color w:val="09090B"/>
          <w:sz w:val="22"/>
          <w:szCs w:val="22"/>
        </w:rPr>
        <w:t xml:space="preserve">Flag uncertainty plainly ("I don't have enough data to answer this")</w:t>
      </w:r>
    </w:p>
    <w:p>
      <w:pPr>
        <w:pStyle w:val="ListParagraph"/>
        <w:numPr>
          <w:ilvl w:val="0"/>
          <w:numId w:val="1"/>
        </w:numPr>
        <w:spacing w:after="40" w:before="40"/>
      </w:pPr>
      <w:r>
        <w:rPr>
          <w:color w:val="09090B"/>
          <w:sz w:val="22"/>
          <w:szCs w:val="22"/>
        </w:rPr>
        <w:t xml:space="preserve">Use the workspace's region-specific benchmark (CIBSE / NABERS / etc.)</w:t>
      </w:r>
    </w:p>
    <w:p>
      <w:pPr>
        <w:pStyle w:val="ListParagraph"/>
        <w:numPr>
          <w:ilvl w:val="0"/>
          <w:numId w:val="1"/>
        </w:numPr>
        <w:spacing w:after="40" w:before="40"/>
      </w:pPr>
      <w:r>
        <w:rPr>
          <w:color w:val="09090B"/>
          <w:sz w:val="22"/>
          <w:szCs w:val="22"/>
        </w:rPr>
        <w:t xml:space="preserve">Suggest opportunities only when supported by data</w:t>
      </w:r>
    </w:p>
    <w:p>
      <w:pPr>
        <w:pStyle w:val="Heading2"/>
        <w:spacing w:after="120" w:before="360"/>
      </w:pPr>
      <w:r>
        <w:t xml:space="preserve">13.5 Clear chat</w:t>
      </w:r>
    </w:p>
    <w:p>
      <w:pPr>
        <w:spacing w:after="100" w:before="60"/>
      </w:pPr>
      <w:r>
        <w:rPr>
          <w:color w:val="09090B"/>
          <w:sz w:val="22"/>
          <w:szCs w:val="22"/>
        </w:rPr>
        <w:t xml:space="preserve">"Clear chat" button resets the history window. Useful before switching to a different building (avoids cross-contaminating context).</w:t>
      </w:r>
    </w:p>
    <w:p>
      <w:r>
        <w:br w:type="page"/>
      </w:r>
    </w:p>
    <w:p>
      <w:pPr>
        <w:pStyle w:val="Heading1"/>
        <w:pBdr>
          <w:bottom w:val="single" w:color="037272" w:sz="8" w:space="4"/>
        </w:pBdr>
        <w:spacing w:after="160" w:before="480"/>
      </w:pPr>
      <w:r>
        <w:t xml:space="preserve">14. Settings</w:t>
      </w:r>
    </w:p>
    <w:p>
      <w:pPr>
        <w:spacing w:after="100" w:before="60"/>
      </w:pPr>
      <w:r>
        <w:rPr>
          <w:color w:val="09090B"/>
          <w:sz w:val="22"/>
          <w:szCs w:val="22"/>
        </w:rPr>
        <w:t xml:space="preserve">Settings live at /settings/* with five tabs accessible to Owners and Admins.</w:t>
      </w:r>
    </w:p>
    <w:p>
      <w:pPr>
        <w:pStyle w:val="Heading2"/>
        <w:spacing w:after="120" w:before="360"/>
      </w:pPr>
      <w:r>
        <w:t xml:space="preserve">14.1 Workspace tab</w:t>
      </w:r>
    </w:p>
    <w:p>
      <w:pPr>
        <w:pStyle w:val="Heading3"/>
        <w:spacing w:after="80" w:before="240"/>
      </w:pPr>
      <w:r>
        <w:t xml:space="preserve">Profile fields</w:t>
      </w:r>
    </w:p>
    <w:p>
      <w:pPr>
        <w:pStyle w:val="ListParagraph"/>
        <w:numPr>
          <w:ilvl w:val="0"/>
          <w:numId w:val="1"/>
        </w:numPr>
        <w:spacing w:after="40" w:before="40"/>
      </w:pPr>
      <w:r>
        <w:rPr>
          <w:color w:val="09090B"/>
          <w:sz w:val="22"/>
          <w:szCs w:val="22"/>
        </w:rPr>
        <w:t xml:space="preserve">Workspace name</w:t>
      </w:r>
    </w:p>
    <w:p>
      <w:pPr>
        <w:pStyle w:val="ListParagraph"/>
        <w:numPr>
          <w:ilvl w:val="0"/>
          <w:numId w:val="1"/>
        </w:numPr>
        <w:spacing w:after="40" w:before="40"/>
      </w:pPr>
      <w:r>
        <w:rPr>
          <w:color w:val="09090B"/>
          <w:sz w:val="22"/>
          <w:szCs w:val="22"/>
        </w:rPr>
        <w:t xml:space="preserve">Logo upload (S3-backed, displayed in sidebar)</w:t>
      </w:r>
    </w:p>
    <w:p>
      <w:pPr>
        <w:pStyle w:val="ListParagraph"/>
        <w:numPr>
          <w:ilvl w:val="0"/>
          <w:numId w:val="1"/>
        </w:numPr>
        <w:spacing w:after="40" w:before="40"/>
      </w:pPr>
      <w:r>
        <w:rPr>
          <w:color w:val="09090B"/>
          <w:sz w:val="22"/>
          <w:szCs w:val="22"/>
        </w:rPr>
        <w:t xml:space="preserve">Timezone (default Europe/London)</w:t>
      </w:r>
    </w:p>
    <w:p>
      <w:pPr>
        <w:pStyle w:val="ListParagraph"/>
        <w:numPr>
          <w:ilvl w:val="0"/>
          <w:numId w:val="1"/>
        </w:numPr>
        <w:spacing w:after="40" w:before="40"/>
      </w:pPr>
      <w:r>
        <w:rPr>
          <w:color w:val="09090B"/>
          <w:sz w:val="22"/>
          <w:szCs w:val="22"/>
        </w:rPr>
        <w:t xml:space="preserve">Reporting period start / end (defaults to financial year)</w:t>
      </w:r>
    </w:p>
    <w:p>
      <w:pPr>
        <w:pStyle w:val="Heading3"/>
        <w:spacing w:after="80" w:before="240"/>
      </w:pPr>
      <w:r>
        <w:t xml:space="preserve">Whitelabel</w:t>
      </w:r>
    </w:p>
    <w:p>
      <w:pPr>
        <w:spacing w:after="100" w:before="60"/>
      </w:pPr>
      <w:r>
        <w:rPr>
          <w:color w:val="09090B"/>
          <w:sz w:val="22"/>
          <w:szCs w:val="22"/>
        </w:rPr>
        <w:t xml:space="preserve">Premium tier only — override colours, add a custom domain. Stored in `workspace.whitelabel_config` JSONB.</w:t>
      </w:r>
    </w:p>
    <w:p>
      <w:pPr>
        <w:pStyle w:val="Heading2"/>
        <w:spacing w:after="120" w:before="360"/>
      </w:pPr>
      <w:r>
        <w:t xml:space="preserve">14.2 Team tab</w:t>
      </w:r>
    </w:p>
    <w:p>
      <w:pPr>
        <w:spacing w:after="100" w:before="60"/>
      </w:pPr>
      <w:r>
        <w:rPr>
          <w:color w:val="09090B"/>
          <w:sz w:val="22"/>
          <w:szCs w:val="22"/>
        </w:rPr>
        <w:t xml:space="preserve">Invite team members, change roles, remove users.</w:t>
      </w:r>
    </w:p>
    <w:p>
      <w:pPr>
        <w:pStyle w:val="Heading3"/>
        <w:spacing w:after="80" w:before="240"/>
      </w:pPr>
      <w:r>
        <w:t xml:space="preserve">Invite flow</w:t>
      </w:r>
    </w:p>
    <w:p>
      <w:pPr>
        <w:pStyle w:val="ListParagraph"/>
        <w:numPr>
          <w:ilvl w:val="0"/>
          <w:numId w:val="1"/>
        </w:numPr>
        <w:spacing w:after="40" w:before="40"/>
      </w:pPr>
      <w:r>
        <w:rPr>
          <w:color w:val="09090B"/>
          <w:sz w:val="22"/>
          <w:szCs w:val="22"/>
        </w:rPr>
        <w:t xml:space="preserve">Enter email + role</w:t>
      </w:r>
    </w:p>
    <w:p>
      <w:pPr>
        <w:pStyle w:val="ListParagraph"/>
        <w:numPr>
          <w:ilvl w:val="0"/>
          <w:numId w:val="1"/>
        </w:numPr>
        <w:spacing w:after="40" w:before="40"/>
      </w:pPr>
      <w:r>
        <w:rPr>
          <w:color w:val="09090B"/>
          <w:sz w:val="22"/>
          <w:szCs w:val="22"/>
        </w:rPr>
        <w:t xml:space="preserve">Send invite — generates JWT invite token (48h validity), sends email via Resend</w:t>
      </w:r>
    </w:p>
    <w:p>
      <w:pPr>
        <w:pStyle w:val="ListParagraph"/>
        <w:numPr>
          <w:ilvl w:val="0"/>
          <w:numId w:val="1"/>
        </w:numPr>
        <w:spacing w:after="40" w:before="40"/>
      </w:pPr>
      <w:r>
        <w:rPr>
          <w:color w:val="09090B"/>
          <w:sz w:val="22"/>
          <w:szCs w:val="22"/>
        </w:rPr>
        <w:t xml:space="preserve">Invitee clicks email link → /accept-invite/:token → sets password → lands on dashboard</w:t>
      </w:r>
    </w:p>
    <w:p>
      <w:pPr>
        <w:pStyle w:val="Heading3"/>
        <w:spacing w:after="80" w:before="240"/>
      </w:pPr>
      <w:r>
        <w:t xml:space="preserve">Role management</w:t>
      </w:r>
    </w:p>
    <w:p>
      <w:pPr>
        <w:spacing w:after="100" w:before="60"/>
      </w:pPr>
      <w:r>
        <w:rPr>
          <w:color w:val="09090B"/>
          <w:sz w:val="22"/>
          <w:szCs w:val="22"/>
        </w:rPr>
        <w:t xml:space="preserve">Owners can promote any user to Admin, or demote any Admin to Contributor / Viewer. The Owner role cannot be removed — to transfer ownership, the current Owner must promote the target user to Admin, then a Super Admin (VZC staff) performs the ownership transfer via the admin portal.</w:t>
      </w:r>
    </w:p>
    <w:p>
      <w:pPr>
        <w:pStyle w:val="Heading2"/>
        <w:spacing w:after="120" w:before="360"/>
      </w:pPr>
      <w:r>
        <w:t xml:space="preserve">14.3 Region &amp; Units tab</w:t>
      </w:r>
    </w:p>
    <w:p>
      <w:pPr>
        <w:spacing w:after="100" w:before="60"/>
      </w:pPr>
      <w:r>
        <w:rPr>
          <w:color w:val="09090B"/>
          <w:sz w:val="22"/>
          <w:szCs w:val="22"/>
        </w:rPr>
        <w:t xml:space="preserve">Change region (UK / AU / US / HK / JM / EU) and override individual unit preferences:</w:t>
      </w:r>
    </w:p>
    <w:p>
      <w:pPr>
        <w:pStyle w:val="ListParagraph"/>
        <w:numPr>
          <w:ilvl w:val="0"/>
          <w:numId w:val="1"/>
        </w:numPr>
        <w:spacing w:after="40" w:before="40"/>
      </w:pPr>
      <w:r>
        <w:rPr>
          <w:color w:val="09090B"/>
          <w:sz w:val="22"/>
          <w:szCs w:val="22"/>
        </w:rPr>
        <w:t xml:space="preserve">Energy unit (kWh / MWh / GJ / therm / kBtu)</w:t>
      </w:r>
    </w:p>
    <w:p>
      <w:pPr>
        <w:pStyle w:val="ListParagraph"/>
        <w:numPr>
          <w:ilvl w:val="0"/>
          <w:numId w:val="1"/>
        </w:numPr>
        <w:spacing w:after="40" w:before="40"/>
      </w:pPr>
      <w:r>
        <w:rPr>
          <w:color w:val="09090B"/>
          <w:sz w:val="22"/>
          <w:szCs w:val="22"/>
        </w:rPr>
        <w:t xml:space="preserve">Area unit (m² / ft²)</w:t>
      </w:r>
    </w:p>
    <w:p>
      <w:pPr>
        <w:pStyle w:val="ListParagraph"/>
        <w:numPr>
          <w:ilvl w:val="0"/>
          <w:numId w:val="1"/>
        </w:numPr>
        <w:spacing w:after="40" w:before="40"/>
      </w:pPr>
      <w:r>
        <w:rPr>
          <w:color w:val="09090B"/>
          <w:sz w:val="22"/>
          <w:szCs w:val="22"/>
        </w:rPr>
        <w:t xml:space="preserve">Water unit (m³ / litres / gallons)</w:t>
      </w:r>
    </w:p>
    <w:p>
      <w:pPr>
        <w:pStyle w:val="ListParagraph"/>
        <w:numPr>
          <w:ilvl w:val="0"/>
          <w:numId w:val="1"/>
        </w:numPr>
        <w:spacing w:after="40" w:before="40"/>
      </w:pPr>
      <w:r>
        <w:rPr>
          <w:color w:val="09090B"/>
          <w:sz w:val="22"/>
          <w:szCs w:val="22"/>
        </w:rPr>
        <w:t xml:space="preserve">Display language (10+ via i18next)</w:t>
      </w:r>
    </w:p>
    <w:p>
      <w:pPr>
        <w:pBdr>
          <w:left w:val="single" w:color="B91C1C" w:sz="12" w:space="4"/>
        </w:pBdr>
        <w:shd w:fill="FEF2F2" w:color="auto" w:val="clear"/>
        <w:spacing w:after="80" w:before="80"/>
        <w:ind w:left="200" w:right="200"/>
      </w:pPr>
      <w:r>
        <w:rPr>
          <w:b/>
          <w:bCs/>
          <w:color w:val="B91C1C"/>
          <w:sz w:val="20"/>
          <w:szCs w:val="20"/>
        </w:rPr>
        <w:t xml:space="preserve">Warning: </w:t>
      </w:r>
      <w:r>
        <w:rPr>
          <w:color w:val="52525B"/>
          <w:sz w:val="20"/>
          <w:szCs w:val="20"/>
        </w:rPr>
        <w:t xml:space="preserve">Changing region recalculates every historical metric to the new region's defaults. This is reversible but disruptive to in-flight reports. Plan a quiet window.</w:t>
      </w:r>
    </w:p>
    <w:p>
      <w:pPr>
        <w:pStyle w:val="Heading2"/>
        <w:spacing w:after="120" w:before="360"/>
      </w:pPr>
      <w:r>
        <w:t xml:space="preserve">14.4 Notifications tab</w:t>
      </w:r>
    </w:p>
    <w:p>
      <w:pPr>
        <w:spacing w:after="100" w:before="60"/>
      </w:pPr>
      <w:r>
        <w:rPr>
          <w:color w:val="09090B"/>
          <w:sz w:val="22"/>
          <w:szCs w:val="22"/>
        </w:rPr>
        <w:t xml:space="preserve">Per-user email + push preferences. Tier 1 alerts cannot be unsubscribed (locked toggle).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037272" w:color="auto" w:val="clear"/>
            <w:tcMar>
              <w:top w:type="dxa" w:w="80"/>
              <w:left w:type="dxa" w:w="120"/>
              <w:bottom w:type="dxa" w:w="80"/>
              <w:right w:type="dxa" w:w="120"/>
            </w:tcMar>
            <w:vAlign w:val="center"/>
          </w:tcPr>
          <w:p>
            <w:r>
              <w:rPr>
                <w:b/>
                <w:bCs/>
                <w:color w:val="FFFFFF"/>
                <w:sz w:val="20"/>
                <w:szCs w:val="20"/>
              </w:rPr>
              <w:t xml:space="preserve">Notification type</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Email</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Push (PWA)</w:t>
            </w:r>
          </w:p>
        </w:tc>
        <w:tc>
          <w:tcPr>
            <w:tcW w:type="dxa" w:w="2250"/>
            <w:shd w:fill="037272" w:color="auto" w:val="clear"/>
            <w:tcMar>
              <w:top w:type="dxa" w:w="80"/>
              <w:left w:type="dxa" w:w="120"/>
              <w:bottom w:type="dxa" w:w="80"/>
              <w:right w:type="dxa" w:w="120"/>
            </w:tcMar>
            <w:vAlign w:val="center"/>
          </w:tcPr>
          <w:p>
            <w:r>
              <w:rPr>
                <w:b/>
                <w:bCs/>
                <w:color w:val="FFFFFF"/>
                <w:sz w:val="20"/>
                <w:szCs w:val="20"/>
              </w:rPr>
              <w:t xml:space="preserve">Frequency</w:t>
            </w:r>
          </w:p>
        </w:tc>
      </w:tr>
      <w:tr>
        <w:tc>
          <w:tcPr>
            <w:tcW w:type="dxa" w:w="2250"/>
            <w:tcMar>
              <w:top w:type="dxa" w:w="80"/>
              <w:left w:type="dxa" w:w="120"/>
              <w:bottom w:type="dxa" w:w="80"/>
              <w:right w:type="dxa" w:w="120"/>
            </w:tcMar>
            <w:vAlign w:val="center"/>
          </w:tcPr>
          <w:p>
            <w:r>
              <w:rPr>
                <w:color w:val="09090B"/>
                <w:sz w:val="20"/>
                <w:szCs w:val="20"/>
              </w:rPr>
              <w:t xml:space="preserve">Tier 1 alerts</w:t>
            </w:r>
          </w:p>
        </w:tc>
        <w:tc>
          <w:tcPr>
            <w:tcW w:type="dxa" w:w="2250"/>
            <w:tcMar>
              <w:top w:type="dxa" w:w="80"/>
              <w:left w:type="dxa" w:w="120"/>
              <w:bottom w:type="dxa" w:w="80"/>
              <w:right w:type="dxa" w:w="120"/>
            </w:tcMar>
            <w:vAlign w:val="center"/>
          </w:tcPr>
          <w:p>
            <w:r>
              <w:rPr>
                <w:color w:val="09090B"/>
                <w:sz w:val="20"/>
                <w:szCs w:val="20"/>
              </w:rPr>
              <w:t xml:space="preserve">🔒 Always on</w:t>
            </w:r>
          </w:p>
        </w:tc>
        <w:tc>
          <w:tcPr>
            <w:tcW w:type="dxa" w:w="2250"/>
            <w:tcMar>
              <w:top w:type="dxa" w:w="80"/>
              <w:left w:type="dxa" w:w="120"/>
              <w:bottom w:type="dxa" w:w="80"/>
              <w:right w:type="dxa" w:w="120"/>
            </w:tcMar>
            <w:vAlign w:val="center"/>
          </w:tcPr>
          <w:p>
            <w:r>
              <w:rPr>
                <w:color w:val="09090B"/>
                <w:sz w:val="20"/>
                <w:szCs w:val="20"/>
              </w:rPr>
              <w:t xml:space="preserve">Always on</w:t>
            </w:r>
          </w:p>
        </w:tc>
        <w:tc>
          <w:tcPr>
            <w:tcW w:type="dxa" w:w="2250"/>
            <w:tcMar>
              <w:top w:type="dxa" w:w="80"/>
              <w:left w:type="dxa" w:w="120"/>
              <w:bottom w:type="dxa" w:w="80"/>
              <w:right w:type="dxa" w:w="120"/>
            </w:tcMar>
            <w:vAlign w:val="center"/>
          </w:tcPr>
          <w:p>
            <w:r>
              <w:rPr>
                <w:color w:val="09090B"/>
                <w:sz w:val="20"/>
                <w:szCs w:val="20"/>
              </w:rPr>
              <w:t xml:space="preserve">Real-time</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Tier 2 alerts</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 Default on</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Optional</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Real-time</w:t>
            </w:r>
          </w:p>
        </w:tc>
      </w:tr>
      <w:tr>
        <w:tc>
          <w:tcPr>
            <w:tcW w:type="dxa" w:w="2250"/>
            <w:tcMar>
              <w:top w:type="dxa" w:w="80"/>
              <w:left w:type="dxa" w:w="120"/>
              <w:bottom w:type="dxa" w:w="80"/>
              <w:right w:type="dxa" w:w="120"/>
            </w:tcMar>
            <w:vAlign w:val="center"/>
          </w:tcPr>
          <w:p>
            <w:r>
              <w:rPr>
                <w:color w:val="09090B"/>
                <w:sz w:val="20"/>
                <w:szCs w:val="20"/>
              </w:rPr>
              <w:t xml:space="preserve">Weekly digest</w:t>
            </w:r>
          </w:p>
        </w:tc>
        <w:tc>
          <w:tcPr>
            <w:tcW w:type="dxa" w:w="2250"/>
            <w:tcMar>
              <w:top w:type="dxa" w:w="80"/>
              <w:left w:type="dxa" w:w="120"/>
              <w:bottom w:type="dxa" w:w="80"/>
              <w:right w:type="dxa" w:w="120"/>
            </w:tcMar>
            <w:vAlign w:val="center"/>
          </w:tcPr>
          <w:p>
            <w:r>
              <w:rPr>
                <w:color w:val="09090B"/>
                <w:sz w:val="20"/>
                <w:szCs w:val="20"/>
              </w:rPr>
              <w:t xml:space="preserve">✓ Default on</w:t>
            </w:r>
          </w:p>
        </w:tc>
        <w:tc>
          <w:tcPr>
            <w:tcW w:type="dxa" w:w="2250"/>
            <w:tcMar>
              <w:top w:type="dxa" w:w="80"/>
              <w:left w:type="dxa" w:w="120"/>
              <w:bottom w:type="dxa" w:w="80"/>
              <w:right w:type="dxa" w:w="120"/>
            </w:tcMar>
            <w:vAlign w:val="center"/>
          </w:tcPr>
          <w:p>
            <w:r>
              <w:rPr>
                <w:color w:val="09090B"/>
                <w:sz w:val="20"/>
                <w:szCs w:val="20"/>
              </w:rPr>
              <w:t xml:space="preserve">Optional</w:t>
            </w:r>
          </w:p>
        </w:tc>
        <w:tc>
          <w:tcPr>
            <w:tcW w:type="dxa" w:w="2250"/>
            <w:tcMar>
              <w:top w:type="dxa" w:w="80"/>
              <w:left w:type="dxa" w:w="120"/>
              <w:bottom w:type="dxa" w:w="80"/>
              <w:right w:type="dxa" w:w="120"/>
            </w:tcMar>
            <w:vAlign w:val="center"/>
          </w:tcPr>
          <w:p>
            <w:r>
              <w:rPr>
                <w:color w:val="09090B"/>
                <w:sz w:val="20"/>
                <w:szCs w:val="20"/>
              </w:rPr>
              <w:t xml:space="preserve">Monday 09:00</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Regulatory updates</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 Default on (if ai_regulatory active)</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Optional</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When detected</w:t>
            </w:r>
          </w:p>
        </w:tc>
      </w:tr>
      <w:tr>
        <w:tc>
          <w:tcPr>
            <w:tcW w:type="dxa" w:w="2250"/>
            <w:tcMar>
              <w:top w:type="dxa" w:w="80"/>
              <w:left w:type="dxa" w:w="120"/>
              <w:bottom w:type="dxa" w:w="80"/>
              <w:right w:type="dxa" w:w="120"/>
            </w:tcMar>
            <w:vAlign w:val="center"/>
          </w:tcPr>
          <w:p>
            <w:r>
              <w:rPr>
                <w:color w:val="09090B"/>
                <w:sz w:val="20"/>
                <w:szCs w:val="20"/>
              </w:rPr>
              <w:t xml:space="preserve">Report generation complete</w:t>
            </w:r>
          </w:p>
        </w:tc>
        <w:tc>
          <w:tcPr>
            <w:tcW w:type="dxa" w:w="2250"/>
            <w:tcMar>
              <w:top w:type="dxa" w:w="80"/>
              <w:left w:type="dxa" w:w="120"/>
              <w:bottom w:type="dxa" w:w="80"/>
              <w:right w:type="dxa" w:w="120"/>
            </w:tcMar>
            <w:vAlign w:val="center"/>
          </w:tcPr>
          <w:p>
            <w:r>
              <w:rPr>
                <w:color w:val="09090B"/>
                <w:sz w:val="20"/>
                <w:szCs w:val="20"/>
              </w:rPr>
              <w:t xml:space="preserve">✓ Default on</w:t>
            </w:r>
          </w:p>
        </w:tc>
        <w:tc>
          <w:tcPr>
            <w:tcW w:type="dxa" w:w="2250"/>
            <w:tcMar>
              <w:top w:type="dxa" w:w="80"/>
              <w:left w:type="dxa" w:w="120"/>
              <w:bottom w:type="dxa" w:w="80"/>
              <w:right w:type="dxa" w:w="120"/>
            </w:tcMar>
            <w:vAlign w:val="center"/>
          </w:tcPr>
          <w:p>
            <w:r>
              <w:rPr>
                <w:color w:val="09090B"/>
                <w:sz w:val="20"/>
                <w:szCs w:val="20"/>
              </w:rPr>
              <w:t xml:space="preserve">Optional</w:t>
            </w:r>
          </w:p>
        </w:tc>
        <w:tc>
          <w:tcPr>
            <w:tcW w:type="dxa" w:w="2250"/>
            <w:tcMar>
              <w:top w:type="dxa" w:w="80"/>
              <w:left w:type="dxa" w:w="120"/>
              <w:bottom w:type="dxa" w:w="80"/>
              <w:right w:type="dxa" w:w="120"/>
            </w:tcMar>
            <w:vAlign w:val="center"/>
          </w:tcPr>
          <w:p>
            <w:r>
              <w:rPr>
                <w:color w:val="09090B"/>
                <w:sz w:val="20"/>
                <w:szCs w:val="20"/>
              </w:rPr>
              <w:t xml:space="preserve">Per report</w:t>
            </w:r>
          </w:p>
        </w:tc>
      </w:tr>
      <w:tr>
        <w:tc>
          <w:tcPr>
            <w:tcW w:type="dxa" w:w="2250"/>
            <w:shd w:fill="F4F4F5" w:color="auto" w:val="clear"/>
            <w:tcMar>
              <w:top w:type="dxa" w:w="80"/>
              <w:left w:type="dxa" w:w="120"/>
              <w:bottom w:type="dxa" w:w="80"/>
              <w:right w:type="dxa" w:w="120"/>
            </w:tcMar>
            <w:vAlign w:val="center"/>
          </w:tcPr>
          <w:p>
            <w:r>
              <w:rPr>
                <w:color w:val="09090B"/>
                <w:sz w:val="20"/>
                <w:szCs w:val="20"/>
              </w:rPr>
              <w:t xml:space="preserve">New user invited (admins only)</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 Default on</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Optional</w:t>
            </w:r>
          </w:p>
        </w:tc>
        <w:tc>
          <w:tcPr>
            <w:tcW w:type="dxa" w:w="2250"/>
            <w:shd w:fill="F4F4F5" w:color="auto" w:val="clear"/>
            <w:tcMar>
              <w:top w:type="dxa" w:w="80"/>
              <w:left w:type="dxa" w:w="120"/>
              <w:bottom w:type="dxa" w:w="80"/>
              <w:right w:type="dxa" w:w="120"/>
            </w:tcMar>
            <w:vAlign w:val="center"/>
          </w:tcPr>
          <w:p>
            <w:r>
              <w:rPr>
                <w:color w:val="09090B"/>
                <w:sz w:val="20"/>
                <w:szCs w:val="20"/>
              </w:rPr>
              <w:t xml:space="preserve">Per invite</w:t>
            </w:r>
          </w:p>
        </w:tc>
      </w:tr>
    </w:tbl>
    <w:p>
      <w:pPr>
        <w:pStyle w:val="Heading2"/>
        <w:spacing w:after="120" w:before="360"/>
      </w:pPr>
      <w:r>
        <w:t xml:space="preserve">14.5 Integrations tab</w:t>
      </w:r>
    </w:p>
    <w:p>
      <w:pPr>
        <w:spacing w:after="100" w:before="60"/>
      </w:pPr>
      <w:r>
        <w:rPr>
          <w:color w:val="09090B"/>
          <w:sz w:val="22"/>
          <w:szCs w:val="22"/>
        </w:rPr>
        <w:t xml:space="preserve">Same partner cards as Data Collection → Integration Hub. Settings tab is where day-to-day management happens (rotate credentials, view last sync log, disconnect).</w:t>
      </w:r>
    </w:p>
    <w:p>
      <w:r>
        <w:br w:type="page"/>
      </w:r>
    </w:p>
    <w:p>
      <w:pPr>
        <w:pStyle w:val="Heading1"/>
        <w:pBdr>
          <w:bottom w:val="single" w:color="037272" w:sz="8" w:space="4"/>
        </w:pBdr>
        <w:spacing w:after="160" w:before="480"/>
      </w:pPr>
      <w:r>
        <w:t xml:space="preserve">15. Admin Portal (Internal Ops)</w:t>
      </w:r>
    </w:p>
    <w:p>
      <w:pPr>
        <w:spacing w:after="100" w:before="60"/>
      </w:pPr>
      <w:r>
        <w:rPr>
          <w:color w:val="09090B"/>
          <w:sz w:val="22"/>
          <w:szCs w:val="22"/>
        </w:rPr>
        <w:t xml:space="preserve">The Admin Portal at /admin is for VZC staff only. It has its own login, its own JWT (ADMIN_JWT_SECRET), and its own purple-themed UI. There is no overlap between the admin portal and the customer-facing app.</w:t>
      </w:r>
    </w:p>
    <w:p>
      <w:pPr>
        <w:pStyle w:val="Heading2"/>
        <w:spacing w:after="120" w:before="360"/>
      </w:pPr>
      <w:r>
        <w:t xml:space="preserve">15.1 Admin login</w:t>
      </w:r>
    </w:p>
    <w:p>
      <w:pPr>
        <w:spacing w:after="100" w:before="60"/>
      </w:pPr>
      <w:r>
        <w:rPr>
          <w:color w:val="09090B"/>
          <w:sz w:val="22"/>
          <w:szCs w:val="22"/>
        </w:rPr>
        <w:t xml:space="preserve">Admins live in the `super_admins` table (not `users`). The login page is at /admin. After successful authentication, the admin lands on /admin/dashboard.</w:t>
      </w:r>
    </w:p>
    <w:p>
      <w:pPr>
        <w:pStyle w:val="Heading2"/>
        <w:spacing w:after="120" w:before="360"/>
      </w:pPr>
      <w:r>
        <w:t xml:space="preserve">15.2 Admin Dashboard</w:t>
      </w:r>
    </w:p>
    <w:p>
      <w:pPr>
        <w:pStyle w:val="ListParagraph"/>
        <w:numPr>
          <w:ilvl w:val="0"/>
          <w:numId w:val="1"/>
        </w:numPr>
        <w:spacing w:after="40" w:before="40"/>
      </w:pPr>
      <w:r>
        <w:rPr>
          <w:color w:val="09090B"/>
          <w:sz w:val="22"/>
          <w:szCs w:val="22"/>
        </w:rPr>
        <w:t xml:space="preserve">4 StatCards: Total organisations · Total assets · Active alerts (portfolio-wide) · Total reports generated</w:t>
      </w:r>
    </w:p>
    <w:p>
      <w:pPr>
        <w:pStyle w:val="ListParagraph"/>
        <w:numPr>
          <w:ilvl w:val="0"/>
          <w:numId w:val="1"/>
        </w:numPr>
        <w:spacing w:after="40" w:before="40"/>
      </w:pPr>
      <w:r>
        <w:rPr>
          <w:color w:val="09090B"/>
          <w:sz w:val="22"/>
          <w:szCs w:val="22"/>
        </w:rPr>
        <w:t xml:space="preserve">12-month LineChart in purple — new organisation signups per month</w:t>
      </w:r>
    </w:p>
    <w:p>
      <w:pPr>
        <w:pStyle w:val="Heading2"/>
        <w:spacing w:after="120" w:before="360"/>
      </w:pPr>
      <w:r>
        <w:t xml:space="preserve">15.3 Organisations</w:t>
      </w:r>
    </w:p>
    <w:p>
      <w:pPr>
        <w:spacing w:after="100" w:before="60"/>
      </w:pPr>
      <w:r>
        <w:rPr>
          <w:color w:val="09090B"/>
          <w:sz w:val="22"/>
          <w:szCs w:val="22"/>
        </w:rPr>
        <w:t xml:space="preserve">A paginated DataTable at /admin/organisations.</w:t>
      </w:r>
    </w:p>
    <w:p>
      <w:pPr>
        <w:pStyle w:val="Heading3"/>
        <w:spacing w:after="80" w:before="240"/>
      </w:pPr>
      <w:r>
        <w:t xml:space="preserve">Filters</w:t>
      </w:r>
    </w:p>
    <w:p>
      <w:pPr>
        <w:pStyle w:val="ListParagraph"/>
        <w:numPr>
          <w:ilvl w:val="0"/>
          <w:numId w:val="1"/>
        </w:numPr>
        <w:spacing w:after="40" w:before="40"/>
      </w:pPr>
      <w:r>
        <w:rPr>
          <w:color w:val="09090B"/>
          <w:sz w:val="22"/>
          <w:szCs w:val="22"/>
        </w:rPr>
        <w:t xml:space="preserve">Search by name</w:t>
      </w:r>
    </w:p>
    <w:p>
      <w:pPr>
        <w:pStyle w:val="ListParagraph"/>
        <w:numPr>
          <w:ilvl w:val="0"/>
          <w:numId w:val="1"/>
        </w:numPr>
        <w:spacing w:after="40" w:before="40"/>
      </w:pPr>
      <w:r>
        <w:rPr>
          <w:color w:val="09090B"/>
          <w:sz w:val="22"/>
          <w:szCs w:val="22"/>
        </w:rPr>
        <w:t xml:space="preserve">Licence status — All / None / Pending / Active / Expired / Cancelled</w:t>
      </w:r>
    </w:p>
    <w:p>
      <w:pPr>
        <w:pStyle w:val="Heading3"/>
        <w:spacing w:after="80" w:before="240"/>
      </w:pPr>
      <w:r>
        <w:t xml:space="preserve">Row actions</w:t>
      </w:r>
    </w:p>
    <w:p>
      <w:pPr>
        <w:pStyle w:val="ListParagraph"/>
        <w:numPr>
          <w:ilvl w:val="0"/>
          <w:numId w:val="1"/>
        </w:numPr>
        <w:spacing w:after="40" w:before="40"/>
      </w:pPr>
      <w:r>
        <w:rPr>
          <w:color w:val="09090B"/>
          <w:sz w:val="22"/>
          <w:szCs w:val="22"/>
        </w:rPr>
        <w:t xml:space="preserve">View detail → /admin/organisations/:orgId</w:t>
      </w:r>
    </w:p>
    <w:p>
      <w:pPr>
        <w:pStyle w:val="Heading2"/>
        <w:spacing w:after="120" w:before="360"/>
      </w:pPr>
      <w:r>
        <w:t xml:space="preserve">15.4 Organisation detail</w:t>
      </w:r>
    </w:p>
    <w:p>
      <w:pPr>
        <w:spacing w:after="100" w:before="60"/>
      </w:pPr>
      <w:r>
        <w:rPr>
          <w:color w:val="09090B"/>
          <w:sz w:val="22"/>
          <w:szCs w:val="22"/>
        </w:rPr>
        <w:t xml:space="preserve">Four sections per organisation:</w:t>
      </w:r>
    </w:p>
    <w:p>
      <w:pPr>
        <w:pStyle w:val="Heading3"/>
        <w:spacing w:after="80" w:before="240"/>
      </w:pPr>
      <w:r>
        <w:t xml:space="preserve">Profile</w:t>
      </w:r>
    </w:p>
    <w:p>
      <w:pPr>
        <w:pStyle w:val="ListParagraph"/>
        <w:numPr>
          <w:ilvl w:val="0"/>
          <w:numId w:val="1"/>
        </w:numPr>
        <w:spacing w:after="40" w:before="40"/>
      </w:pPr>
      <w:r>
        <w:rPr>
          <w:color w:val="09090B"/>
          <w:sz w:val="22"/>
          <w:szCs w:val="22"/>
        </w:rPr>
        <w:t xml:space="preserve">Org name (editable)</w:t>
      </w:r>
    </w:p>
    <w:p>
      <w:pPr>
        <w:pStyle w:val="ListParagraph"/>
        <w:numPr>
          <w:ilvl w:val="0"/>
          <w:numId w:val="1"/>
        </w:numPr>
        <w:spacing w:after="40" w:before="40"/>
      </w:pPr>
      <w:r>
        <w:rPr>
          <w:color w:val="09090B"/>
          <w:sz w:val="22"/>
          <w:szCs w:val="22"/>
        </w:rPr>
        <w:t xml:space="preserve">Contact email (billing)</w:t>
      </w:r>
    </w:p>
    <w:p>
      <w:pPr>
        <w:pStyle w:val="ListParagraph"/>
        <w:numPr>
          <w:ilvl w:val="0"/>
          <w:numId w:val="1"/>
        </w:numPr>
        <w:spacing w:after="40" w:before="40"/>
      </w:pPr>
      <w:r>
        <w:rPr>
          <w:color w:val="09090B"/>
          <w:sz w:val="22"/>
          <w:szCs w:val="22"/>
        </w:rPr>
        <w:t xml:space="preserve">Notes (internal billing notes — not visible to customer)</w:t>
      </w:r>
    </w:p>
    <w:p>
      <w:pPr>
        <w:pStyle w:val="ListParagraph"/>
        <w:numPr>
          <w:ilvl w:val="0"/>
          <w:numId w:val="1"/>
        </w:numPr>
        <w:spacing w:after="40" w:before="40"/>
      </w:pPr>
      <w:r>
        <w:rPr>
          <w:color w:val="09090B"/>
          <w:sz w:val="22"/>
          <w:szCs w:val="22"/>
        </w:rPr>
        <w:t xml:space="preserve">Max buildings (cap)</w:t>
      </w:r>
    </w:p>
    <w:p>
      <w:pPr>
        <w:pStyle w:val="Heading3"/>
        <w:spacing w:after="80" w:before="240"/>
      </w:pPr>
      <w:r>
        <w:t xml:space="preserve">Licence</w:t>
      </w:r>
    </w:p>
    <w:p>
      <w:pPr>
        <w:pStyle w:val="ListParagraph"/>
        <w:numPr>
          <w:ilvl w:val="0"/>
          <w:numId w:val="1"/>
        </w:numPr>
        <w:spacing w:after="40" w:before="40"/>
      </w:pPr>
      <w:r>
        <w:rPr>
          <w:color w:val="09090B"/>
          <w:sz w:val="22"/>
          <w:szCs w:val="22"/>
        </w:rPr>
        <w:t xml:space="preserve">Current status badge</w:t>
      </w:r>
    </w:p>
    <w:p>
      <w:pPr>
        <w:pStyle w:val="ListParagraph"/>
        <w:numPr>
          <w:ilvl w:val="0"/>
          <w:numId w:val="1"/>
        </w:numPr>
        <w:spacing w:after="40" w:before="40"/>
      </w:pPr>
      <w:r>
        <w:rPr>
          <w:color w:val="09090B"/>
          <w:sz w:val="22"/>
          <w:szCs w:val="22"/>
        </w:rPr>
        <w:t xml:space="preserve">"Activate licence" modal — Workspace selector + date picker + notes → POST /admin/api/organisations/:id/activate → activates CORE_MODULES + sends activation email</w:t>
      </w:r>
    </w:p>
    <w:p>
      <w:pPr>
        <w:pStyle w:val="ListParagraph"/>
        <w:numPr>
          <w:ilvl w:val="0"/>
          <w:numId w:val="1"/>
        </w:numPr>
        <w:spacing w:after="40" w:before="40"/>
      </w:pPr>
      <w:r>
        <w:rPr>
          <w:color w:val="09090B"/>
          <w:sz w:val="22"/>
          <w:szCs w:val="22"/>
        </w:rPr>
        <w:t xml:space="preserve">"Suspend" button → sets licence_status to "cancelled" → triggers ORG_SUSPENDED in customer app</w:t>
      </w:r>
    </w:p>
    <w:p>
      <w:pPr>
        <w:pStyle w:val="Heading3"/>
        <w:spacing w:after="80" w:before="240"/>
      </w:pPr>
      <w:r>
        <w:t xml:space="preserve">Modules</w:t>
      </w:r>
    </w:p>
    <w:p>
      <w:pPr>
        <w:spacing w:after="100" w:before="60"/>
      </w:pPr>
      <w:r>
        <w:rPr>
          <w:color w:val="09090B"/>
          <w:sz w:val="22"/>
          <w:szCs w:val="22"/>
        </w:rPr>
        <w:t xml:space="preserve">16-module toggle grid:</w:t>
      </w:r>
    </w:p>
    <w:p>
      <w:pPr>
        <w:pStyle w:val="ListParagraph"/>
        <w:numPr>
          <w:ilvl w:val="0"/>
          <w:numId w:val="1"/>
        </w:numPr>
        <w:spacing w:after="40" w:before="40"/>
      </w:pPr>
      <w:r>
        <w:rPr>
          <w:color w:val="09090B"/>
          <w:sz w:val="22"/>
          <w:szCs w:val="22"/>
        </w:rPr>
        <w:t xml:space="preserve">Each module shown as a card with toggle switch</w:t>
      </w:r>
    </w:p>
    <w:p>
      <w:pPr>
        <w:pStyle w:val="ListParagraph"/>
        <w:numPr>
          <w:ilvl w:val="0"/>
          <w:numId w:val="1"/>
        </w:numPr>
        <w:spacing w:after="40" w:before="40"/>
      </w:pPr>
      <w:r>
        <w:rPr>
          <w:color w:val="09090B"/>
          <w:sz w:val="22"/>
          <w:szCs w:val="22"/>
        </w:rPr>
        <w:t xml:space="preserve">Toggle on → POST /admin/api/modules/activate (writes is_active=true to workspace_modules)</w:t>
      </w:r>
    </w:p>
    <w:p>
      <w:pPr>
        <w:pStyle w:val="ListParagraph"/>
        <w:numPr>
          <w:ilvl w:val="0"/>
          <w:numId w:val="1"/>
        </w:numPr>
        <w:spacing w:after="40" w:before="40"/>
      </w:pPr>
      <w:r>
        <w:rPr>
          <w:color w:val="09090B"/>
          <w:sz w:val="22"/>
          <w:szCs w:val="22"/>
        </w:rPr>
        <w:t xml:space="preserve">Toggle off → POST /admin/api/modules/deactivate + ConfirmDialog</w:t>
      </w:r>
    </w:p>
    <w:p>
      <w:pPr>
        <w:pStyle w:val="ListParagraph"/>
        <w:numPr>
          <w:ilvl w:val="0"/>
          <w:numId w:val="1"/>
        </w:numPr>
        <w:spacing w:after="40" w:before="40"/>
      </w:pPr>
      <w:r>
        <w:rPr>
          <w:color w:val="09090B"/>
          <w:sz w:val="22"/>
          <w:szCs w:val="22"/>
        </w:rPr>
        <w:t xml:space="preserve">"Apply bundle" dropdown above the grid — see §6 for bundle definitions</w:t>
      </w:r>
    </w:p>
    <w:p>
      <w:pPr>
        <w:pStyle w:val="Heading3"/>
        <w:spacing w:after="80" w:before="240"/>
      </w:pPr>
      <w:r>
        <w:t xml:space="preserve">Workspaces</w:t>
      </w:r>
    </w:p>
    <w:p>
      <w:pPr>
        <w:spacing w:after="100" w:before="60"/>
      </w:pPr>
      <w:r>
        <w:rPr>
          <w:color w:val="09090B"/>
          <w:sz w:val="22"/>
          <w:szCs w:val="22"/>
        </w:rPr>
        <w:t xml:space="preserve">List of workspaces under this organisation. Each row shows:</w:t>
      </w:r>
    </w:p>
    <w:p>
      <w:pPr>
        <w:pStyle w:val="ListParagraph"/>
        <w:numPr>
          <w:ilvl w:val="0"/>
          <w:numId w:val="1"/>
        </w:numPr>
        <w:spacing w:after="40" w:before="40"/>
      </w:pPr>
      <w:r>
        <w:rPr>
          <w:color w:val="09090B"/>
          <w:sz w:val="22"/>
          <w:szCs w:val="22"/>
        </w:rPr>
        <w:t xml:space="preserve">Workspace name · Region · Tier (basic/premium) · Asset count · Active modules count · Last activity</w:t>
      </w:r>
    </w:p>
    <w:p>
      <w:pPr>
        <w:pStyle w:val="ListParagraph"/>
        <w:numPr>
          <w:ilvl w:val="0"/>
          <w:numId w:val="1"/>
        </w:numPr>
        <w:spacing w:after="40" w:before="40"/>
      </w:pPr>
      <w:r>
        <w:rPr>
          <w:color w:val="09090B"/>
          <w:sz w:val="22"/>
          <w:szCs w:val="22"/>
        </w:rPr>
        <w:t xml:space="preserve">"Change tier" button → updates workspaces.tier</w:t>
      </w:r>
    </w:p>
    <w:p>
      <w:pPr>
        <w:pStyle w:val="Heading2"/>
        <w:spacing w:after="120" w:before="360"/>
      </w:pPr>
      <w:r>
        <w:t xml:space="preserve">15.5 Team management</w:t>
      </w:r>
    </w:p>
    <w:p>
      <w:pPr>
        <w:spacing w:after="100" w:before="60"/>
      </w:pPr>
      <w:r>
        <w:rPr>
          <w:color w:val="09090B"/>
          <w:sz w:val="22"/>
          <w:szCs w:val="22"/>
        </w:rPr>
        <w:t xml:space="preserve">/admin/team — list of all super admins.</w:t>
      </w:r>
    </w:p>
    <w:p>
      <w:pPr>
        <w:pStyle w:val="Heading3"/>
        <w:spacing w:after="80" w:before="240"/>
      </w:pPr>
      <w:r>
        <w:t xml:space="preserve">Invite new super admin</w:t>
      </w:r>
    </w:p>
    <w:p>
      <w:pPr>
        <w:pStyle w:val="ListParagraph"/>
        <w:numPr>
          <w:ilvl w:val="0"/>
          <w:numId w:val="1"/>
        </w:numPr>
        <w:spacing w:after="40" w:before="40"/>
      </w:pPr>
      <w:r>
        <w:rPr>
          <w:color w:val="09090B"/>
          <w:sz w:val="22"/>
          <w:szCs w:val="22"/>
        </w:rPr>
        <w:t xml:space="preserve">Email + full name + role (Standard / Senior)</w:t>
      </w:r>
    </w:p>
    <w:p>
      <w:pPr>
        <w:pStyle w:val="ListParagraph"/>
        <w:numPr>
          <w:ilvl w:val="0"/>
          <w:numId w:val="1"/>
        </w:numPr>
        <w:spacing w:after="40" w:before="40"/>
      </w:pPr>
      <w:r>
        <w:rPr>
          <w:color w:val="09090B"/>
          <w:sz w:val="22"/>
          <w:szCs w:val="22"/>
        </w:rPr>
        <w:t xml:space="preserve">Sends JWT invite token via Resend, 48h validity</w:t>
      </w:r>
    </w:p>
    <w:p>
      <w:pPr>
        <w:pStyle w:val="ListParagraph"/>
        <w:numPr>
          <w:ilvl w:val="0"/>
          <w:numId w:val="1"/>
        </w:numPr>
        <w:spacing w:after="40" w:before="40"/>
      </w:pPr>
      <w:r>
        <w:rPr>
          <w:color w:val="09090B"/>
          <w:sz w:val="22"/>
          <w:szCs w:val="22"/>
        </w:rPr>
        <w:t xml:space="preserve">Invitee → /admin/accept-invite/:token → sets password → can login</w:t>
      </w:r>
    </w:p>
    <w:p>
      <w:pPr>
        <w:pStyle w:val="Heading2"/>
        <w:spacing w:after="120" w:before="360"/>
      </w:pPr>
      <w:r>
        <w:t xml:space="preserve">15.6 Admin audit logging</w:t>
      </w:r>
    </w:p>
    <w:p>
      <w:pPr>
        <w:spacing w:after="100" w:before="60"/>
      </w:pPr>
      <w:r>
        <w:rPr>
          <w:color w:val="09090B"/>
          <w:sz w:val="22"/>
          <w:szCs w:val="22"/>
        </w:rPr>
        <w:t xml:space="preserve">Every admin action — module activation, tier change, licence activation, team invite — writes a row to `audit_log` with the admin's user_id, the action, and the previous + new values. Used for compliance review.</w:t>
      </w:r>
    </w:p>
    <w:p>
      <w:r>
        <w:br w:type="page"/>
      </w:r>
    </w:p>
    <w:p>
      <w:pPr>
        <w:pStyle w:val="Heading1"/>
        <w:pBdr>
          <w:bottom w:val="single" w:color="037272" w:sz="8" w:space="4"/>
        </w:pBdr>
        <w:spacing w:after="160" w:before="480"/>
      </w:pPr>
      <w:r>
        <w:t xml:space="preserve">16. Operational Conventions &amp; Troubleshooting (Internal Ops)</w:t>
      </w:r>
    </w:p>
    <w:p>
      <w:pPr>
        <w:spacing w:after="100" w:before="60"/>
      </w:pPr>
      <w:r>
        <w:rPr>
          <w:color w:val="09090B"/>
          <w:sz w:val="22"/>
          <w:szCs w:val="22"/>
        </w:rPr>
        <w:t xml:space="preserve">This chapter is for VZC ops staff onboarding to support the platform. End users can skip this chapter.</w:t>
      </w:r>
    </w:p>
    <w:p>
      <w:pPr>
        <w:pStyle w:val="Heading2"/>
        <w:spacing w:after="120" w:before="360"/>
      </w:pPr>
      <w:r>
        <w:t xml:space="preserve">16.1 Tier 1 alert SLA</w:t>
      </w:r>
    </w:p>
    <w:p>
      <w:pPr>
        <w:spacing w:after="100" w:before="60"/>
      </w:pPr>
      <w:r>
        <w:rPr>
          <w:color w:val="09090B"/>
          <w:sz w:val="22"/>
          <w:szCs w:val="22"/>
        </w:rPr>
        <w:t xml:space="preserve">&lt; 60 seconds from sensor trigger to outbound email. This is achieved by:</w:t>
      </w:r>
    </w:p>
    <w:p>
      <w:pPr>
        <w:pStyle w:val="ListParagraph"/>
        <w:numPr>
          <w:ilvl w:val="0"/>
          <w:numId w:val="1"/>
        </w:numPr>
        <w:spacing w:after="40" w:before="40"/>
      </w:pPr>
      <w:r>
        <w:rPr>
          <w:color w:val="09090B"/>
          <w:sz w:val="22"/>
          <w:szCs w:val="22"/>
        </w:rPr>
        <w:t xml:space="preserve">Alert ingest endpoint inserts to alerts table → Resend email fires synchronously</w:t>
      </w:r>
    </w:p>
    <w:p>
      <w:pPr>
        <w:pStyle w:val="ListParagraph"/>
        <w:numPr>
          <w:ilvl w:val="0"/>
          <w:numId w:val="1"/>
        </w:numPr>
        <w:spacing w:after="40" w:before="40"/>
      </w:pPr>
      <w:r>
        <w:rPr>
          <w:color w:val="09090B"/>
          <w:sz w:val="22"/>
          <w:szCs w:val="22"/>
        </w:rPr>
        <w:t xml:space="preserve">WebSocket broadcast to all subscribed clients (Status Manager fires red toast)</w:t>
      </w:r>
    </w:p>
    <w:p>
      <w:pPr>
        <w:pStyle w:val="ListParagraph"/>
        <w:numPr>
          <w:ilvl w:val="0"/>
          <w:numId w:val="1"/>
        </w:numPr>
        <w:spacing w:after="40" w:before="40"/>
      </w:pPr>
      <w:r>
        <w:rPr>
          <w:color w:val="09090B"/>
          <w:sz w:val="22"/>
          <w:szCs w:val="22"/>
        </w:rPr>
        <w:t xml:space="preserve">Push notification to PWA-installed devices</w:t>
      </w:r>
    </w:p>
    <w:p>
      <w:pPr>
        <w:pBdr>
          <w:left w:val="single" w:color="037272" w:sz="12" w:space="4"/>
        </w:pBdr>
        <w:shd w:fill="E0F5F5" w:color="auto" w:val="clear"/>
        <w:spacing w:after="80" w:before="80"/>
        <w:ind w:left="200" w:right="200"/>
      </w:pPr>
      <w:r>
        <w:rPr>
          <w:b/>
          <w:bCs/>
          <w:color w:val="037272"/>
          <w:sz w:val="20"/>
          <w:szCs w:val="20"/>
        </w:rPr>
        <w:t xml:space="preserve">Note: </w:t>
      </w:r>
      <w:r>
        <w:rPr>
          <w:color w:val="52525B"/>
          <w:sz w:val="20"/>
          <w:szCs w:val="20"/>
        </w:rPr>
        <w:t xml:space="preserve">There is NO manual "Send Alert" button anywhere in the platform — every alert email is automatic. If a customer asks why they did not receive an email, check `alerts.email_sent_at` + Resend dashboard.</w:t>
      </w:r>
    </w:p>
    <w:p>
      <w:pPr>
        <w:pStyle w:val="Heading2"/>
        <w:spacing w:after="120" w:before="360"/>
      </w:pPr>
      <w:r>
        <w:t xml:space="preserve">16.2 Resend email logs</w:t>
      </w:r>
    </w:p>
    <w:p>
      <w:pPr>
        <w:spacing w:after="100" w:before="60"/>
      </w:pPr>
      <w:r>
        <w:rPr>
          <w:color w:val="09090B"/>
          <w:sz w:val="22"/>
          <w:szCs w:val="22"/>
        </w:rPr>
        <w:t xml:space="preserve">Every transactional email (password reset, licence activation, Tier 1 alerts, weekly digest) goes through Resend. To check delivery:</w:t>
      </w:r>
    </w:p>
    <w:p>
      <w:pPr>
        <w:pStyle w:val="ListParagraph"/>
        <w:numPr>
          <w:ilvl w:val="0"/>
          <w:numId w:val="1"/>
        </w:numPr>
        <w:spacing w:after="40" w:before="40"/>
      </w:pPr>
      <w:r>
        <w:rPr>
          <w:color w:val="09090B"/>
          <w:sz w:val="22"/>
          <w:szCs w:val="22"/>
        </w:rPr>
        <w:t xml:space="preserve">Resend dashboard → Logs → filter by recipient email</w:t>
      </w:r>
    </w:p>
    <w:p>
      <w:pPr>
        <w:pStyle w:val="ListParagraph"/>
        <w:numPr>
          <w:ilvl w:val="0"/>
          <w:numId w:val="1"/>
        </w:numPr>
        <w:spacing w:after="40" w:before="40"/>
      </w:pPr>
      <w:r>
        <w:rPr>
          <w:color w:val="09090B"/>
          <w:sz w:val="22"/>
          <w:szCs w:val="22"/>
        </w:rPr>
        <w:t xml:space="preserve">Look for "Delivered" status — if "Bounced" or "Complained", the customer's mailbox rejected</w:t>
      </w:r>
    </w:p>
    <w:p>
      <w:pPr>
        <w:pStyle w:val="ListParagraph"/>
        <w:numPr>
          <w:ilvl w:val="0"/>
          <w:numId w:val="1"/>
        </w:numPr>
        <w:spacing w:after="40" w:before="40"/>
      </w:pPr>
      <w:r>
        <w:rPr>
          <w:color w:val="09090B"/>
          <w:sz w:val="22"/>
          <w:szCs w:val="22"/>
        </w:rPr>
        <w:t xml:space="preserve">Resend.com supports message resending and bounce notifications via webhook</w:t>
      </w:r>
    </w:p>
    <w:p>
      <w:pPr>
        <w:pStyle w:val="Heading2"/>
        <w:spacing w:after="120" w:before="360"/>
      </w:pPr>
      <w:r>
        <w:t xml:space="preserve">16.3 WebSocket diagnostics</w:t>
      </w:r>
    </w:p>
    <w:p>
      <w:pPr>
        <w:spacing w:after="100" w:before="60"/>
      </w:pPr>
      <w:r>
        <w:rPr>
          <w:color w:val="09090B"/>
          <w:sz w:val="22"/>
          <w:szCs w:val="22"/>
        </w:rPr>
        <w:t xml:space="preserve">If a customer reports "BMS live data not updating":</w:t>
      </w:r>
    </w:p>
    <w:p>
      <w:pPr>
        <w:pStyle w:val="ListParagraph"/>
        <w:numPr>
          <w:ilvl w:val="0"/>
          <w:numId w:val="1"/>
        </w:numPr>
        <w:spacing w:after="40" w:before="40"/>
      </w:pPr>
      <w:r>
        <w:rPr>
          <w:color w:val="09090B"/>
          <w:sz w:val="22"/>
          <w:szCs w:val="22"/>
        </w:rPr>
        <w:t xml:space="preserve">1. Check the workspace has an integration partner connected with `is_active = true` (Data Collection → Integration Hub)</w:t>
      </w:r>
    </w:p>
    <w:p>
      <w:pPr>
        <w:pStyle w:val="ListParagraph"/>
        <w:numPr>
          <w:ilvl w:val="0"/>
          <w:numId w:val="1"/>
        </w:numPr>
        <w:spacing w:after="40" w:before="40"/>
      </w:pPr>
      <w:r>
        <w:rPr>
          <w:color w:val="09090B"/>
          <w:sz w:val="22"/>
          <w:szCs w:val="22"/>
        </w:rPr>
        <w:t xml:space="preserve">2. Check Railway logs for `[WSS]` entries — confirmation of `WebSocket server attached`, ping/pong heartbeat</w:t>
      </w:r>
    </w:p>
    <w:p>
      <w:pPr>
        <w:pStyle w:val="ListParagraph"/>
        <w:numPr>
          <w:ilvl w:val="0"/>
          <w:numId w:val="1"/>
        </w:numPr>
        <w:spacing w:after="40" w:before="40"/>
      </w:pPr>
      <w:r>
        <w:rPr>
          <w:color w:val="09090B"/>
          <w:sz w:val="22"/>
          <w:szCs w:val="22"/>
        </w:rPr>
        <w:t xml:space="preserve">3. Check the sync scheduler is running — should log every 30 minutes</w:t>
      </w:r>
    </w:p>
    <w:p>
      <w:pPr>
        <w:pStyle w:val="ListParagraph"/>
        <w:numPr>
          <w:ilvl w:val="0"/>
          <w:numId w:val="1"/>
        </w:numPr>
        <w:spacing w:after="40" w:before="40"/>
      </w:pPr>
      <w:r>
        <w:rPr>
          <w:color w:val="09090B"/>
          <w:sz w:val="22"/>
          <w:szCs w:val="22"/>
        </w:rPr>
        <w:t xml:space="preserve">4. Check `data_partner_connections.last_sync_status` for the workspace</w:t>
      </w:r>
    </w:p>
    <w:p>
      <w:pPr>
        <w:pStyle w:val="ListParagraph"/>
        <w:numPr>
          <w:ilvl w:val="0"/>
          <w:numId w:val="1"/>
        </w:numPr>
        <w:spacing w:after="40" w:before="40"/>
      </w:pPr>
      <w:r>
        <w:rPr>
          <w:color w:val="09090B"/>
          <w:sz w:val="22"/>
          <w:szCs w:val="22"/>
        </w:rPr>
        <w:t xml:space="preserve">5. Customer-side — hard-refresh the browser, the WS reconnects with exponential backoff (1s → 30s cap)</w:t>
      </w:r>
    </w:p>
    <w:p>
      <w:pPr>
        <w:pStyle w:val="Heading2"/>
        <w:spacing w:after="120" w:before="360"/>
      </w:pPr>
      <w:r>
        <w:t xml:space="preserve">16.4 Sync scheduler</w:t>
      </w:r>
    </w:p>
    <w:p>
      <w:pPr>
        <w:spacing w:after="100" w:before="60"/>
      </w:pPr>
      <w:r>
        <w:rPr>
          <w:color w:val="09090B"/>
          <w:sz w:val="22"/>
          <w:szCs w:val="22"/>
        </w:rPr>
        <w:t xml:space="preserve">Lives in `services/syncScheduler.js`. Runs every 30 minutes:</w:t>
      </w:r>
    </w:p>
    <w:p>
      <w:pPr>
        <w:pStyle w:val="ListParagraph"/>
        <w:numPr>
          <w:ilvl w:val="0"/>
          <w:numId w:val="1"/>
        </w:numPr>
        <w:spacing w:after="40" w:before="40"/>
      </w:pPr>
      <w:r>
        <w:rPr>
          <w:color w:val="09090B"/>
          <w:sz w:val="22"/>
          <w:szCs w:val="22"/>
        </w:rPr>
        <w:t xml:space="preserve">Loads all active `data_partner_connections`</w:t>
      </w:r>
    </w:p>
    <w:p>
      <w:pPr>
        <w:pStyle w:val="ListParagraph"/>
        <w:numPr>
          <w:ilvl w:val="0"/>
          <w:numId w:val="1"/>
        </w:numPr>
        <w:spacing w:after="40" w:before="40"/>
      </w:pPr>
      <w:r>
        <w:rPr>
          <w:color w:val="09090B"/>
          <w:sz w:val="22"/>
          <w:szCs w:val="22"/>
        </w:rPr>
        <w:t xml:space="preserve">For each: calls adapter `fetchLatestReadings`, bulk-inserts to `metrics`</w:t>
      </w:r>
    </w:p>
    <w:p>
      <w:pPr>
        <w:pStyle w:val="ListParagraph"/>
        <w:numPr>
          <w:ilvl w:val="0"/>
          <w:numId w:val="1"/>
        </w:numPr>
        <w:spacing w:after="40" w:before="40"/>
      </w:pPr>
      <w:r>
        <w:rPr>
          <w:color w:val="09090B"/>
          <w:sz w:val="22"/>
          <w:szCs w:val="22"/>
        </w:rPr>
        <w:t xml:space="preserve">Updates `last_sync_at` + `last_sync_status` on the connection row</w:t>
      </w:r>
    </w:p>
    <w:p>
      <w:pPr>
        <w:pStyle w:val="ListParagraph"/>
        <w:numPr>
          <w:ilvl w:val="0"/>
          <w:numId w:val="1"/>
        </w:numPr>
        <w:spacing w:after="40" w:before="40"/>
      </w:pPr>
      <w:r>
        <w:rPr>
          <w:color w:val="09090B"/>
          <w:sz w:val="22"/>
          <w:szCs w:val="22"/>
        </w:rPr>
        <w:t xml:space="preserve">Runs `runAlertCheck` per asset for threshold-based alert auto-firing</w:t>
      </w:r>
    </w:p>
    <w:p>
      <w:pPr>
        <w:pStyle w:val="ListParagraph"/>
        <w:numPr>
          <w:ilvl w:val="0"/>
          <w:numId w:val="1"/>
        </w:numPr>
        <w:spacing w:after="40" w:before="40"/>
      </w:pPr>
      <w:r>
        <w:rPr>
          <w:color w:val="09090B"/>
          <w:sz w:val="22"/>
          <w:szCs w:val="22"/>
        </w:rPr>
        <w:t xml:space="preserve">Weekly (every 7 days): runs `runWeeklyRegulatoryScans` for `ai_regulatory`-active workspaces</w:t>
      </w:r>
    </w:p>
    <w:p>
      <w:pPr>
        <w:pStyle w:val="Heading2"/>
        <w:spacing w:after="120" w:before="360"/>
      </w:pPr>
      <w:r>
        <w:t xml:space="preserve">16.5 Ashburner Francis demo stream</w:t>
      </w:r>
    </w:p>
    <w:p>
      <w:pPr>
        <w:spacing w:after="100" w:before="60"/>
      </w:pPr>
      <w:r>
        <w:rPr>
          <w:color w:val="09090B"/>
          <w:sz w:val="22"/>
          <w:szCs w:val="22"/>
        </w:rPr>
        <w:t xml:space="preserve">A special service for one specific workspace + asset combo (Patrick's account). Toggled by `DEMO_ASHBURNER_STREAM=true` on Railway:</w:t>
      </w:r>
    </w:p>
    <w:p>
      <w:pPr>
        <w:pStyle w:val="ListParagraph"/>
        <w:numPr>
          <w:ilvl w:val="0"/>
          <w:numId w:val="1"/>
        </w:numPr>
        <w:spacing w:after="40" w:before="40"/>
      </w:pPr>
      <w:r>
        <w:rPr>
          <w:color w:val="09090B"/>
          <w:sz w:val="22"/>
          <w:szCs w:val="22"/>
        </w:rPr>
        <w:t xml:space="preserve">Refills demo BMS + utility data every 5 minutes if forward buffer &lt; 12 hours</w:t>
      </w:r>
    </w:p>
    <w:p>
      <w:pPr>
        <w:pStyle w:val="ListParagraph"/>
        <w:numPr>
          <w:ilvl w:val="0"/>
          <w:numId w:val="1"/>
        </w:numPr>
        <w:spacing w:after="40" w:before="40"/>
      </w:pPr>
      <w:r>
        <w:rPr>
          <w:color w:val="09090B"/>
          <w:sz w:val="22"/>
          <w:szCs w:val="22"/>
        </w:rPr>
        <w:t xml:space="preserve">Refills target = 24 hours forward</w:t>
      </w:r>
    </w:p>
    <w:p>
      <w:pPr>
        <w:pStyle w:val="ListParagraph"/>
        <w:numPr>
          <w:ilvl w:val="0"/>
          <w:numId w:val="1"/>
        </w:numPr>
        <w:spacing w:after="40" w:before="40"/>
      </w:pPr>
      <w:r>
        <w:rPr>
          <w:color w:val="09090B"/>
          <w:sz w:val="22"/>
          <w:szCs w:val="22"/>
        </w:rPr>
        <w:t xml:space="preserve">Only writes to workspace `8b255f4d-...` + asset `74acca91-...` — no other workspace/asset is touched</w:t>
      </w:r>
    </w:p>
    <w:p>
      <w:pPr>
        <w:pStyle w:val="ListParagraph"/>
        <w:numPr>
          <w:ilvl w:val="0"/>
          <w:numId w:val="1"/>
        </w:numPr>
        <w:spacing w:after="40" w:before="40"/>
      </w:pPr>
      <w:r>
        <w:rPr>
          <w:color w:val="09090B"/>
          <w:sz w:val="22"/>
          <w:szCs w:val="22"/>
        </w:rPr>
        <w:t xml:space="preserve">Disabled by default — only enabled when Patrick needs to demo and Novant isn't producing real telemetry</w:t>
      </w:r>
    </w:p>
    <w:p>
      <w:pPr>
        <w:pStyle w:val="ListParagraph"/>
        <w:numPr>
          <w:ilvl w:val="0"/>
          <w:numId w:val="1"/>
        </w:numPr>
        <w:spacing w:after="40" w:before="40"/>
      </w:pPr>
      <w:r>
        <w:rPr>
          <w:color w:val="09090B"/>
          <w:sz w:val="22"/>
          <w:szCs w:val="22"/>
        </w:rPr>
        <w:t xml:space="preserve">To disable: remove env var from Railway → service emits `[ashburnerDemo] disabled (DEMO_ASHBURNER_STREAM != true)` on next boot</w:t>
      </w:r>
    </w:p>
    <w:p>
      <w:pPr>
        <w:pStyle w:val="Heading2"/>
        <w:spacing w:after="120" w:before="360"/>
      </w:pPr>
      <w:r>
        <w:t xml:space="preserve">16.6 Production deployment</w:t>
      </w:r>
    </w:p>
    <w:p>
      <w:pPr>
        <w:pStyle w:val="Heading3"/>
        <w:spacing w:after="80" w:before="240"/>
      </w:pPr>
      <w:r>
        <w:t xml:space="preserve">Backend deploy</w:t>
      </w:r>
    </w:p>
    <w:p>
      <w:pPr>
        <w:pStyle w:val="ListParagraph"/>
        <w:numPr>
          <w:ilvl w:val="0"/>
          <w:numId w:val="1"/>
        </w:numPr>
        <w:spacing w:after="40" w:before="40"/>
      </w:pPr>
      <w:r>
        <w:rPr>
          <w:color w:val="09090B"/>
          <w:sz w:val="22"/>
          <w:szCs w:val="22"/>
        </w:rPr>
        <w:t xml:space="preserve">Push to `main` → Railway auto-redeploys</w:t>
      </w:r>
    </w:p>
    <w:p>
      <w:pPr>
        <w:pStyle w:val="ListParagraph"/>
        <w:numPr>
          <w:ilvl w:val="0"/>
          <w:numId w:val="1"/>
        </w:numPr>
        <w:spacing w:after="40" w:before="40"/>
      </w:pPr>
      <w:r>
        <w:rPr>
          <w:color w:val="09090B"/>
          <w:sz w:val="22"/>
          <w:szCs w:val="22"/>
        </w:rPr>
        <w:t xml:space="preserve">On start: `runMigrations()` runs safely (idempotent — skips existing tables)</w:t>
      </w:r>
    </w:p>
    <w:p>
      <w:pPr>
        <w:pStyle w:val="ListParagraph"/>
        <w:numPr>
          <w:ilvl w:val="0"/>
          <w:numId w:val="1"/>
        </w:numPr>
        <w:spacing w:after="40" w:before="40"/>
      </w:pPr>
      <w:r>
        <w:rPr>
          <w:color w:val="09090B"/>
          <w:sz w:val="22"/>
          <w:szCs w:val="22"/>
        </w:rPr>
        <w:t xml:space="preserve">Then starts WebSocket server, BMS simulation, sync scheduler, Ashburner stream (if toggled)</w:t>
      </w:r>
    </w:p>
    <w:p>
      <w:pPr>
        <w:pStyle w:val="ListParagraph"/>
        <w:numPr>
          <w:ilvl w:val="0"/>
          <w:numId w:val="1"/>
        </w:numPr>
        <w:spacing w:after="40" w:before="40"/>
      </w:pPr>
      <w:r>
        <w:rPr>
          <w:color w:val="09090B"/>
          <w:sz w:val="22"/>
          <w:szCs w:val="22"/>
        </w:rPr>
        <w:t xml:space="preserve">Logs: "Portfolio One API — port [PORT]"</w:t>
      </w:r>
    </w:p>
    <w:p>
      <w:pPr>
        <w:pStyle w:val="Heading3"/>
        <w:spacing w:after="80" w:before="240"/>
      </w:pPr>
      <w:r>
        <w:t xml:space="preserve">Frontend deploy</w:t>
      </w:r>
    </w:p>
    <w:p>
      <w:pPr>
        <w:pStyle w:val="ListParagraph"/>
        <w:numPr>
          <w:ilvl w:val="0"/>
          <w:numId w:val="1"/>
        </w:numPr>
        <w:spacing w:after="40" w:before="40"/>
      </w:pPr>
      <w:r>
        <w:rPr>
          <w:color w:val="09090B"/>
          <w:sz w:val="22"/>
          <w:szCs w:val="22"/>
        </w:rPr>
        <w:t xml:space="preserve">Push to `main` → Vercel auto-redeploys</w:t>
      </w:r>
    </w:p>
    <w:p>
      <w:pPr>
        <w:pStyle w:val="ListParagraph"/>
        <w:numPr>
          <w:ilvl w:val="0"/>
          <w:numId w:val="1"/>
        </w:numPr>
        <w:spacing w:after="40" w:before="40"/>
      </w:pPr>
      <w:r>
        <w:rPr>
          <w:color w:val="09090B"/>
          <w:sz w:val="22"/>
          <w:szCs w:val="22"/>
        </w:rPr>
        <w:t xml:space="preserve">CRITICAL: never use `Co-Authored-By: Claude` in commits — Vercel Hobby blocks non-owner authors</w:t>
      </w:r>
    </w:p>
    <w:p>
      <w:pPr>
        <w:pStyle w:val="ListParagraph"/>
        <w:numPr>
          <w:ilvl w:val="0"/>
          <w:numId w:val="1"/>
        </w:numPr>
        <w:spacing w:after="40" w:before="40"/>
      </w:pPr>
      <w:r>
        <w:rPr>
          <w:color w:val="09090B"/>
          <w:sz w:val="22"/>
          <w:szCs w:val="22"/>
        </w:rPr>
        <w:t xml:space="preserve">vercel.json rewrites all routes to /index.html for SPA fallback</w:t>
      </w:r>
    </w:p>
    <w:p>
      <w:pPr>
        <w:pStyle w:val="Heading3"/>
        <w:spacing w:after="80" w:before="240"/>
      </w:pPr>
      <w:r>
        <w:t xml:space="preserve">Database migrations</w:t>
      </w:r>
    </w:p>
    <w:p>
      <w:pPr>
        <w:pStyle w:val="ListParagraph"/>
        <w:numPr>
          <w:ilvl w:val="0"/>
          <w:numId w:val="1"/>
        </w:numPr>
        <w:spacing w:after="40" w:before="40"/>
      </w:pPr>
      <w:r>
        <w:rPr>
          <w:color w:val="09090B"/>
          <w:sz w:val="22"/>
          <w:szCs w:val="22"/>
        </w:rPr>
        <w:t xml:space="preserve">Migrations are append-only — never edit an existing migration, never delete</w:t>
      </w:r>
    </w:p>
    <w:p>
      <w:pPr>
        <w:pStyle w:val="ListParagraph"/>
        <w:numPr>
          <w:ilvl w:val="0"/>
          <w:numId w:val="1"/>
        </w:numPr>
        <w:spacing w:after="40" w:before="40"/>
      </w:pPr>
      <w:r>
        <w:rPr>
          <w:color w:val="09090B"/>
          <w:sz w:val="22"/>
          <w:szCs w:val="22"/>
        </w:rPr>
        <w:t xml:space="preserve">To reverse an effect, write a NEW corrective migration</w:t>
      </w:r>
    </w:p>
    <w:p>
      <w:pPr>
        <w:pStyle w:val="ListParagraph"/>
        <w:numPr>
          <w:ilvl w:val="0"/>
          <w:numId w:val="1"/>
        </w:numPr>
        <w:spacing w:after="40" w:before="40"/>
      </w:pPr>
      <w:r>
        <w:rPr>
          <w:color w:val="09090B"/>
          <w:sz w:val="22"/>
          <w:szCs w:val="22"/>
        </w:rPr>
        <w:t xml:space="preserve">`runMigrations()` runs on every deploy — safe to re-run, skips existing tables</w:t>
      </w:r>
    </w:p>
    <w:p>
      <w:pPr>
        <w:pStyle w:val="Heading2"/>
        <w:spacing w:after="120" w:before="360"/>
      </w:pPr>
      <w:r>
        <w:t xml:space="preserve">16.7 Common customer support scenarios</w:t>
      </w:r>
    </w:p>
    <w:p>
      <w:pPr>
        <w:pStyle w:val="Heading3"/>
        <w:spacing w:after="80" w:before="240"/>
      </w:pPr>
      <w:r>
        <w:t xml:space="preserve">"Data is missing in the dashboard"</w:t>
      </w:r>
    </w:p>
    <w:p>
      <w:pPr>
        <w:pStyle w:val="ListParagraph"/>
        <w:numPr>
          <w:ilvl w:val="0"/>
          <w:numId w:val="1"/>
        </w:numPr>
        <w:spacing w:after="40" w:before="40"/>
      </w:pPr>
      <w:r>
        <w:rPr>
          <w:color w:val="09090B"/>
          <w:sz w:val="22"/>
          <w:szCs w:val="22"/>
        </w:rPr>
        <w:t xml:space="preserve">1. Confirm workspace_id from user's account</w:t>
      </w:r>
    </w:p>
    <w:p>
      <w:pPr>
        <w:pStyle w:val="ListParagraph"/>
        <w:numPr>
          <w:ilvl w:val="0"/>
          <w:numId w:val="1"/>
        </w:numPr>
        <w:spacing w:after="40" w:before="40"/>
      </w:pPr>
      <w:r>
        <w:rPr>
          <w:color w:val="09090B"/>
          <w:sz w:val="22"/>
          <w:szCs w:val="22"/>
        </w:rPr>
        <w:t xml:space="preserve">2. Query `metrics` for that workspace — does data exist?</w:t>
      </w:r>
    </w:p>
    <w:p>
      <w:pPr>
        <w:pStyle w:val="ListParagraph"/>
        <w:numPr>
          <w:ilvl w:val="0"/>
          <w:numId w:val="1"/>
        </w:numPr>
        <w:spacing w:after="40" w:before="40"/>
      </w:pPr>
      <w:r>
        <w:rPr>
          <w:color w:val="09090B"/>
          <w:sz w:val="22"/>
          <w:szCs w:val="22"/>
        </w:rPr>
        <w:t xml:space="preserve">3. If data exists in DB but not UI → cache issue → customer hard-refresh</w:t>
      </w:r>
    </w:p>
    <w:p>
      <w:pPr>
        <w:pStyle w:val="ListParagraph"/>
        <w:numPr>
          <w:ilvl w:val="0"/>
          <w:numId w:val="1"/>
        </w:numPr>
        <w:spacing w:after="40" w:before="40"/>
      </w:pPr>
      <w:r>
        <w:rPr>
          <w:color w:val="09090B"/>
          <w:sz w:val="22"/>
          <w:szCs w:val="22"/>
        </w:rPr>
        <w:t xml:space="preserve">4. If data is missing → check `audit_log` for any deletes</w:t>
      </w:r>
    </w:p>
    <w:p>
      <w:pPr>
        <w:pStyle w:val="ListParagraph"/>
        <w:numPr>
          <w:ilvl w:val="0"/>
          <w:numId w:val="1"/>
        </w:numPr>
        <w:spacing w:after="40" w:before="40"/>
      </w:pPr>
      <w:r>
        <w:rPr>
          <w:color w:val="09090B"/>
          <w:sz w:val="22"/>
          <w:szCs w:val="22"/>
        </w:rPr>
        <w:t xml:space="preserve">5. If data is in the wrong workspace → migrate (see Portfolio_One_IP.md §29.1)</w:t>
      </w:r>
    </w:p>
    <w:p>
      <w:pPr>
        <w:pStyle w:val="Heading3"/>
        <w:spacing w:after="80" w:before="240"/>
      </w:pPr>
      <w:r>
        <w:t xml:space="preserve">"Tier 1 alert email did not arrive"</w:t>
      </w:r>
    </w:p>
    <w:p>
      <w:pPr>
        <w:pStyle w:val="ListParagraph"/>
        <w:numPr>
          <w:ilvl w:val="0"/>
          <w:numId w:val="1"/>
        </w:numPr>
        <w:spacing w:after="40" w:before="40"/>
      </w:pPr>
      <w:r>
        <w:rPr>
          <w:color w:val="09090B"/>
          <w:sz w:val="22"/>
          <w:szCs w:val="22"/>
        </w:rPr>
        <w:t xml:space="preserve">1. Check `alerts.email_sent_at` — non-null means we sent it</w:t>
      </w:r>
    </w:p>
    <w:p>
      <w:pPr>
        <w:pStyle w:val="ListParagraph"/>
        <w:numPr>
          <w:ilvl w:val="0"/>
          <w:numId w:val="1"/>
        </w:numPr>
        <w:spacing w:after="40" w:before="40"/>
      </w:pPr>
      <w:r>
        <w:rPr>
          <w:color w:val="09090B"/>
          <w:sz w:val="22"/>
          <w:szCs w:val="22"/>
        </w:rPr>
        <w:t xml:space="preserve">2. Check Resend dashboard for the timestamp + recipient — "Delivered" / "Bounced" / "Complained"</w:t>
      </w:r>
    </w:p>
    <w:p>
      <w:pPr>
        <w:pStyle w:val="ListParagraph"/>
        <w:numPr>
          <w:ilvl w:val="0"/>
          <w:numId w:val="1"/>
        </w:numPr>
        <w:spacing w:after="40" w:before="40"/>
      </w:pPr>
      <w:r>
        <w:rPr>
          <w:color w:val="09090B"/>
          <w:sz w:val="22"/>
          <w:szCs w:val="22"/>
        </w:rPr>
        <w:t xml:space="preserve">3. If "Delivered" — customer's spam filter likely. Ask them to whitelist info@visionzeroconnect.com</w:t>
      </w:r>
    </w:p>
    <w:p>
      <w:pPr>
        <w:pStyle w:val="ListParagraph"/>
        <w:numPr>
          <w:ilvl w:val="0"/>
          <w:numId w:val="1"/>
        </w:numPr>
        <w:spacing w:after="40" w:before="40"/>
      </w:pPr>
      <w:r>
        <w:rPr>
          <w:color w:val="09090B"/>
          <w:sz w:val="22"/>
          <w:szCs w:val="22"/>
        </w:rPr>
        <w:t xml:space="preserve">4. If "Bounced" — recipient email invalid, ask for correction</w:t>
      </w:r>
    </w:p>
    <w:p>
      <w:pPr>
        <w:pStyle w:val="Heading3"/>
        <w:spacing w:after="80" w:before="240"/>
      </w:pPr>
      <w:r>
        <w:t xml:space="preserve">"Bill parser extracted wrong values"</w:t>
      </w:r>
    </w:p>
    <w:p>
      <w:pPr>
        <w:pStyle w:val="ListParagraph"/>
        <w:numPr>
          <w:ilvl w:val="0"/>
          <w:numId w:val="1"/>
        </w:numPr>
        <w:spacing w:after="40" w:before="40"/>
      </w:pPr>
      <w:r>
        <w:rPr>
          <w:color w:val="09090B"/>
          <w:sz w:val="22"/>
          <w:szCs w:val="22"/>
        </w:rPr>
        <w:t xml:space="preserve">1. Check the bill type and region — is it a country we cover?</w:t>
      </w:r>
    </w:p>
    <w:p>
      <w:pPr>
        <w:pStyle w:val="ListParagraph"/>
        <w:numPr>
          <w:ilvl w:val="0"/>
          <w:numId w:val="1"/>
        </w:numPr>
        <w:spacing w:after="40" w:before="40"/>
      </w:pPr>
      <w:r>
        <w:rPr>
          <w:color w:val="09090B"/>
          <w:sz w:val="22"/>
          <w:szCs w:val="22"/>
        </w:rPr>
        <w:t xml:space="preserve">2. Look at the confidence score on the parse_log</w:t>
      </w:r>
    </w:p>
    <w:p>
      <w:pPr>
        <w:pStyle w:val="ListParagraph"/>
        <w:numPr>
          <w:ilvl w:val="0"/>
          <w:numId w:val="1"/>
        </w:numPr>
        <w:spacing w:after="40" w:before="40"/>
      </w:pPr>
      <w:r>
        <w:rPr>
          <w:color w:val="09090B"/>
          <w:sz w:val="22"/>
          <w:szCs w:val="22"/>
        </w:rPr>
        <w:t xml:space="preserve">3. If &lt; 50, the AI flagged uncertainty — customer should review carefully</w:t>
      </w:r>
    </w:p>
    <w:p>
      <w:pPr>
        <w:pStyle w:val="ListParagraph"/>
        <w:numPr>
          <w:ilvl w:val="0"/>
          <w:numId w:val="1"/>
        </w:numPr>
        <w:spacing w:after="40" w:before="40"/>
      </w:pPr>
      <w:r>
        <w:rPr>
          <w:color w:val="09090B"/>
          <w:sz w:val="22"/>
          <w:szCs w:val="22"/>
        </w:rPr>
        <w:t xml:space="preserve">4. Customer can manually correct via the editable result card before clicking "Confirm &amp; save"</w:t>
      </w:r>
    </w:p>
    <w:p>
      <w:pPr>
        <w:pStyle w:val="ListParagraph"/>
        <w:numPr>
          <w:ilvl w:val="0"/>
          <w:numId w:val="1"/>
        </w:numPr>
        <w:spacing w:after="40" w:before="40"/>
      </w:pPr>
      <w:r>
        <w:rPr>
          <w:color w:val="09090B"/>
          <w:sz w:val="22"/>
          <w:szCs w:val="22"/>
        </w:rPr>
        <w:t xml:space="preserve">5. Persistent failures on a specific supplier → check `services/ai/prompts/billParsingPrompt.js` for region-specific hints</w:t>
      </w:r>
    </w:p>
    <w:p>
      <w:pPr>
        <w:pStyle w:val="Heading3"/>
        <w:spacing w:after="80" w:before="240"/>
      </w:pPr>
      <w:r>
        <w:t xml:space="preserve">"Sync error on Synapsis / Novant / Softhard"</w:t>
      </w:r>
    </w:p>
    <w:p>
      <w:pPr>
        <w:pStyle w:val="ListParagraph"/>
        <w:numPr>
          <w:ilvl w:val="0"/>
          <w:numId w:val="1"/>
        </w:numPr>
        <w:spacing w:after="40" w:before="40"/>
      </w:pPr>
      <w:r>
        <w:rPr>
          <w:color w:val="09090B"/>
          <w:sz w:val="22"/>
          <w:szCs w:val="22"/>
        </w:rPr>
        <w:t xml:space="preserve">1. Check `data_partner_connections.last_error` for the partner code</w:t>
      </w:r>
    </w:p>
    <w:p>
      <w:pPr>
        <w:pStyle w:val="ListParagraph"/>
        <w:numPr>
          <w:ilvl w:val="0"/>
          <w:numId w:val="1"/>
        </w:numPr>
        <w:spacing w:after="40" w:before="40"/>
      </w:pPr>
      <w:r>
        <w:rPr>
          <w:color w:val="09090B"/>
          <w:sz w:val="22"/>
          <w:szCs w:val="22"/>
        </w:rPr>
        <w:t xml:space="preserve">2. Common causes: expired API key, partner API rate limit, network issue</w:t>
      </w:r>
    </w:p>
    <w:p>
      <w:pPr>
        <w:pStyle w:val="ListParagraph"/>
        <w:numPr>
          <w:ilvl w:val="0"/>
          <w:numId w:val="1"/>
        </w:numPr>
        <w:spacing w:after="40" w:before="40"/>
      </w:pPr>
      <w:r>
        <w:rPr>
          <w:color w:val="09090B"/>
          <w:sz w:val="22"/>
          <w:szCs w:val="22"/>
        </w:rPr>
        <w:t xml:space="preserve">3. Customer should re-test the connection in Data Collection → Integration Hub → Configure → Test</w:t>
      </w:r>
    </w:p>
    <w:p>
      <w:pPr>
        <w:pStyle w:val="ListParagraph"/>
        <w:numPr>
          <w:ilvl w:val="0"/>
          <w:numId w:val="1"/>
        </w:numPr>
        <w:spacing w:after="40" w:before="40"/>
      </w:pPr>
      <w:r>
        <w:rPr>
          <w:color w:val="09090B"/>
          <w:sz w:val="22"/>
          <w:szCs w:val="22"/>
        </w:rPr>
        <w:t xml:space="preserve">4. If credentials genuinely changed → customer enters new credentials (encrypts AES-256-GCM, overwrites old)</w:t>
      </w:r>
    </w:p>
    <w:p>
      <w:pPr>
        <w:pStyle w:val="ListParagraph"/>
        <w:numPr>
          <w:ilvl w:val="0"/>
          <w:numId w:val="1"/>
        </w:numPr>
        <w:spacing w:after="40" w:before="40"/>
      </w:pPr>
      <w:r>
        <w:rPr>
          <w:color w:val="09090B"/>
          <w:sz w:val="22"/>
          <w:szCs w:val="22"/>
        </w:rPr>
        <w:t xml:space="preserve">5. If AES_KEY env var was rotated → all connections need re-entry (see Portfolio_One_IP.md §29.10)</w:t>
      </w:r>
    </w:p>
    <w:p>
      <w:pPr>
        <w:pStyle w:val="Heading3"/>
        <w:spacing w:after="80" w:before="240"/>
      </w:pPr>
      <w:r>
        <w:t xml:space="preserve">"Vercel deploy failed"</w:t>
      </w:r>
    </w:p>
    <w:p>
      <w:pPr>
        <w:pStyle w:val="ListParagraph"/>
        <w:numPr>
          <w:ilvl w:val="0"/>
          <w:numId w:val="1"/>
        </w:numPr>
        <w:spacing w:after="40" w:before="40"/>
      </w:pPr>
      <w:r>
        <w:rPr>
          <w:color w:val="09090B"/>
          <w:sz w:val="22"/>
          <w:szCs w:val="22"/>
        </w:rPr>
        <w:t xml:space="preserve">99% of the time: `Co-Authored-By: Claude` in a commit. Vercel Hobby tier blocks non-owner authors</w:t>
      </w:r>
    </w:p>
    <w:p>
      <w:pPr>
        <w:pStyle w:val="ListParagraph"/>
        <w:numPr>
          <w:ilvl w:val="0"/>
          <w:numId w:val="1"/>
        </w:numPr>
        <w:spacing w:after="40" w:before="40"/>
      </w:pPr>
      <w:r>
        <w:rPr>
          <w:color w:val="09090B"/>
          <w:sz w:val="22"/>
          <w:szCs w:val="22"/>
        </w:rPr>
        <w:t xml:space="preserve">Fix: amend the commit with a clean author trailer (or push a fresh commit without it)</w:t>
      </w:r>
    </w:p>
    <w:p>
      <w:pPr>
        <w:pStyle w:val="ListParagraph"/>
        <w:numPr>
          <w:ilvl w:val="0"/>
          <w:numId w:val="1"/>
        </w:numPr>
        <w:spacing w:after="40" w:before="40"/>
      </w:pPr>
      <w:r>
        <w:rPr>
          <w:color w:val="09090B"/>
          <w:sz w:val="22"/>
          <w:szCs w:val="22"/>
        </w:rPr>
        <w:t xml:space="preserve">Never force-push to main</w:t>
      </w:r>
    </w:p>
    <w:p>
      <w:pPr>
        <w:pStyle w:val="Heading2"/>
        <w:spacing w:after="120" w:before="360"/>
      </w:pPr>
      <w:r>
        <w:t xml:space="preserve">16.8 Where to look for more detail</w:t>
      </w:r>
    </w:p>
    <w:p>
      <w:pPr>
        <w:spacing w:after="100" w:before="60"/>
      </w:pPr>
      <w:r>
        <w:rPr>
          <w:color w:val="09090B"/>
          <w:sz w:val="22"/>
          <w:szCs w:val="22"/>
        </w:rPr>
        <w:t xml:space="preserve">This manual covers end-user and ops-level workflows. For deep technical detail — schema, route signatures, AI prompt internals, security architecture, etc. — consult Portfolio_One_IP.md (the single source of truth) in the root of this repo.</w:t>
      </w:r>
    </w:p>
    <w:p>
      <w:pPr>
        <w:spacing w:after="100" w:before="60"/>
      </w:pPr>
      <w:r>
        <w:rPr>
          <w:color w:val="09090B"/>
          <w:sz w:val="22"/>
          <w:szCs w:val="22"/>
        </w:rPr>
        <w:t xml:space="preserve">Specifically:</w:t>
      </w:r>
    </w:p>
    <w:p>
      <w:pPr>
        <w:pStyle w:val="ListParagraph"/>
        <w:numPr>
          <w:ilvl w:val="0"/>
          <w:numId w:val="1"/>
        </w:numPr>
        <w:spacing w:after="40" w:before="40"/>
      </w:pPr>
      <w:r>
        <w:rPr>
          <w:color w:val="09090B"/>
          <w:sz w:val="22"/>
          <w:szCs w:val="22"/>
        </w:rPr>
        <w:t xml:space="preserve">Portfolio_One_IP.md §0 — Working protocol (how to take a task in this codebase)</w:t>
      </w:r>
    </w:p>
    <w:p>
      <w:pPr>
        <w:pStyle w:val="ListParagraph"/>
        <w:numPr>
          <w:ilvl w:val="0"/>
          <w:numId w:val="1"/>
        </w:numPr>
        <w:spacing w:after="40" w:before="40"/>
      </w:pPr>
      <w:r>
        <w:rPr>
          <w:color w:val="09090B"/>
          <w:sz w:val="22"/>
          <w:szCs w:val="22"/>
        </w:rPr>
        <w:t xml:space="preserve">§24 — Full database schema</w:t>
      </w:r>
    </w:p>
    <w:p>
      <w:pPr>
        <w:pStyle w:val="ListParagraph"/>
        <w:numPr>
          <w:ilvl w:val="0"/>
          <w:numId w:val="1"/>
        </w:numPr>
        <w:spacing w:after="40" w:before="40"/>
      </w:pPr>
      <w:r>
        <w:rPr>
          <w:color w:val="09090B"/>
          <w:sz w:val="22"/>
          <w:szCs w:val="22"/>
        </w:rPr>
        <w:t xml:space="preserve">§25 — Non-negotiable rules</w:t>
      </w:r>
    </w:p>
    <w:p>
      <w:pPr>
        <w:pStyle w:val="ListParagraph"/>
        <w:numPr>
          <w:ilvl w:val="0"/>
          <w:numId w:val="1"/>
        </w:numPr>
        <w:spacing w:after="40" w:before="40"/>
      </w:pPr>
      <w:r>
        <w:rPr>
          <w:color w:val="09090B"/>
          <w:sz w:val="22"/>
          <w:szCs w:val="22"/>
        </w:rPr>
        <w:t xml:space="preserve">§29 — Production operations runbook</w:t>
      </w:r>
    </w:p>
    <w:p>
      <w:pPr>
        <w:pStyle w:val="ListParagraph"/>
        <w:numPr>
          <w:ilvl w:val="0"/>
          <w:numId w:val="1"/>
        </w:numPr>
        <w:spacing w:after="40" w:before="40"/>
      </w:pPr>
      <w:r>
        <w:rPr>
          <w:color w:val="09090B"/>
          <w:sz w:val="22"/>
          <w:szCs w:val="22"/>
        </w:rPr>
        <w:t xml:space="preserve">§30 — Roadmap to industry standard</w:t>
      </w:r>
    </w:p>
    <w:p>
      <w:pPr>
        <w:spacing w:after="600" w:before="600"/>
        <w:jc w:val="center"/>
      </w:pPr>
      <w:r>
        <w:rPr>
          <w:i/>
          <w:iCs/>
          <w:color w:val="52525B"/>
          <w:sz w:val="22"/>
          <w:szCs w:val="22"/>
        </w:rPr>
        <w:t xml:space="preserve">— End of manual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8"/>
        <w:szCs w:val="18"/>
      </w:rPr>
      <w:t xml:space="preserve">Vision Zero Connect  ·  </w:t>
    </w:r>
    <w:r>
      <w:rPr>
        <w:b/>
        <w:bCs/>
        <w:color w:val="037272"/>
        <w:sz w:val="18"/>
        <w:szCs w:val="18"/>
      </w:rPr>
      <w:fldChar w:fldCharType="begin"/>
      <w:instrText xml:space="preserve">PAGE</w:instrText>
      <w:fldChar w:fldCharType="separate"/>
      <w:fldChar w:fldCharType="end"/>
    </w:r>
    <w:r>
      <w:rPr>
        <w:color w:val="52525B"/>
        <w:sz w:val="18"/>
        <w:szCs w:val="18"/>
      </w:rPr>
      <w:t xml:space="preserve">  /  </w:t>
    </w:r>
    <w:r>
      <w:rPr>
        <w:color w:val="5252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25B"/>
        <w:sz w:val="18"/>
        <w:szCs w:val="18"/>
      </w:rPr>
      <w:t xml:space="preserve">Portfolio One —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37272"/>
      <w:sz w:val="36"/>
      <w:szCs w:val="36"/>
    </w:rPr>
  </w:style>
  <w:style w:type="paragraph" w:styleId="Heading2">
    <w:name w:val="Heading 2"/>
    <w:basedOn w:val="Normal"/>
    <w:next w:val="Normal"/>
    <w:qFormat/>
    <w:rPr>
      <w:rFonts w:ascii="Calibri" w:cs="Calibri" w:eastAsia="Calibri" w:hAnsi="Calibri"/>
      <w:b/>
      <w:bCs/>
      <w:color w:val="09090B"/>
      <w:sz w:val="28"/>
      <w:szCs w:val="28"/>
    </w:rPr>
  </w:style>
  <w:style w:type="paragraph" w:styleId="Heading3">
    <w:name w:val="Heading 3"/>
    <w:basedOn w:val="Normal"/>
    <w:next w:val="Normal"/>
    <w:qFormat/>
    <w:rPr>
      <w:rFonts w:ascii="Calibri" w:cs="Calibri" w:eastAsia="Calibri" w:hAnsi="Calibri"/>
      <w:b/>
      <w:bCs/>
      <w:color w:val="09090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One — Operating Manual</dc:title>
  <dc:creator>Vision Zero Connect</dc:creator>
  <dc:description>End-user and internal ops manual for the Portfolio One Smart Building Intelligence platform.</dc:description>
  <cp:lastModifiedBy>Un-named</cp:lastModifiedBy>
  <cp:revision>1</cp:revision>
  <dcterms:created xsi:type="dcterms:W3CDTF">2026-06-29T09:00:49.803Z</dcterms:created>
  <dcterms:modified xsi:type="dcterms:W3CDTF">2026-06-29T09:00:49.803Z</dcterms:modified>
</cp:coreProperties>
</file>

<file path=docProps/custom.xml><?xml version="1.0" encoding="utf-8"?>
<Properties xmlns="http://schemas.openxmlformats.org/officeDocument/2006/custom-properties" xmlns:vt="http://schemas.openxmlformats.org/officeDocument/2006/docPropsVTypes"/>
</file>