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A34B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作品编号：[系统编号待填写]</w:t>
      </w:r>
      <w:r>
        <w:rPr>
          <w:rFonts w:ascii="楷体_GB2312" w:hAnsi="Times New Roman" w:eastAsia="楷体_GB2312"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4584700</wp:posOffset>
            </wp:positionH>
            <wp:positionV relativeFrom="paragraph">
              <wp:posOffset>-90805</wp:posOffset>
            </wp:positionV>
            <wp:extent cx="1534795" cy="1163320"/>
            <wp:effectExtent l="0" t="0" r="8255" b="0"/>
            <wp:wrapSquare wrapText="bothSides"/>
            <wp:docPr id="2" name="图片 2" descr="D:\密码学会教育工作委员会\学会\学会图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密码学会教育工作委员会\学会\学会图标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</w:p>
    <w:p w14:paraId="4ED5BDD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4656AD64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作品类别： □软件设计   □硬件制作   ■工程实践</w:t>
      </w:r>
      <w:bookmarkStart w:id="0" w:name="OLE_LINK1"/>
      <w:bookmarkStart w:id="1" w:name="OLE_LINK2"/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bookmarkEnd w:id="0"/>
      <w:bookmarkEnd w:id="1"/>
      <w:r>
        <w:rPr>
          <w:rFonts w:hint="eastAsia" w:ascii="宋体" w:hAnsi="宋体"/>
        </w:rPr>
        <w:t xml:space="preserve"/>
      </w:r>
      <w:r>
        <w:rPr>
          <w:rFonts w:hint="eastAsia"/>
        </w:rPr>
        <w:t xml:space="preserve"/>
      </w:r>
      <w:r>
        <w:rPr>
          <w:rFonts w:hint="eastAsia" w:ascii="宋体" w:hAnsi="宋体"/>
        </w:rPr>
        <w:t xml:space="preserve"/>
      </w:r>
      <w:r>
        <w:rPr>
          <w:rFonts w:ascii="宋体" w:hAnsi="宋体"/>
        </w:rPr>
        <w:t xml:space="preserve"/>
      </w:r>
    </w:p>
    <w:p w14:paraId="1929CAAD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  <w:r>
        <w:rPr>
          <w:rFonts w:hint="eastAsia" w:ascii="宋体" w:hAnsi="宋体"/>
        </w:rPr>
        <w:t>□密码应用技术  □其它</w:t>
      </w:r>
    </w:p>
    <w:p w14:paraId="1B6B0FE6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</w:p>
    <w:p w14:paraId="78E13ED1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</w:p>
    <w:p w14:paraId="7433C3F8">
      <w:pPr>
        <w:widowControl/>
        <w:adjustRightInd w:val="0"/>
        <w:snapToGrid w:val="0"/>
        <w:jc w:val="right"/>
        <w:rPr>
          <w:rFonts w:ascii="楷体_GB2312" w:hAnsi="Times New Roman" w:eastAsia="楷体_GB2312"/>
          <w:bCs/>
          <w:sz w:val="28"/>
          <w:szCs w:val="28"/>
        </w:rPr>
      </w:pPr>
    </w:p>
    <w:p w14:paraId="00F1FE9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0519D025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bookmarkStart w:id="2" w:name="_GoBack"/>
      <w:bookmarkEnd w:id="2"/>
    </w:p>
    <w:p w14:paraId="4A52C4E0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6457B05F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/>
          <w:bCs/>
          <w:sz w:val="36"/>
          <w:szCs w:val="36"/>
        </w:rPr>
      </w:pPr>
      <w:r>
        <w:rPr>
          <w:rFonts w:ascii="楷体_GB2312" w:hAnsi="Times New Roman" w:eastAsia="楷体_GB2312"/>
          <w:b/>
          <w:bCs/>
          <w:sz w:val="36"/>
          <w:szCs w:val="36"/>
        </w:rPr>
        <w:t>202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6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年第十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一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届全国密码技术竞赛作品设计报告</w:t>
      </w:r>
    </w:p>
    <w:p w14:paraId="1316150A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.45pt;margin-top:16.85pt;height:2.7pt;width:385.8pt;z-index:251659264;mso-width-relative:page;mso-height-relative:page;" filled="f" stroked="t" coordsize="21600,21600" o:gfxdata="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BC8vj1QAAAAgBAAAPAAAAAAAAAAEAIAAAACIAAABkcnMvZG93bnJldi54bWxQ&#10;SwECFAAUAAAACACHTuJAsRge9PoBAADiAwAADgAAAAAAAAABACAAAAAkAQAAZHJzL2Uyb0RvYy54&#10;bWxQSwUGAAAAAAYABgBZAQAAkAUAAAAA&#10;">
                <v:fill on="f" focussize="0,0"/>
                <v:stroke weight="3pt"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31E305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1DF0E1D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D429881">
      <w:pPr>
        <w:widowControl/>
        <w:adjustRightInd w:val="0"/>
        <w:snapToGrid w:val="0"/>
        <w:spacing w:line="700" w:lineRule="exact"/>
        <w:ind w:firstLine="1680" w:firstLineChars="600"/>
        <w:rPr>
          <w:rFonts w:hint="eastAsia" w:ascii="华文中宋" w:hAnsi="华文中宋" w:eastAsia="华文中宋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作品题目：</w:t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>ML-KEM 解封装实现的时间侧信道检测与常数时间防护（暂定题名）</w:t>
      </w:r>
    </w:p>
    <w:p w14:paraId="4EE13EFD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323A5D9B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0A15B53C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7DD67DF5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28AB24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8B47A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EDCC657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2026 年 10 月 7 日</w:t>
      </w:r>
    </w:p>
    <w:p w14:paraId="06B1D532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中国密码学会</w:t>
      </w:r>
    </w:p>
    <w:p w14:paraId="6F4C8D9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  <w:sectPr>
          <w:pgSz w:w="11906" w:h="16838"/>
          <w:pgMar w:top="1134" w:right="1134" w:bottom="1134" w:left="1134" w:header="851" w:footer="992" w:gutter="0"/>
          <w:cols w:space="425" w:num="1"/>
          <w:docGrid w:type="lines" w:linePitch="312" w:charSpace="0"/>
        </w:sectPr>
      </w:pPr>
    </w:p>
    <w:tbl>
      <w:tblPr>
        <w:tblStyle w:val="7"/>
        <w:tblW w:w="891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3"/>
      </w:tblGrid>
      <w:tr w14:paraId="01250D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E1D7EA">
            <w:pPr>
              <w:jc w:val="center"/>
              <w:rPr>
                <w:sz w:val="24"/>
              </w:rPr>
            </w:pPr>
            <w:r>
              <w:rPr>
                <w:rFonts w:hint="eastAsia"/>
                <w:spacing w:val="-8"/>
                <w:sz w:val="30"/>
              </w:rPr>
              <w:t xml:space="preserve">基本信息表</w:t>
            </w:r>
          </w:p>
        </w:tc>
      </w:tr>
      <w:tr w14:paraId="05860E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5721B18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编号：[系统编号待填写]</w:t>
            </w:r>
          </w:p>
        </w:tc>
      </w:tr>
      <w:tr w14:paraId="729235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F0FFCE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作品题目：ML-KEM 解封装实现的时间侧信道检测与常数时间防护（暂定题名）</w:t>
            </w:r>
          </w:p>
        </w:tc>
      </w:tr>
      <w:tr w14:paraId="4CC3628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9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E18E984">
            <w:pPr>
              <w:adjustRightInd w:val="0"/>
              <w:snapToGrid w:val="0"/>
              <w:spacing w:line="360" w:lineRule="auto"/>
              <w:ind w:left="1500" w:hanging="1500" w:hangingChars="500"/>
              <w:jc w:val="left"/>
              <w:rPr>
                <w:snapToGrid w:val="0"/>
                <w:sz w:val="24"/>
              </w:rPr>
            </w:pPr>
            <w:r>
              <w:rPr>
                <w:rFonts w:hint="eastAsia"/>
                <w:snapToGrid w:val="0"/>
                <w:sz w:val="30"/>
                <w:szCs w:val="30"/>
              </w:rPr>
              <w:t>作品类别：</w:t>
            </w:r>
            <w:r>
              <w:rPr>
                <w:rFonts w:hint="eastAsia" w:ascii="宋体" w:hAnsi="宋体"/>
              </w:rPr>
              <w:t>□软件设计   □</w:t>
            </w:r>
            <w:r>
              <w:rPr>
                <w:rFonts w:hint="eastAsia"/>
              </w:rPr>
              <w:t xml:space="preserve">硬件制作   </w:t>
            </w:r>
            <w:r>
              <w:rPr>
                <w:rFonts w:hint="eastAsia" w:ascii="宋体" w:hAnsi="宋体"/>
              </w:rPr>
              <w:t xml:space="preserve">■工程实践 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</w:rPr>
              <w:t>□密码技术应用  □其它</w:t>
            </w:r>
          </w:p>
        </w:tc>
      </w:tr>
      <w:tr w14:paraId="4B036C0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05" w:hRule="atLeast"/>
          <w:jc w:val="center"/>
        </w:trPr>
        <w:tc>
          <w:tcPr>
            <w:tcW w:w="8913" w:type="dxa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作品内容摘要：</w:t>
            </w:r>
          </w:p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本作品构建C11本地审计与复算工程，接入固定ML-KEM-768便携C实现，用独立NIST向量、接口边界及版本等价验证功能。普通采集在完整解封装窗口内计时，保留逐次记录、公开输入流摘要、源码与产物身份。历史人工分支回归关联源码、机器码、名义统计与掩码对照，明确其教学审计边界。在真实4vCPU KVM/x86_64 Linux取得普通参考及三种编码无分支形态的实现的性能数据；在8个固定无秘密任务上，C与SciPy精确复算结果一致，补充预导入对照后的窗口比值中位数0.001562。作品提供统一入口、离线展示与干净复算。新受控防护时序闭环及非原作者执行仍缺，不把未检出、功能通过或复算更快解释为安全认证。</w:t>
            </w:r>
          </w:p>
        </w:tc>
      </w:tr>
      <w:tr w14:paraId="449FB0E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7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556087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关键词（五个）：ML-KEM；时间侧信道；常数时间；证据资格；可复现性</w:t>
            </w:r>
          </w:p>
        </w:tc>
      </w:tr>
    </w:tbl>
    <w:p w14:paraId="3D5215B6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1117BCC3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851" w:footer="992" w:gutter="0"/>
          <w:pgNumType w:start="1"/>
          <w:cols w:space="425" w:num="1"/>
          <w:docGrid w:type="lines" w:linePitch="312" w:charSpace="0"/>
        </w:sectPr>
      </w:pP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1.作品功能与性能说明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作品处理ML-KEM软件解封装审计中常见的证据脱节：只有时间差而缺少对象身份，只有源码改造而缺少实际产物，或者把未检出与安全认证混为一谈。工程将功能、测量、分析、定位、防护和复现分为可核验步骤，使使用者能够判断一份结果支持到哪一层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可运行对象固定为ML-KEM-768；核心算法封装、随机源、输入生成、计时、统计与运行校验为C11。CMake/CTest是唯一构建测试来源。audit入口提供环境及源身份、功能检查、普通采集、描述分析、条件化成对分析、历史复算和离线HTML导出。没有远程服务或密钥恢复功能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当前成果包括独立功能证据、真实x86_64 Linux普通记录、历史人工机制防御案例及有限精确复算效率增量。正式批次比较在准备失败处停止，未执行K4/K16开发或20对确认。工程可用与竞赛所有要求达标是不同状态；后续章节保留尚未闭合的要求。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2.设计与实现方案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2.1 实现原理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ML-KEM库采用mlkem-native便携C后端的固定快照，完整提交见来源[2]，标准口径为2024年FIPS 203。公钥1184字节、私钥2400字节、密文1088字节、共享密钥32字节。上游源码和许可证原样保留；向量正确不代表FIPS模块认证。[1][2]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封装层首先检查指针和精确长度，避免短缓冲区进入固定长度内核。正确长度的无效密文继续走隐式拒绝，不向CLI暴露重加密验证标志。系统随机源失败向调用方传播；公开种子的确定性入口限实验夹具，不用于保护业务密钥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输入为valid、bit-flipped、random三类，比例1:1:1，全部长度1088字节。标签来自生成规则，不来自内部接受标志。输入生成、分配、结果消费及I/O位于计时窗口外，窗口内覆盖完整包装层与内核解封装。数据保存原始顺序，公开种子固定类别乱序，不删除普通长尾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程序记录时钟、单位、读钟及空窗自检、运行完成声明、实际可执行文件SHA3-256、源身份和编译条件。统一入口仅在数据结构和完成声明通过后导出描述页面；HTML完成写入后独占发布，失败产物保留为部分输出。默认使用归档机制案例，不构建旧主动机制计时入口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1" name="architecture" descr="图1 软件流程。实时普通记录、历史重分析和合成统计分别留证。"/>
            <wp:cNvGraphicFramePr/>
            <a:graphic>
              <a:graphicData uri="http://schemas.openxmlformats.org/drawingml/2006/picture">
                <pic:pic>
                  <pic:nvPicPr>
                    <pic:cNvPr id="101" name="architecture"/>
                    <pic:cNvPicPr/>
                  </pic:nvPicPr>
                  <pic:blipFill>
                    <a:blip r:embed="rIdA113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图1 软件流程。实时普通记录、历史重分析和合成统计分别留证。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2.2运行结果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原生目标环境为Ubuntu 24.04.4、Linux 6.8.0-138、x86_64/KVM、4个vCPU，CPU型号字符串为AMD EPYC 9K65 192-Core Processor。192-Core是型号字符串，不是实例资源。正式普通产物为GCC 13.3.0、RelWithDebInfo、-O2 -g -DNDEBUG、无LTO及非sanitizer，外部taskset绑定CPU2。宿主频率、物理资源和调度无法由来宾控制。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前置参考三次各3000条，共9000条完整记录，均值分别47075.037、46237.526、46121.981ns。CLOCK_MONOTONIC报告分辨率1ns，观察最小正读钟增量19ns；表示单位和报告分辨率不能替代实际精度。每次保存10000个读钟增量及1000个空窗值，未扣开销。源、产物与数据见证据E01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一入口已完成参考短采集并导出真实页面；短演示仅证明流程，不替代正式样本。历史20份五种子四版本数据生成40份报告，与归档逐字一致，未重新采集。功能、历史重分析及实时普通记录分别展示，避免把封存材料伪装成现场实验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2.3技术指标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接口以1088字节正确长度密文作为普通测量负载；每次固定100次预热。逐次CSV含运行、实现、类别、序号、纳秒值和单位；配套元数据保留源与产物身份。描述分位数按floor(p×(n−1)+0.5)零基下标，不插值。旧报告“nearest rank”名称不准确，但数值和历史兼容输出不改。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新的条件化分析限4—20个成对单位、相同调用数和有界整数时间差。令d_k为对内总耗时差，T为差值和的绝对值，枚举全部2^m种标签交换，上尾包含等值，alpha固定0.01。独立对内交换及无后效条件不足时输出证据不足；效应区间另需成对单位iid。程序资格声明不是外部独立审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这是既有精确随机化方法的工程实现，并未首次提出。C11利用相邻交换状态更新整数和，避免浮点近似移动等值边界；独立手算及SciPy核对验证实现。真实参考后赋独立标签属于无秘密零效应控制，合成偏移属于统计夹具，不能写成密码泄露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3.系统测试与结果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3.1测试方案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测试分为功能与接口、记录与来源、统计正确性、失败传播、产物核对及作者复算。独立NIST向量提供预期答案，不由被测实现自产。源码和编译条件改变后，对受影响产物重建并执行必要检查；动态检查与正式测量分目录、分时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正常构建覆盖四版KAT、随机源失败、功能等价、CLI、向量及摘要、记录与数据资格、配对数学和预算失败、统计手算、工作流及源码导出。普通性能固定S02执行31项；后续只读复算S03增加到32项。有限模型校准S04新增卷积手算检查，原生固定源码的GCC普通与Clang动态各33项通过。各快照按其实际注册与执行解释，旧主动机制计时不在默认交付范围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参数、方法、成本边界与有限数据集合在观察确认结果前冻结。开发和确认分开；原始负结果、失败准备和未闭合成本保留，不换种子、改阈值或重开预算得到通过。软件夹具时间不进入真实平台性能结果。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3.2 功能测试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每版独立KAT覆盖25组KeyGen、25组Encaps、10组Decaps及20组密钥校验，解封装包含5组隐式拒绝。四版共320组独立用例；接口检查包括空指针及错误长度。三组对参考版的差分各覆盖64个公开种子和三类输入，拒绝样本另核对J(z∥c)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Apple M5/ARM64实现源的普通及ASan/UBSan检查通过。Linux普通测量固定S02在GCC及Clang动态各执行31项，后续只读验收32项；有限模型校准固定S04两种构建各33项。此前GCC sanitizer在既有人工补丁的符号转换警告处失败，原日志保留，没有关闭警告或修改封存补丁。动态检查不冒充正式性能产物。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正确性包含4个相同差的精确尾计数2/16、零总和16/16、全并列、整数边界、畸形数据及计划拒绝、覆盖拒绝和依赖资格不足。源码导出按清单验证，不含.git；构建身份明确为导出摘要，兼容字段不冒称Git提交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3.3 性能测试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性能在同一Linux目标、固定源码S02和6个运行块执行。每块三种编码无分支形态的实现分别3000正式及100预热，六种方法排列全部出现；三种实现共享该块公开种子、有序输入流和负载比例。18个完整运行，共54000条正式记录、1800次预热；采集过程中不并行安装、编译或其他测量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逐次数据支持单次P50/P90/P99；每运行均值独立保留，不池化成同样数量的独立任务。相对参考，hardened均值差101.959ns、相对开销0.220522%，探索性99%成对bootstrap区间−3.725至189.399ns；deployable差−30.101ns、开销−0.065103%，区间−240.918至193.997ns。区间均跨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6个运行对的iid条件在KVM上未得到证明，bootstrap区间仅是该模型下的探索描述，不保证总体覆盖，也不作防护效果判定。hardened保留函数级O0控制，reference/deployable正常优化，比较同时包含优化和代码形态差异；不能把速度差完全归于安全防护。负开销允许存在，不能据此声称更安全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2" name="native-performance" descr="图2 全部18个普通运行均值。单位换算为微秒；非单次记录或总体置信区间，长尾及分位数见表1和原始数据。"/>
            <wp:cNvGraphicFramePr/>
            <a:graphic>
              <a:graphicData uri="http://schemas.openxmlformats.org/drawingml/2006/picture">
                <pic:pic>
                  <pic:nvPicPr>
                    <pic:cNvPr id="102" name="native-performance"/>
                    <pic:cNvPicPr/>
                  </pic:nvPicPr>
                  <pic:blipFill>
                    <a:blip r:embed="rIdA113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图2 全部18个普通运行均值。单位换算为微秒；非单次记录或总体置信区间，长尾及分位数见表1和原始数据。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 原生普通运行的逐次分位数  单位ns  每运行3000条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blGrid>
        <w:gridCol w:w="1100"/>
        <w:gridCol w:w="2050"/>
        <w:gridCol w:w="1850"/>
        <w:gridCol w:w="1546"/>
        <w:gridCol w:w="1546"/>
        <w:gridCol w:w="1546"/>
      </w:tblGrid>
      <w:tr>
        <w:trPr>
          <w:tblHeader/>
        </w:trP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运行块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实现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均值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46193.517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54699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46148.423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46058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50968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45925.623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50667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46407.084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48678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60098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46383.034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46102.585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56459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46206.193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55897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46350.749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56530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46209.969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56238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46267.377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56348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46480.338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56799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46621.075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47489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60619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46261.240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56279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46401.231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56408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46241.867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46077.670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56389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46261.061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56549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46131.357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56479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表1来源：E02/performance.report及同名CSV/meta；原始长尾完整保留。区间见正文，属于运行级条件描述。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3.4 测试数据与结果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历史人工回归在重加密所用消息编码中引入秘密相关分支。消息来自私钥参与的解密，源依赖与实际编译产物可以对应。hardened在相同优化控制下改用掩码，保持密码语义；deployable是正常优化下的编码形态对照。上游目标函数本来无分支，二者不是对上游新漏洞的修复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既有ARM64五种子四版本档案中，H1全零对全一主比较在预定1e−4阈值仅4/5显著；H2恒定组对变化组在1e−3阈值，人工回归5/5显著、reference/deployable各5/5未检出、hardened有1/5显著残差。两轮假设和阈值不同；固定消息组仅两个密文反复测量，名义p值不校正序列依赖。既有强措辞以统计审计限制为准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有限批次路线首次原生准备在GCC结构体初始化编译错误处停止，保留40000共同调用/3600秒未闭合预留。K4/K16开发、选择及20对确认未执行，没有稳定性收益或成本比值。后续可移植性修复和普通验收不能回填成该合同成功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统计主方向尚无超越正确配置dudect或RTLF的依据。dudect是自适应Welch检验族，RTLF理论涉及iid及有限方差，不能把既有相依记录误用造成的失败当胜利。[3][4] 备用方向采用SciPy1.16.3/NumPy2.3.5的精确成对交换、向量化、batch4096，与C使用相同20对整数数据、完整2^20分母、上尾含等值及同一检验统计量。[5]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开发2份固定文件、12次进程只用于兼容与选择；确认采用8份新冻结无秘密任务，每方法每份3次，共48次完整进程，精确尾计数及判定全部一致，原始CSV未变。每份最大C耗时均小于最小SciPy耗时，24个比值中位数0.001388504，范围0.001139408—0.001734854。SciPy总进程56.401718秒，C为0.080189秒；确认观察窗口56.487808秒，开发14.048571秒，均在固定总预算内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启动成本敏感性补充沿用这8份任务。SciPy预导入后，48次尾计数仍完全一致，中位窗口比值0.001562070，每份C最大仍小于SciPy最小；基线就绪后49.704188秒，C完整进程0.079016秒，就绪6.559904秒另计。比较观察窗口56.349633秒，未超120秒。这是既有数据的成本边界复核，不是新独立确认、纯内核或密码加速；也不支持灵敏度或安全性提升。固定任务没有总体速度区间，研发完整墙钟未采集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3" name="replay-efficiency" descr="图3 固定确认轮24个进程各自的成本合计。源为C观察报告；导入与启动计入SciPy，未作纯内核性能或密码安全声明。"/>
            <wp:cNvGraphicFramePr/>
            <a:graphic>
              <a:graphicData uri="http://schemas.openxmlformats.org/drawingml/2006/picture">
                <pic:pic>
                  <pic:nvPicPr>
                    <pic:cNvPr id="103" name="replay-efficiency"/>
                    <pic:cNvPicPr/>
                  </pic:nvPicPr>
                  <pic:blipFill>
                    <a:blip r:embed="rIdA113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图3 两种成本边界下的精确复算耗时（对数刻度）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表2 有限效率确认  完整精确检验判定逐项一致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项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结果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固定确认任务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8份新冻结文件，各20对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实际完整进程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48次，退出码全部0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比值中位数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0.001388504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0.001139408—0.001734854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原始身份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CSV及冻结计划未修改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支持范围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限定完整进程复算效率</w:t>
            </w:r>
          </w:p>
        </w:tc>
      </w:tr>
    </w:tbl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3.5 有限模型统计校准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在观察结果前固定12个成对单位。equal每对幅度为1，graded依次为1至12；差值为delta加正负幅度，五个效应值见表3。独立模型的全部4096种符号组合等概率；共同符号模型各仅两种结果。共40964份数据由C生成和验证，单位为合成ns，不是密码采集时间；没有新的ML-KEM解封装调用，不把模型当真实密码噪声分布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每份数据分别用现有精确入口和另行实现的整数分布卷积核对，40964份尾计数全部一致；44份预先选定的SciPy审计也一致。独立零效应的误拒绝概率为26/4096和38/4096，均低于alpha=0.01；equal的结果与二项式手算吻合。表3保留全部效应结果，graded在效应4时仍只有353/4096检出；equal在效应1时的一份全零数据保留在分母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共同符号模型虽然均值为零，盲用独立交换规则时每个模型都是2/2拒绝；实际成对入口对四份依赖数据均返回证据不足。拒绝签收不等于把误报降至零。该补证支持固定有限模型的错误、检出和资格边界，未校准真实密码总体或真实序列依赖，不提供超越正确配置dudect/RTLF的检测证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表3 固定有限模型的原始拒绝数  每个独立模型4096种结果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效应delta（合成ns）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equal拒绝数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graded拒绝数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794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91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353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表3来源：C02有限模型原始记录及C报告；效应0为模型内误拒绝，其余为该模型检出，不估计真实密码总体概率。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3.6 真实参考时间的后赋标签控制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C04使用E02六份封存普通参考记录。程序完整读取每份3000条及meta/cost并核验资格，每块固定取原序0至23组成12对；采集后独立等概率交换标签，遍历全部4096种组合。时间值不添加偏移，也不按原密文类别或秘密分类。保存144个原时间及24576份差值和计数，新解封装调用为0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整数精确结果与独立逐项求和、排序秩核验逐行一致，24份预定SciPy审计一致，完整动态运行的原始行也一致。表4给出全部六块结果，各自的条件拒绝概率不超过0.01。C任务约0.209秒，读取、计算和原始记录关闭均计入，最终摘要及状态发布另列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表4 后赋标签模型的条件拒绝数 每块4096种标签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运行块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条件拒绝数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条件概率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0.009277343750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5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0.009277343750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表4 来源：C04完整标签记录及C报告；条件概率以4096为分母，无Monte Carlo抽样误差，不是总体误报率估计。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这只验证给定时间对后独立标签模型的条件错误控制，不要求这些给定时间值iid；不代表采集时实施了该随机化，也不校准原密文类别或真实密码总体。初版遗漏成本内容校验，未签收并保留；修复复用共用C读取器，时钟、身份、计数或成本矛盾在输出数据前被拒绝。旧统计规则和原始时间不改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4.应用前景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可作为本地密码实现审计教学及工程复核工具。开发者可以先确认功能和接口，再保存普通运行的完整记录；使用者可从指定文件重分析，核对方法、源身份和限制，减少“只有一个p值”或“只看源码分支”的错误判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适用范围是单机ML-KEM-768便携C实现、本地运行与离线复算。未来需要团队在批准的防御测试计划下取得新的受控防护前后数据、进行必要的因果分离，并由实际未参与实现的成员独立执行。云宿主控制不足、其他处理器、优化条件或网络环境的变化都需要新的身份和证据，不能用现有数字外推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5. 结论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已形成可运行的C11工程、统一使用入口、真实原生普通测量、历史防御案例档案、无秘密精确统计验证、限定强对照效率结果及原始数据复算材料。功能正确、记录完整、有限复算效率和密码安全是四类不同结论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演示的实际界面截图因工具本地文件访问策略受限，未取得；离线页面和真实程序日志已提供，截图需团队手工完成。未闭合项仍包括新受控防护时序闭环、历史差异的完整因果分离、运行独立性校准和真实非原作者执行。新平台普通性能与静态产物核验不能替代这些证据。作品编号、正式题名、实际分工、签字、意见和盖章由团队真实填写及完成；本报告不宣称已经正式提交或全部要求达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6 来源与复现材料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[1] NIST. Module-Lattice-Based Key-Encapsulation Mechanism Standard. FIPS 203, 2024. https://csrc.nist.gov/pubs/fips/203/final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[2] pq-code-package. mlkem-native. 固定b3ba7b32773e657dd37f6f87bce82528459ad8a4；许可证见源码原件。https://github.com/pq-code-package/mlkem-native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[3] Reparaz O, Balasch J, Verbauwhede I. Dude, is my code constant time? DATE 2017；dudect固定dc269651fb2567e46755cfb2a13d3875592968b5。https://github.com/oreparaz/dudect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[4] Dunsche M, et al. With Great Power Come Great Side Channels: Statistical Timing Side-Channel Analyses with Bounded Type-1 Errors. USENIX Security 2024；已核对官方勘误。https://www.usenix.org/conference/usenixsecurity24/presentation/dunsche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[5] SciPy. permutation_test官方定义；对照实际版本SciPy1.16.3/NumPy2.3.5。https://docs.scipy.org/doc/scipy/reference/generated/scipy.stats.permutation_test.html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[6] clangover机制出处固定7f4d5dc162b77c362a34a0d52949f7a3e1b16d81，原对象是旧Kyber，不能冒称FIPS 203。https://github.com/antoonpurnal/clangover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证据：E01前置，E02性能，H01档案，C01复算，C02模型，C03预导入，C04后赋标签，R01作者复现。原CSV字节不变，元数据角色转换另有摘要。重建命令见支撑包source/README.md，非原作者须保留实际日志并本人签收。</w:t>
      </w: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>
        <w:pPr>
          <w:pStyle w:val="5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00957">
    <w:pPr>
      <w:pStyle w:val="6"/>
    </w:pPr>
    <w:r>
      <w:rPr>
        <w:rFonts w:hint="eastAsia"/>
      </w:rPr>
      <w:t>全国密码技术竞赛作品设计报告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B4D"/>
    <w:rsid w:val="0001769F"/>
    <w:rsid w:val="00035012"/>
    <w:rsid w:val="00075049"/>
    <w:rsid w:val="00090885"/>
    <w:rsid w:val="00146555"/>
    <w:rsid w:val="00161B1B"/>
    <w:rsid w:val="00175070"/>
    <w:rsid w:val="00186455"/>
    <w:rsid w:val="00191B02"/>
    <w:rsid w:val="001A47C8"/>
    <w:rsid w:val="001B1DB6"/>
    <w:rsid w:val="001C1D17"/>
    <w:rsid w:val="001C6D92"/>
    <w:rsid w:val="001D3664"/>
    <w:rsid w:val="001E1D13"/>
    <w:rsid w:val="0022689B"/>
    <w:rsid w:val="00256BB7"/>
    <w:rsid w:val="002774FA"/>
    <w:rsid w:val="002822D8"/>
    <w:rsid w:val="002845D6"/>
    <w:rsid w:val="002A4EA5"/>
    <w:rsid w:val="003141E7"/>
    <w:rsid w:val="00332691"/>
    <w:rsid w:val="0034273A"/>
    <w:rsid w:val="0039611F"/>
    <w:rsid w:val="00425721"/>
    <w:rsid w:val="00432817"/>
    <w:rsid w:val="00434101"/>
    <w:rsid w:val="0043470B"/>
    <w:rsid w:val="00466388"/>
    <w:rsid w:val="004F4C94"/>
    <w:rsid w:val="00513A12"/>
    <w:rsid w:val="00517279"/>
    <w:rsid w:val="00547813"/>
    <w:rsid w:val="00554F5D"/>
    <w:rsid w:val="0057300D"/>
    <w:rsid w:val="00574703"/>
    <w:rsid w:val="005822FE"/>
    <w:rsid w:val="0059419A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31E6B"/>
    <w:rsid w:val="00747B59"/>
    <w:rsid w:val="00766607"/>
    <w:rsid w:val="0077465F"/>
    <w:rsid w:val="007817EC"/>
    <w:rsid w:val="007D255F"/>
    <w:rsid w:val="007E6BB3"/>
    <w:rsid w:val="008201D9"/>
    <w:rsid w:val="00830906"/>
    <w:rsid w:val="00845996"/>
    <w:rsid w:val="00847781"/>
    <w:rsid w:val="00863E71"/>
    <w:rsid w:val="008F5F36"/>
    <w:rsid w:val="00903383"/>
    <w:rsid w:val="00934DCF"/>
    <w:rsid w:val="00946FD5"/>
    <w:rsid w:val="009733E4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C477C"/>
    <w:rsid w:val="00BC5F07"/>
    <w:rsid w:val="00BD2BD8"/>
    <w:rsid w:val="00C15503"/>
    <w:rsid w:val="00C22111"/>
    <w:rsid w:val="00C30983"/>
    <w:rsid w:val="00C33189"/>
    <w:rsid w:val="00C649BD"/>
    <w:rsid w:val="00CB56D2"/>
    <w:rsid w:val="00CC465B"/>
    <w:rsid w:val="00CC620C"/>
    <w:rsid w:val="00CD077A"/>
    <w:rsid w:val="00D22DCE"/>
    <w:rsid w:val="00D3438E"/>
    <w:rsid w:val="00D414A2"/>
    <w:rsid w:val="00D42866"/>
    <w:rsid w:val="00D9024E"/>
    <w:rsid w:val="00DD00B4"/>
    <w:rsid w:val="00DE0776"/>
    <w:rsid w:val="00E219F6"/>
    <w:rsid w:val="00E42F92"/>
    <w:rsid w:val="00E46B6F"/>
    <w:rsid w:val="00E60254"/>
    <w:rsid w:val="00E80179"/>
    <w:rsid w:val="00E966EE"/>
    <w:rsid w:val="00EA59BD"/>
    <w:rsid w:val="00EA77A6"/>
    <w:rsid w:val="00ED492E"/>
    <w:rsid w:val="00EF686B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  <w:rsid w:val="79F7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批注框文本 字符"/>
    <w:basedOn w:val="8"/>
    <w:link w:val="4"/>
    <w:semiHidden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2">
    <w:name w:val="QB正文 Char"/>
    <w:link w:val="13"/>
    <w:uiPriority w:val="0"/>
    <w:rPr>
      <w:rFonts w:ascii="宋体"/>
    </w:rPr>
  </w:style>
  <w:style w:type="paragraph" w:customStyle="1" w:styleId="13">
    <w:name w:val="QB正文"/>
    <w:basedOn w:val="1"/>
    <w:link w:val="12"/>
    <w:qFormat/>
    <w:uiPriority w:val="0"/>
    <w:pPr>
      <w:widowControl/>
      <w:autoSpaceDE w:val="0"/>
      <w:autoSpaceDN w:val="0"/>
      <w:spacing w:line="300" w:lineRule="auto"/>
      <w:ind w:firstLine="200" w:firstLineChars="200"/>
    </w:pPr>
    <w:rPr>
      <w:rFonts w:ascii="宋体" w:hAnsiTheme="minorHAnsi" w:eastAsiaTheme="minorEastAsia" w:cstheme="minorBidi"/>
    </w:rPr>
  </w:style>
  <w:style w:type="paragraph" w:customStyle="1" w:styleId="14">
    <w:name w:val="p15"/>
    <w:basedOn w:val="1"/>
    <w:qFormat/>
    <w:uiPriority w:val="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15">
    <w:name w:val="p0"/>
    <w:basedOn w:val="1"/>
    <w:uiPriority w:val="0"/>
    <w:pPr>
      <w:widowControl/>
    </w:pPr>
    <w:rPr>
      <w:rFonts w:ascii="Times New Roman" w:hAnsi="Times New Roman"/>
      <w:kern w:val="0"/>
      <w:szCs w:val="21"/>
    </w:rPr>
  </w:style>
  <w:style w:type="character" w:customStyle="1" w:styleId="16">
    <w:name w:val="标题 1 字符"/>
    <w:basedOn w:val="8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7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A113Figure1" Type="http://schemas.openxmlformats.org/officeDocument/2006/relationships/image" Target="media/a113-architecture.png"/><Relationship Id="rIdA113Figure2" Type="http://schemas.openxmlformats.org/officeDocument/2006/relationships/image" Target="media/a113-native-performance.png"/><Relationship Id="rIdA113Figure3" Type="http://schemas.openxmlformats.org/officeDocument/2006/relationships/image" Target="media/a113-replay-efficiency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236</Words>
  <Characters>243</Characters>
  <Lines>3</Lines>
  <Paragraphs>1</Paragraphs>
  <TotalTime>24</TotalTime>
  <ScaleCrop>false</ScaleCrop>
  <LinksUpToDate>false</LinksUpToDate>
  <CharactersWithSpaces>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2019-09-14T06:53:00Z</dcterms:created>
  <dc:creator/>
  <cp:lastModifiedBy/>
  <dcterms:modified xsi:type="dcterms:W3CDTF">2026-09-20T07:09:28Z</dcterms:modified>
  <dc:title/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eyJoZGlkIjoiNWQ5ZDQyNWExM2I5OGFkYzI5NTUwZWI3YjM5NzhlYzciLCJ1c2VySWQiOiIxNTUxNjk3NTg4In0=</vt:lpwstr>
  </property>
  <property fmtid="{D5CDD505-2E9C-101B-9397-08002B2CF9AE}" pid="5" name="ICV">
    <vt:lpwstr>3C07B40A024C48A48B1C0127491CFB76_12</vt:lpwstr>
  </property>
</Properties>
</file>