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Default Extension="png" ContentType="image/png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94A34B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作品编号：[系统编号待填写]</w:t>
      </w:r>
      <w:r>
        <w:rPr>
          <w:rFonts w:ascii="楷体_GB2312" w:hAnsi="Times New Roman" w:eastAsia="楷体_GB2312"/>
          <w:bCs/>
          <w:sz w:val="28"/>
          <w:szCs w:val="28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4584700</wp:posOffset>
            </wp:positionH>
            <wp:positionV relativeFrom="paragraph">
              <wp:posOffset>-90805</wp:posOffset>
            </wp:positionV>
            <wp:extent cx="1534795" cy="1163320"/>
            <wp:effectExtent l="0" t="0" r="8255" b="0"/>
            <wp:wrapSquare wrapText="bothSides"/>
            <wp:docPr id="2" name="图片 2" descr="D:\密码学会教育工作委员会\学会\学会图标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D:\密码学会教育工作委员会\学会\学会图标.jp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534795" cy="1163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color w:val="FF0000"/>
          <w:sz w:val="28"/>
          <w:szCs w:val="28"/>
          <w:u w:val="single"/>
        </w:rPr>
        <w:t xml:space="preserve"/>
      </w: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w:t xml:space="preserve"/>
      </w:r>
    </w:p>
    <w:p w14:paraId="4ED5BDD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4656AD64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作品类别： □软件设计   □硬件制作   ■工程实践</w:t>
      </w:r>
      <w:bookmarkStart w:id="0" w:name="OLE_LINK1"/>
      <w:bookmarkStart w:id="1" w:name="OLE_LINK2"/>
      <w:r>
        <w:rPr>
          <w:rFonts w:hint="eastAsia" w:ascii="楷体_GB2312" w:hAnsi="Times New Roman" w:eastAsia="楷体_GB2312"/>
          <w:bCs/>
          <w:sz w:val="28"/>
          <w:szCs w:val="28"/>
        </w:rPr>
        <w:t xml:space="preserve"/>
      </w:r>
      <w:bookmarkEnd w:id="0"/>
      <w:bookmarkEnd w:id="1"/>
      <w:r>
        <w:rPr>
          <w:rFonts w:hint="eastAsia" w:ascii="宋体" w:hAnsi="宋体"/>
        </w:rPr>
        <w:t xml:space="preserve"/>
      </w:r>
      <w:r>
        <w:rPr>
          <w:rFonts w:hint="eastAsia"/>
        </w:rPr>
        <w:t xml:space="preserve"/>
      </w:r>
      <w:r>
        <w:rPr>
          <w:rFonts w:hint="eastAsia" w:ascii="宋体" w:hAnsi="宋体"/>
        </w:rPr>
        <w:t xml:space="preserve"/>
      </w:r>
      <w:r>
        <w:rPr>
          <w:rFonts w:ascii="宋体" w:hAnsi="宋体"/>
        </w:rPr>
        <w:t xml:space="preserve"/>
      </w:r>
    </w:p>
    <w:p w14:paraId="1929CAAD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  <w:r>
        <w:rPr>
          <w:rFonts w:hint="eastAsia" w:ascii="宋体" w:hAnsi="宋体"/>
        </w:rPr>
        <w:t>□密码应用技术  □其它</w:t>
      </w:r>
    </w:p>
    <w:p w14:paraId="1B6B0FE6">
      <w:pPr>
        <w:widowControl/>
        <w:adjustRightInd w:val="0"/>
        <w:snapToGrid w:val="0"/>
        <w:spacing w:line="480" w:lineRule="exact"/>
        <w:ind w:firstLine="1470" w:firstLineChars="700"/>
        <w:rPr>
          <w:rFonts w:hint="eastAsia" w:ascii="宋体" w:hAnsi="宋体"/>
        </w:rPr>
      </w:pPr>
    </w:p>
    <w:p w14:paraId="78E13ED1">
      <w:pPr>
        <w:widowControl/>
        <w:adjustRightInd w:val="0"/>
        <w:snapToGrid w:val="0"/>
        <w:spacing w:line="480" w:lineRule="exact"/>
        <w:rPr>
          <w:rFonts w:hint="eastAsia" w:ascii="宋体" w:hAnsi="宋体"/>
        </w:rPr>
      </w:pPr>
    </w:p>
    <w:p w14:paraId="7433C3F8">
      <w:pPr>
        <w:widowControl/>
        <w:adjustRightInd w:val="0"/>
        <w:snapToGrid w:val="0"/>
        <w:jc w:val="right"/>
        <w:rPr>
          <w:rFonts w:ascii="楷体_GB2312" w:hAnsi="Times New Roman" w:eastAsia="楷体_GB2312"/>
          <w:bCs/>
          <w:sz w:val="28"/>
          <w:szCs w:val="28"/>
        </w:rPr>
      </w:pPr>
    </w:p>
    <w:p w14:paraId="00F1FE9A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0519D025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bookmarkStart w:id="2" w:name="_GoBack"/>
      <w:bookmarkEnd w:id="2"/>
    </w:p>
    <w:p w14:paraId="4A52C4E0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6457B05F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/>
          <w:bCs/>
          <w:sz w:val="36"/>
          <w:szCs w:val="36"/>
        </w:rPr>
      </w:pPr>
      <w:r>
        <w:rPr>
          <w:rFonts w:ascii="楷体_GB2312" w:hAnsi="Times New Roman" w:eastAsia="楷体_GB2312"/>
          <w:b/>
          <w:bCs/>
          <w:sz w:val="36"/>
          <w:szCs w:val="36"/>
        </w:rPr>
        <w:t>202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6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年第十</w:t>
      </w:r>
      <w:r>
        <w:rPr>
          <w:rFonts w:hint="eastAsia" w:ascii="楷体_GB2312" w:hAnsi="Times New Roman" w:eastAsia="楷体_GB2312"/>
          <w:b/>
          <w:bCs/>
          <w:sz w:val="36"/>
          <w:szCs w:val="36"/>
          <w:lang w:val="en-US" w:eastAsia="zh-CN"/>
        </w:rPr>
        <w:t>一</w:t>
      </w:r>
      <w:r>
        <w:rPr>
          <w:rFonts w:hint="eastAsia" w:ascii="楷体_GB2312" w:hAnsi="Times New Roman" w:eastAsia="楷体_GB2312"/>
          <w:b/>
          <w:bCs/>
          <w:sz w:val="36"/>
          <w:szCs w:val="36"/>
        </w:rPr>
        <w:t>届全国密码技术竞赛作品设计报告</w:t>
      </w:r>
    </w:p>
    <w:p w14:paraId="1316150A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  <w:u w:val="singl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539115</wp:posOffset>
                </wp:positionH>
                <wp:positionV relativeFrom="paragraph">
                  <wp:posOffset>213995</wp:posOffset>
                </wp:positionV>
                <wp:extent cx="4899660" cy="34290"/>
                <wp:effectExtent l="19050" t="19050" r="15240" b="22860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4899803" cy="34506"/>
                        </a:xfrm>
                        <a:prstGeom prst="line">
                          <a:avLst/>
                        </a:prstGeom>
                        <a:ln w="3810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42.45pt;margin-top:16.85pt;height:2.7pt;width:385.8pt;z-index:251659264;mso-width-relative:page;mso-height-relative:page;" filled="f" stroked="t" coordsize="21600,21600" o:gfxdata="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">
                <v:fill on="f" focussize="0,0"/>
                <v:stroke weight="3pt" color="#000000 [3200]" joinstyle="round"/>
                <v:imagedata o:title=""/>
                <o:lock v:ext="edit" aspectratio="f"/>
              </v:line>
            </w:pict>
          </mc:Fallback>
        </mc:AlternateContent>
      </w:r>
    </w:p>
    <w:p w14:paraId="5131E305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1DF0E1D">
      <w:pPr>
        <w:widowControl/>
        <w:adjustRightInd w:val="0"/>
        <w:snapToGrid w:val="0"/>
        <w:spacing w:line="480" w:lineRule="exact"/>
        <w:jc w:val="center"/>
        <w:rPr>
          <w:rFonts w:ascii="楷体_GB2312" w:hAnsi="Times New Roman" w:eastAsia="楷体_GB2312"/>
          <w:bCs/>
          <w:sz w:val="28"/>
          <w:szCs w:val="28"/>
          <w:u w:val="single"/>
        </w:rPr>
      </w:pPr>
    </w:p>
    <w:p w14:paraId="0D429881">
      <w:pPr>
        <w:widowControl/>
        <w:adjustRightInd w:val="0"/>
        <w:snapToGrid w:val="0"/>
        <w:spacing w:line="700" w:lineRule="exact"/>
        <w:ind w:firstLine="1680" w:firstLineChars="600"/>
        <w:rPr>
          <w:rFonts w:hint="eastAsia" w:ascii="华文中宋" w:hAnsi="华文中宋" w:eastAsia="华文中宋"/>
          <w:bCs/>
          <w:sz w:val="28"/>
          <w:szCs w:val="28"/>
          <w:u w:val="single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作品题目：</w:t>
      </w:r>
      <w:r>
        <w:rPr>
          <w:rFonts w:hint="eastAsia" w:ascii="华文中宋" w:hAnsi="华文中宋" w:eastAsia="华文中宋"/>
          <w:bCs/>
          <w:sz w:val="28"/>
          <w:szCs w:val="28"/>
          <w:u w:val="single"/>
        </w:rPr>
        <w:t>ML-KEM 解封装实现的时间侧信道检测与常数时间防护（暂定题名）</w:t>
      </w:r>
    </w:p>
    <w:p w14:paraId="4EE13EFD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323A5D9B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0A15B53C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7DD67DF5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28AB24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8B47AE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</w:pPr>
    </w:p>
    <w:p w14:paraId="4EDCC657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2026 年 10 月 7 日</w:t>
      </w:r>
    </w:p>
    <w:p w14:paraId="06B1D532">
      <w:pPr>
        <w:widowControl/>
        <w:adjustRightInd w:val="0"/>
        <w:snapToGrid w:val="0"/>
        <w:spacing w:line="600" w:lineRule="exact"/>
        <w:ind w:firstLine="560" w:firstLineChars="200"/>
        <w:jc w:val="center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中国密码学会</w:t>
      </w:r>
    </w:p>
    <w:p w14:paraId="6F4C8D9E">
      <w:pPr>
        <w:widowControl/>
        <w:adjustRightInd w:val="0"/>
        <w:snapToGrid w:val="0"/>
        <w:spacing w:line="480" w:lineRule="exact"/>
        <w:ind w:firstLine="560" w:firstLineChars="200"/>
        <w:rPr>
          <w:rFonts w:ascii="楷体_GB2312" w:hAnsi="Times New Roman" w:eastAsia="楷体_GB2312"/>
          <w:bCs/>
          <w:sz w:val="28"/>
          <w:szCs w:val="28"/>
        </w:rPr>
        <w:sectPr>
          <w:pgSz w:w="11906" w:h="16838"/>
          <w:pgMar w:top="1134" w:right="1134" w:bottom="1134" w:left="1134" w:header="851" w:footer="992" w:gutter="0"/>
          <w:cols w:space="425" w:num="1"/>
          <w:docGrid w:type="lines" w:linePitch="312" w:charSpace="0"/>
        </w:sectPr>
      </w:pPr>
    </w:p>
    <w:tbl>
      <w:tblPr>
        <w:tblStyle w:val="7"/>
        <w:tblW w:w="8913" w:type="dxa"/>
        <w:jc w:val="center"/>
        <w:tblBorders>
          <w:top w:val="single" w:color="auto" w:sz="12" w:space="0"/>
          <w:left w:val="single" w:color="auto" w:sz="12" w:space="0"/>
          <w:bottom w:val="single" w:color="auto" w:sz="12" w:space="0"/>
          <w:right w:val="single" w:color="auto" w:sz="12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913"/>
      </w:tblGrid>
      <w:tr w14:paraId="01250D0B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66E1D7EA">
            <w:pPr>
              <w:jc w:val="center"/>
              <w:rPr>
                <w:sz w:val="24"/>
              </w:rPr>
            </w:pPr>
            <w:r>
              <w:rPr>
                <w:rFonts w:hint="eastAsia"/>
                <w:spacing w:val="-8"/>
                <w:sz w:val="30"/>
              </w:rPr>
              <w:t xml:space="preserve">基本信息表</w:t>
            </w:r>
          </w:p>
        </w:tc>
      </w:tr>
      <w:tr w14:paraId="05860EC3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5721B18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编号：[系统编号待填写]</w:t>
            </w:r>
          </w:p>
        </w:tc>
      </w:tr>
      <w:tr w14:paraId="7292356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4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  <w:vAlign w:val="center"/>
          </w:tcPr>
          <w:p w14:paraId="02F0FFCE">
            <w:pPr>
              <w:rPr>
                <w:spacing w:val="-8"/>
                <w:sz w:val="30"/>
              </w:rPr>
            </w:pPr>
            <w:r>
              <w:rPr>
                <w:rFonts w:hint="eastAsia"/>
                <w:spacing w:val="-8"/>
                <w:sz w:val="30"/>
              </w:rPr>
              <w:t xml:space="preserve">作品题目：ML-KEM 解封装实现的时间侧信道检测与常数时间防护（暂定题名）</w:t>
            </w:r>
          </w:p>
        </w:tc>
      </w:tr>
      <w:tr w14:paraId="4CC36284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419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4" w:space="0"/>
              <w:right w:val="single" w:color="auto" w:sz="2" w:space="0"/>
            </w:tcBorders>
          </w:tcPr>
          <w:p w14:paraId="6E18E984">
            <w:pPr>
              <w:adjustRightInd w:val="0"/>
              <w:snapToGrid w:val="0"/>
              <w:spacing w:line="360" w:lineRule="auto"/>
              <w:ind w:left="1500" w:hanging="1500" w:hangingChars="500"/>
              <w:jc w:val="left"/>
              <w:rPr>
                <w:snapToGrid w:val="0"/>
                <w:sz w:val="24"/>
              </w:rPr>
            </w:pPr>
            <w:r>
              <w:rPr>
                <w:rFonts w:hint="eastAsia"/>
                <w:snapToGrid w:val="0"/>
                <w:sz w:val="30"/>
                <w:szCs w:val="30"/>
              </w:rPr>
              <w:t>作品类别：</w:t>
            </w:r>
            <w:r>
              <w:rPr>
                <w:rFonts w:hint="eastAsia" w:ascii="宋体" w:hAnsi="宋体"/>
              </w:rPr>
              <w:t>□软件设计   □</w:t>
            </w:r>
            <w:r>
              <w:rPr>
                <w:rFonts w:hint="eastAsia"/>
              </w:rPr>
              <w:t xml:space="preserve">硬件制作   </w:t>
            </w:r>
            <w:r>
              <w:rPr>
                <w:rFonts w:hint="eastAsia" w:ascii="宋体" w:hAnsi="宋体"/>
              </w:rPr>
              <w:t xml:space="preserve">■工程实践 </w:t>
            </w:r>
            <w:r>
              <w:rPr>
                <w:rFonts w:ascii="宋体" w:hAnsi="宋体"/>
              </w:rPr>
              <w:t xml:space="preserve"> </w:t>
            </w:r>
            <w:r>
              <w:rPr>
                <w:rFonts w:hint="eastAsia" w:ascii="宋体" w:hAnsi="宋体"/>
              </w:rPr>
              <w:t>□密码技术应用  □其它</w:t>
            </w:r>
          </w:p>
        </w:tc>
      </w:tr>
      <w:tr w14:paraId="4B036C0F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3105" w:hRule="atLeast"/>
          <w:jc w:val="center"/>
        </w:trPr>
        <w:tc>
          <w:tcPr>
            <w:tcW w:w="8913" w:type="dxa"/>
            <w:tcBorders>
              <w:top w:val="single" w:color="auto" w:sz="4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作品内容摘要：</w:t>
            </w:r>
          </w:p>
          <w:p w14:paraId="7EA73BA4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本作品构建C11本地审计与复算工程，接入固定ML-KEM-768便携C实现，用独立NIST向量、接口边界及版本等价验证功能。普通采集在完整解封装窗口内计时，保留逐次记录、公开输入流摘要、源码与产物身份。历史人工分支回归关联源码、机器码、名义统计与掩码对照，明确其教学审计边界。在真实4vCPU KVM/x86_64 Linux取得普通参考及三种编码无分支形态的实现的性能数据；在8个固定无秘密任务上，C与SciPy精确复算结果一致，补充预导入对照后的窗口比值中位数0.001562。作品提供统一入口、离线展示与干净复算。新受控防护时序闭环及非原作者执行仍缺，不把未检出、功能通过或复算更快解释为安全认证。</w:t>
            </w:r>
          </w:p>
        </w:tc>
      </w:tr>
      <w:tr w14:paraId="449FB0E5">
        <w:tblPrEx>
          <w:tblBorders>
            <w:top w:val="single" w:color="auto" w:sz="12" w:space="0"/>
            <w:left w:val="single" w:color="auto" w:sz="12" w:space="0"/>
            <w:bottom w:val="single" w:color="auto" w:sz="12" w:space="0"/>
            <w:right w:val="single" w:color="auto" w:sz="12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cantSplit/>
          <w:trHeight w:val="1187" w:hRule="atLeast"/>
          <w:jc w:val="center"/>
        </w:trPr>
        <w:tc>
          <w:tcPr>
            <w:tcW w:w="8913" w:type="dxa"/>
            <w:tcBorders>
              <w:top w:val="single" w:color="auto" w:sz="2" w:space="0"/>
              <w:left w:val="single" w:color="auto" w:sz="2" w:space="0"/>
              <w:bottom w:val="single" w:color="auto" w:sz="2" w:space="0"/>
              <w:right w:val="single" w:color="auto" w:sz="2" w:space="0"/>
            </w:tcBorders>
          </w:tcPr>
          <w:p w14:paraId="5D556087">
            <w:pPr>
              <w:rPr>
                <w:sz w:val="30"/>
              </w:rPr>
            </w:pPr>
            <w:r>
              <w:rPr>
                <w:rFonts w:hint="eastAsia"/>
                <w:sz w:val="30"/>
              </w:rPr>
              <w:t xml:space="preserve">关键词（五个）：ML-KEM；时间侧信道；常数时间；证据资格；可复现性</w:t>
            </w:r>
          </w:p>
        </w:tc>
      </w:tr>
    </w:tbl>
    <w:p w14:paraId="3D5215B6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</w:p>
    <w:p w14:paraId="1117BCC3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sectPr>
          <w:headerReference r:id="rId3" w:type="default"/>
          <w:footerReference r:id="rId4" w:type="default"/>
          <w:pgSz w:w="11906" w:h="16838"/>
          <w:pgMar w:top="1134" w:right="1134" w:bottom="1134" w:left="1134" w:header="851" w:footer="992" w:gutter="0"/>
          <w:pgNumType w:start="1"/>
          <w:cols w:space="425" w:num="1"/>
          <w:docGrid w:type="lines" w:linePitch="312" w:charSpace="0"/>
        </w:sectPr>
      </w:pP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1.作品功能与性能说明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作品处理ML-KEM软件解封装审计中常见的证据脱节：只有时间差而缺少对象身份，只有源码改造而缺少实际产物，或者把未检出与安全认证混为一谈。工程将功能、测量、分析、定位、防护和复现分为可核验步骤，使使用者能够判断一份结果支持到哪一层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可运行对象固定为ML-KEM-768；核心算法封装、随机源、输入生成、计时、统计与运行校验为C11。CMake/CTest是唯一构建测试来源。audit入口提供环境及源身份、功能检查、普通采集、描述分析、条件化成对分析、历史复算和离线HTML导出。没有远程服务或密钥恢复功能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当前成果包括独立功能证据、真实x86_64 Linux普通记录、历史人工机制防御案例及有限精确复算效率增量。正式批次比较在准备失败处停止，未执行K4/K16开发或20对确认。工程可用与竞赛所有要求达标是不同状态；后续章节保留尚未闭合的要求。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2.设计与实现方案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2.1 实现原理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ML-KEM库采用mlkem-native便携C后端的固定快照，完整提交见来源[2]，标准口径为2024年FIPS 203。公钥1184字节、私钥2400字节、密文1088字节、共享密钥32字节。上游源码和许可证原样保留；向量正确不代表FIPS模块认证。[1][2]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封装层首先检查指针和精确长度，避免短缓冲区进入固定长度内核。正确长度的无效密文继续走隐式拒绝，不向CLI暴露重加密验证标志。系统随机源失败向调用方传播；公开种子的确定性入口限实验夹具，不用于保护业务密钥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公开核查U01与适用审查D01区分旧Kyber、最终ML-KEM、架构后端及固定版本。固定库已有volatile值屏障和相关清理；后续配置、汇编栈标记及ABI问题按实际便携构建排除。C层恒时未形式证明，硬件乘法前提和不可读勘误保留未知。自有修正DEF-F01仅补齐真实构建路径记录，不改变密码运算，也不构成上游新漏洞或防护效果证据。[2]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输入为valid、bit-flipped、random三类，比例1:1:1，全部长度1088字节。标签来自生成规则，不来自内部接受标志。输入生成、分配、结果消费及I/O位于计时窗口外，窗口内覆盖完整包装层与内核解封装。数据保存原始顺序，公开种子固定类别乱序，不删除普通长尾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程序记录时钟、单位、读钟及空窗自检、运行完成声明、实际可执行文件SHA3-256、源身份和编译条件。统一入口仅在数据结构和完成声明通过后导出描述页面；HTML完成写入后独占发布，失败产物保留为部分输出。默认使用归档机制案例，不构建旧主动机制计时入口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1" name="architecture" descr="图1 软件流程。实时普通记录、历史重分析和合成统计分别留证。"/>
            <wp:cNvGraphicFramePr/>
            <a:graphic>
              <a:graphicData uri="http://schemas.openxmlformats.org/drawingml/2006/picture">
                <pic:pic>
                  <pic:nvPicPr>
                    <pic:cNvPr id="101" name="architecture"/>
                    <pic:cNvPicPr/>
                  </pic:nvPicPr>
                  <pic:blipFill>
                    <a:blip r:embed="rIdA113Figure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图1 软件流程。实时普通记录、历史重分析和合成统计分别留证。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2.2运行结果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原生目标环境为Ubuntu 24.04.4、Linux 6.8.0-138、x86_64/KVM、4个vCPU，CPU型号字符串为AMD EPYC 9K65 192-Core Processor。192-Core是型号字符串，不是实例资源。正式普通产物为GCC 13.3.0、RelWithDebInfo、-O2 -g -DNDEBUG、无LTO及非sanitizer，外部taskset绑定CPU2。宿主频率、物理资源和调度无法由来宾控制。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前置参考三次各3000条，共9000条完整记录，均值分别47075.037、46237.526、46121.981ns。CLOCK_MONOTONIC报告分辨率1ns，观察最小正读钟增量19ns；表示单位和报告分辨率不能替代实际精度。每次保存10000个读钟增量及1000个空窗值，未扣开销。源、产物与数据见证据E01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一入口已完成参考短采集并导出真实页面；短演示仅证明流程，不替代正式样本。历史20份五种子四版本数据生成40份报告，与归档逐字一致，未重新采集。功能、历史重分析及实时普通记录分别展示，避免把封存材料伪装成现场实验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2.3技术指标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接口以1088字节正确长度密文作为普通测量负载；每次固定100次预热。逐次CSV含运行、实现、类别、序号、纳秒值和单位；配套元数据保留源与产物身份。描述分位数按floor(p×(n−1)+0.5)零基下标，不插值。旧报告“nearest rank”名称不准确，但数值和历史兼容输出不改。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新的条件化分析限4—20个成对单位、相同调用数和有界整数时间差。令d_k为对内总耗时差，T为差值和的绝对值，枚举全部2^m种标签交换，上尾包含等值，alpha固定0.01。独立对内交换及无后效条件不足时输出证据不足；效应区间另需成对单位iid。程序资格声明不是外部独立审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这是既有精确随机化方法的工程实现，并未首次提出。C11利用相邻交换状态更新整数和，避免浮点近似移动等值边界；独立手算及SciPy核对验证实现。真实参考后赋独立标签属于无秘密零效应控制，合成偏移属于统计夹具，不能写成密码泄露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3.系统测试与结果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3.1测试方案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测试分为功能与接口、记录与来源、统计正确性、失败传播、产物核对及作者复算。独立NIST向量提供预期答案，不由被测实现自产。源码和编译条件改变后，对受影响产物重建并执行必要检查；动态检查与正式测量分目录、分时执行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正常构建覆盖四版KAT、随机源失败、功能等价、CLI、向量及摘要、记录与数据资格、配对数学和预算失败、统计手算、工作流及源码导出。普通性能固定S02执行31项；后续只读复算S03增加到32项。有限模型校准S04新增卷积手算检查，原生固定源码的GCC普通与Clang动态各33项通过。各快照按其实际注册与执行解释，旧主动机制计时不在默认交付范围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参数、方法、成本边界与有限数据集合在观察确认结果前冻结。开发和确认分开；原始负结果、失败准备和未闭合成本保留，不换种子、改阈值或重开预算得到通过。软件夹具时间不进入真实平台性能结果。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3.2 功能测试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每版独立KAT覆盖25组KeyGen、25组Encaps、10组Decaps及20组密钥校验，解封装包含5组隐式拒绝。四版共320组独立用例；接口检查包括空指针及错误长度。三组对参考版的差分各覆盖64个公开种子和三类输入，拒绝样本另核对J(z∥c)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已有S02/S03/S04各按31/32/33项解释。本轮N01在UTC 16:18:45—16:19:13以固定新导出完成GCC13.3普通和Clang18.1.3 ASan/UBSan各34项，四版构建路径及GNU_STACK RW核验通过。40份旧报告与C01—C04主结果逐字一致；这是作者代理复算，非原作者尚未执行。随机open失败已测，read/close故障注入未执行；此前GCC动态构建失败原件保留，未关闭警告或改封存补丁。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正确性包含4个相同差的精确尾计数2/16、零总和16/16、全并列、整数边界、畸形数据及计划拒绝、覆盖拒绝和依赖资格不足。源码导出按清单验证，不含.git；构建身份明确为导出摘要，兼容字段不冒称Git提交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3.3 性能测试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普通性能在同一Linux目标、固定源码S02和6个运行块执行。每块三种编码无分支形态的实现分别3000正式及100预热，六种方法排列全部出现；三种实现共享该块公开种子、有序输入流和负载比例。18个完整运行，共54000条正式记录、1800次预热；采集过程中不并行安装、编译或其他测量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逐次数据支持单次P50/P90/P99；每运行均值独立保留，不池化成同样数量的独立任务。相对参考，hardened均值差101.959ns、相对开销0.220522%，探索性99%成对bootstrap区间−3.725至189.399ns；deployable差−30.101ns、开销−0.065103%，区间−240.918至193.997ns。区间均跨零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6个运行对的iid条件在KVM上未得到证明，bootstrap区间仅是该模型下的探索描述，不保证总体覆盖，也不作防护效果判定。hardened保留函数级O0控制，reference/deployable正常优化，比较同时包含优化和代码形态差异；不能把速度差完全归于安全防护。负开销允许存在，不能据此声称更安全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N01另采18个普通运行，54000条正式记录和1800次预热；hardened与deployable相对reference开销分别为0.824599%及1.091517%，99%探索区间均跨零，完整父窗口合计4.162秒。新源码及产物另列N01；图2和表1仍为旧E02，两个身份不混用，普通开销不判防护效果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2" name="native-performance" descr="图2 全部18个普通运行均值。单位换算为微秒；非单次记录或总体置信区间，长尾及分位数见表1和原始数据。"/>
            <wp:cNvGraphicFramePr/>
            <a:graphic>
              <a:graphicData uri="http://schemas.openxmlformats.org/drawingml/2006/picture">
                <pic:pic>
                  <pic:nvPicPr>
                    <pic:cNvPr id="102" name="native-performance"/>
                    <pic:cNvPicPr/>
                  </pic:nvPicPr>
                  <pic:blipFill>
                    <a:blip r:embed="rIdA113Figure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图2 全部18个普通运行均值。单位换算为微秒；非单次记录或总体置信区间，长尾及分位数见表1和原始数据。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 原生普通运行的逐次分位数  单位ns  每运行3000条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blGrid>
        <w:gridCol w:w="1100"/>
        <w:gridCol w:w="2050"/>
        <w:gridCol w:w="1850"/>
        <w:gridCol w:w="1546"/>
        <w:gridCol w:w="1546"/>
        <w:gridCol w:w="1546"/>
      </w:tblGrid>
      <w:tr>
        <w:trPr>
          <w:tblHeader/>
        </w:trP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运行块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实现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均值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P99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46193.517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54699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46148.423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46058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50968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1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45925.623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50667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46407.084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48678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60098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46383.034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2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46102.585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56459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46206.193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55897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46350.749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45808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56530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3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46209.969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45689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45909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56238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46267.377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56348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46480.338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45929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46169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56799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46621.075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47489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60619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46261.240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45950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56279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46401.231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56408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46241.867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45938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56498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reference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46077.670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45540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45879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56389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hardened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46261.061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45719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45949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56549</w:t>
            </w:r>
          </w:p>
        </w:tc>
      </w:tr>
      <w:tr>
        <w:tc>
          <w:tcPr>
            <w:tcW w:w="110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6</w:t>
            </w:r>
          </w:p>
        </w:tc>
        <w:tc>
          <w:tcPr>
            <w:tcW w:w="20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deployable</w:t>
            </w:r>
          </w:p>
        </w:tc>
        <w:tc>
          <w:tcPr>
            <w:tcW w:w="1850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46131.357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45579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45789</w:t>
            </w:r>
          </w:p>
        </w:tc>
        <w:tc>
          <w:tcPr>
            <w:tcW w:w="1546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56479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表1来源：E02/performance.report及同名CSV/meta；原始长尾完整保留。区间见正文，属于运行级条件描述。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 xml:space="preserve">3.4 测试数据与结果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历史人工回归在重加密所用消息编码中引入秘密相关分支。消息来自私钥参与的解密，源依赖与实际编译产物可以对应。hardened在相同优化控制下改用掩码，保持密码语义；deployable是正常优化下的编码形态对照。上游目标函数本来无分支，二者不是对上游新漏洞的修复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既有ARM64五种子四版本档案中，H1全零对全一主比较在预定1e−4阈值仅4/5显著；H2恒定组对变化组在1e−3阈值，人工回归5/5显著、reference/deployable各5/5未检出、hardened有1/5显著残差。两轮假设和阈值不同；固定消息组仅两个密文反复测量，名义p值不校正序列依赖。既有强措辞以统计审计限制为准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有限批次路线首次原生准备在GCC结构体初始化编译错误处停止，保留40000共同调用/3600秒未闭合预留。K4/K16开发、选择及20对确认未执行，没有稳定性收益或成本比值。后续可移植性修复和普通验收不能回填成该合同成功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统计主方向尚无超越正确配置dudect或RTLF的依据。dudect是自适应Welch检验族，RTLF理论涉及iid及有限方差，不能把既有相依记录误用造成的失败当胜利。[3][4] 备用方向采用SciPy1.16.3/NumPy2.3.5的精确成对交换、向量化、batch4096，与C使用相同20对整数数据、完整2^20分母、上尾含等值及同一检验统计量。[5]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开发2份固定文件、12次进程只用于兼容与选择；确认采用8份新冻结无秘密任务，每方法每份3次，共48次完整进程，精确尾计数及判定全部一致，原始CSV未变。每份最大C耗时均小于最小SciPy耗时，24个比值中位数0.001388504，范围0.001139408—0.001734854。SciPy总进程56.401718秒，C为0.080189秒；确认观察窗口56.487808秒，开发14.048571秒，均在固定总预算内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启动成本敏感性补充沿用这8份任务。SciPy预导入后，48次尾计数仍完全一致，中位窗口比值0.001562070，每份C最大仍小于SciPy最小；基线就绪后49.704188秒，C完整进程0.079016秒，就绪6.559904秒另计。比较观察窗口56.349633秒，未超120秒。这是既有数据的成本边界复核，不是新独立确认、纯内核或密码加速；也不支持灵敏度或安全性提升。固定任务没有总体速度区间，研发完整墙钟未采集。</w:t>
      </w:r>
    </w:p>
    <w:p>
      <w:pPr>
        <w:jc w:val="center"/>
        <w:keepNext/>
      </w:pPr>
      <w:r xmlns:a="http://schemas.openxmlformats.org/drawingml/2006/main" xmlns:pic="http://schemas.openxmlformats.org/drawingml/2006/picture">
        <w:drawing>
          <wp:inline distT="0" distB="0" distL="0" distR="0">
            <wp:extent cx="5486400" cy="3086100"/>
            <wp:docPr id="103" name="replay-efficiency" descr="图3 固定确认轮24个进程各自的成本合计。源为C观察报告；导入与启动计入SciPy，未作纯内核性能或密码安全声明。"/>
            <wp:cNvGraphicFramePr/>
            <a:graphic>
              <a:graphicData uri="http://schemas.openxmlformats.org/drawingml/2006/picture">
                <pic:pic>
                  <pic:nvPicPr>
                    <pic:cNvPr id="103" name="replay-efficiency"/>
                    <pic:cNvPicPr/>
                  </pic:nvPicPr>
                  <pic:blipFill>
                    <a:blip r:embed="rIdA113Figure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图3 两种成本边界下的精确复算耗时（对数刻度）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表2 有限效率确认  完整精确检验判定逐项一致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项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结果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固定确认任务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8份新冻结文件，各20对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实际完整进程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48次，退出码全部0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比值中位数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0.001388504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比值范围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0.001139408—0.001734854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原始身份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CSV及冻结计划未修改</w:t>
            </w:r>
          </w:p>
        </w:tc>
      </w:tr>
      <w:tr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支持范围</w:t>
            </w:r>
          </w:p>
        </w:tc>
        <w:tc>
          <w:tcPr>
            <w:tcW w:w="4819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 xml:space="preserve">限定完整进程复算效率</w:t>
            </w:r>
          </w:p>
        </w:tc>
      </w:tr>
    </w:tbl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3.5 有限模型统计校准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在观察结果前固定12个成对单位。equal每对幅度为1，graded依次为1至12；差值为delta加正负幅度，五个效应值见表3。独立模型的全部4096种符号组合等概率；共同符号模型各仅两种结果。共40964份数据由C生成和验证，单位为合成ns，不是密码采集时间；没有新的ML-KEM解封装调用，不把模型当真实密码噪声分布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每份数据分别用现有精确入口和另行实现的整数分布卷积核对，40964份尾计数全部一致；44份预先选定的SciPy审计也一致。独立零效应的误拒绝概率为26/4096和38/4096，均低于alpha=0.01；equal的结果与二项式手算吻合。表3保留全部效应结果，graded在效应4时仍只有353/4096检出；equal在效应1时的一份全零数据保留在分母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共同符号模型虽然均值为零，盲用独立交换规则时每个模型都是2/2拒绝；实际成对入口对四份依赖数据均返回证据不足。拒绝签收不等于把误报降至零。该补证支持固定有限模型的错误、检出和资格边界，未校准真实密码总体或真实序列依赖，不提供超越正确配置dudect/RTLF的检测证据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表3 固定有限模型的原始拒绝数  每个独立模型4096种结果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效应delta（合成ns）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equal拒绝数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graded拒绝数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794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48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91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353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4096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表3来源：C02有限模型原始记录及C报告；效应0为模型内误拒绝，其余为该模型检出，不估计真实密码总体概率。</w:t>
      </w:r>
    </w:p>
    <w:p w14:paraId="2734E110">
      <w:pPr>
        <w:pStyle w:val="3"/>
        <w:spacing w:before="240" w:after="240" w:line="360" w:lineRule="auto"/>
        <w:rPr>
          <w:rFonts w:ascii="Times New Roman" w:hAnsi="Times New Roman" w:eastAsia="黑体" w:cs="Times New Roman"/>
          <w:sz w:val="28"/>
          <w:szCs w:val="28"/>
        </w:rPr>
      </w:pPr>
      <w:r>
        <w:rPr>
          <w:rFonts w:ascii="Times New Roman" w:hAnsi="Times New Roman" w:eastAsia="黑体" w:cs="Times New Roman"/>
          <w:sz w:val="28"/>
          <w:szCs w:val="28"/>
        </w:rPr>
        <w:t>3.6 真实参考时间的后赋标签控制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C04使用E02六份封存普通参考记录。程序完整读取每份3000条及meta/cost并核验资格，每块固定取原序0至23组成12对；采集后独立等概率交换标签，遍历全部4096种组合。时间值不添加偏移，也不按原密文类别或秘密分类。保存144个原时间及24576份差值和计数，新解封装调用为0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整数精确结果与独立逐项求和、排序秩核验逐行一致，24份预定SciPy审计一致，完整动态运行的原始行也一致。表4给出全部六块结果，各自的条件拒绝概率不超过0.01。C任务约0.209秒，读取、计算和原始记录关闭均计入，最终摘要及状态发布另列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keepNext/>
      </w:pPr>
      <w:r>
        <w:rPr>
          <w:rFonts w:hint="eastAsia" w:ascii="楷体_GB2312" w:hAnsi="Times New Roman" w:eastAsia="楷体_GB2312"/>
          <w:bCs/>
          <w:sz w:val="28"/>
          <w:szCs w:val="28"/>
        </w:rPr>
        <w:t>表4 后赋标签模型的条件拒绝数 每块4096种标签</w:t>
      </w:r>
    </w:p>
    <w:tbl>
      <w:tblPr>
        <w:tblW w:w="9638" w:type="dxa"/>
        <w:tblBorders>
          <w:top w:val="single" w:sz="4" w:color="8899A5"/>
          <w:left w:val="single" w:sz="4" w:color="8899A5"/>
          <w:bottom w:val="single" w:sz="4" w:color="8899A5"/>
          <w:right w:val="single" w:sz="4" w:color="8899A5"/>
          <w:insideH w:val="single" w:sz="4" w:color="8899A5"/>
          <w:insideV w:val="single" w:sz="4" w:color="8899A5"/>
        </w:tblBorders>
      </w:tblPr>
      <w:tr>
        <w:trPr>
          <w:tblHeader/>
        </w:trP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运行块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条件拒绝数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条件概率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1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2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5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40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0.009765625000</w:t>
            </w:r>
          </w:p>
        </w:tc>
      </w:tr>
      <w:tr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6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38</w:t>
            </w:r>
          </w:p>
        </w:tc>
        <w:tc>
          <w:tcPr>
            <w:tcW w:w="3212" w:type="dxa"/>
          </w:tcPr>
          <w:p w14:paraId="6B53C45C">
            <w:pPr>
              <w:widowControl/>
              <w:adjustRightInd w:val="0"/>
              <w:snapToGrid w:val="0"/>
              <w:spacing w:line="480" w:lineRule="exact"/>
              <w:rPr>
                <w:rFonts w:ascii="楷体_GB2312" w:hAnsi="Times New Roman" w:eastAsia="楷体_GB2312"/>
                <w:bCs/>
                <w:sz w:val="28"/>
                <w:szCs w:val="28"/>
              </w:rPr>
            </w:pPr>
            <w:r>
              <w:rPr>
                <w:rFonts w:hint="eastAsia" w:ascii="楷体_GB2312" w:hAnsi="Times New Roman" w:eastAsia="楷体_GB2312"/>
                <w:bCs/>
                <w:sz w:val="28"/>
                <w:szCs w:val="28"/>
              </w:rPr>
              <w:t>0.009277343750</w:t>
            </w:r>
          </w:p>
        </w:tc>
      </w:tr>
    </w:tbl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表4 来源：C04完整标签记录及C报告；条件概率以4096为分母，无Monte Carlo抽样误差，不是总体误报率估计。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>这只验证给定时间对后独立标签模型的条件错误控制，不要求这些给定时间值iid；不代表采集时实施了该随机化，也不校准原密文类别或真实密码总体。初版遗漏成本内容校验，未签收并保留；修复复用共用C读取器，时钟、身份、计数或成本矛盾在输出数据前被拒绝。旧统计规则和原始时间不改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4.应用前景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作品可作为本地密码实现审计教学及工程复核工具。开发者可以先确认功能和接口，再保存普通运行的完整记录；使用者可从指定文件重分析，核对方法、源身份和限制，减少“只有一个p值”或“只看源码分支”的错误判断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适用范围是单机ML-KEM-768便携C实现、本地运行与离线复算。未来需要团队在批准的防御测试计划下取得新的受控防护前后数据、进行必要的因果分离，并由实际未参与实现的成员独立执行。云宿主控制不足、其他处理器、优化条件或网络环境的变化都需要新的身份和证据，不能用现有数字外推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5. 结论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本轮补齐公开来源与固定版本适用性审查，修正构建身份记录中的路径错误，保留算法及历史数据。软件、功能与产物核验、普通性能、既有数据复算分别留证。有限精确复算效率服务于统计检测的核查与复现，不支持ML-KEM加速、检测更灵敏或防护已有效；当前材料为供团队审阅修改的提交候选版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演示的实际界面截图因工具本地文件访问策略受限，未取得；离线页面和真实程序日志已提供，截图需团队手工完成。未闭合项仍包括新受控防护时序闭环、历史差异的完整因果分离、运行独立性校准和真实非原作者执行。新平台普通性能与静态产物核验不能替代这些证据。作品编号、正式题名、实际分工、签字、意见和盖章由团队真实填写及完成；本报告不宣称已经正式提交或全部要求达标。</w:t>
      </w:r>
    </w:p>
    <w:p w14:paraId="56B14FEB">
      <w:pPr>
        <w:pStyle w:val="2"/>
        <w:spacing w:before="240" w:after="240" w:line="360" w:lineRule="auto"/>
        <w:rPr>
          <w:rFonts w:hint="eastAsia" w:ascii="华文楷体" w:hAnsi="华文楷体" w:eastAsia="华文楷体"/>
          <w:sz w:val="30"/>
          <w:szCs w:val="30"/>
        </w:rPr>
      </w:pPr>
      <w:r>
        <w:rPr>
          <w:rFonts w:hint="eastAsia" w:ascii="华文楷体" w:hAnsi="华文楷体" w:eastAsia="华文楷体"/>
          <w:sz w:val="30"/>
          <w:szCs w:val="30"/>
        </w:rPr>
        <w:t xml:space="preserve">6 来源与复现材料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[1] NIST. Module-Lattice-Based Key-Encapsulation Mechanism Standard. FIPS 203, 2024. https://csrc.nist.gov/pubs/fips/203/final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[2] pq-code-package. mlkem-native固定快照及证明边界。https://github.com/pq-code-package/mlkem-native/blob/b3ba7b32773e657dd37f6f87bce82528459ad8a4/SOUNDNESS.md；预防性值屏障变更：https://github.com/pq-code-package/mlkem-native/pull/1342。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[3] Reparaz O, Balasch J, Verbauwhede I. Dude, is my code constant time? DATE 2017；dudect固定dc269651fb2567e46755cfb2a13d3875592968b5。https://github.com/oreparaz/dudect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[4] Dunsche M, et al. With Great Power Come Great Side Channels: Statistical Timing Side-Channel Analyses with Bounded Type-1 Errors. USENIX Security 2024；已核对官方勘误。https://www.usenix.org/conference/usenixsecurity24/presentation/dunsche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[5] SciPy. permutation_test官方定义；对照实际版本SciPy1.16.3/NumPy2.3.5。https://docs.scipy.org/doc/scipy/reference/generated/scipy.stats.permutation_test.html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  <w:jc w:val="left"/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[6] clangover机制出处固定7f4d5dc162b77c362a34a0d52949f7a3e1b16d81，原对象是旧Kyber，不能冒称FIPS 203。https://github.com/antoonpurnal/clangover</w:t>
      </w:r>
    </w:p>
    <w:p w14:paraId="6B53C45C">
      <w:pPr>
        <w:widowControl/>
        <w:adjustRightInd w:val="0"/>
        <w:snapToGrid w:val="0"/>
        <w:spacing w:line="480" w:lineRule="exact"/>
        <w:rPr>
          <w:rFonts w:ascii="楷体_GB2312" w:hAnsi="Times New Roman" w:eastAsia="楷体_GB2312"/>
          <w:bCs/>
          <w:sz w:val="28"/>
          <w:szCs w:val="28"/>
        </w:rPr>
      </w:pPr>
      <w:r>
        <w:rPr>
          <w:rFonts w:hint="eastAsia" w:ascii="楷体_GB2312" w:hAnsi="Times New Roman" w:eastAsia="楷体_GB2312"/>
          <w:bCs/>
          <w:sz w:val="28"/>
          <w:szCs w:val="28"/>
        </w:rPr>
        <w:t xml:space="preserve">证据：U01公开来源，D01固定版本审查，E01前置，E02旧性能，H01人工档案，C01—C04统计复核，R01旧作者复现，N01本轮Linux核验与A02作者代理复算。原CSV不改；公开审查与适用性在source/docs，N01原件在docs/evidence/candidate-round-20261007/native，复算和离线索引入口见支撑包source/README.md。真实非原作者执行须另留本人日志并签收。</w:t>
      </w:r>
    </w:p>
    <w:sectPr>
      <w:pgSz w:w="11906" w:h="16838"/>
      <w:pgMar w:top="1134" w:right="1134" w:bottom="1134" w:left="1134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楷体_GB2312">
    <w:altName w:val="楷体"/>
    <w:panose1 w:val="00000000000000000000"/>
    <w:charset w:val="86"/>
    <w:family w:val="modern"/>
    <w:pitch w:val="default"/>
    <w:sig w:usb0="00000000" w:usb1="00000000" w:usb2="00000010" w:usb3="00000000" w:csb0="0004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华文楷体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KSOFF9CBECC6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414236616"/>
      <w:docPartObj>
        <w:docPartGallery w:val="autotext"/>
      </w:docPartObj>
    </w:sdtPr>
    <w:sdtEndPr>
      <w:rPr>
        <w:rFonts w:ascii="Times New Roman" w:hAnsi="Times New Roman" w:cs="Times New Roman"/>
      </w:rPr>
    </w:sdtEndPr>
    <w:sdtContent>
      <w:p w14:paraId="212440BD">
        <w:pPr>
          <w:pStyle w:val="5"/>
          <w:jc w:val="center"/>
          <w:rPr>
            <w:rFonts w:ascii="Times New Roman" w:hAnsi="Times New Roman" w:cs="Times New Roman"/>
          </w:rPr>
        </w:pPr>
        <w:r>
          <w:rPr>
            <w:rFonts w:ascii="Times New Roman" w:hAnsi="Times New Roman" w:cs="Times New Roman"/>
          </w:rPr>
          <w:fldChar w:fldCharType="begin"/>
        </w:r>
        <w:r>
          <w:rPr>
            <w:rFonts w:ascii="Times New Roman" w:hAnsi="Times New Roman" w:cs="Times New Roman"/>
          </w:rPr>
          <w:instrText xml:space="preserve">PAGE   \* MERGEFORMAT</w:instrText>
        </w:r>
        <w:r>
          <w:rPr>
            <w:rFonts w:ascii="Times New Roman" w:hAnsi="Times New Roman" w:cs="Times New Roman"/>
          </w:rPr>
          <w:fldChar w:fldCharType="separate"/>
        </w:r>
        <w:r>
          <w:rPr>
            <w:rFonts w:ascii="Times New Roman" w:hAnsi="Times New Roman" w:cs="Times New Roman"/>
            <w:lang w:val="zh-CN"/>
          </w:rPr>
          <w:t>1</w:t>
        </w:r>
        <w:r>
          <w:rPr>
            <w:rFonts w:ascii="Times New Roman" w:hAnsi="Times New Roman" w:cs="Times New Roman"/>
          </w:rPr>
          <w:fldChar w:fldCharType="end"/>
        </w:r>
      </w:p>
    </w:sdtContent>
  </w:sdt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F00957">
    <w:pPr>
      <w:pStyle w:val="6"/>
    </w:pPr>
    <w:r>
      <w:rPr>
        <w:rFonts w:hint="eastAsia"/>
      </w:rPr>
      <w:t>全国密码技术竞赛作品设计报告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D3B4D"/>
    <w:rsid w:val="0001769F"/>
    <w:rsid w:val="00035012"/>
    <w:rsid w:val="00075049"/>
    <w:rsid w:val="00090885"/>
    <w:rsid w:val="00146555"/>
    <w:rsid w:val="00161B1B"/>
    <w:rsid w:val="00175070"/>
    <w:rsid w:val="00186455"/>
    <w:rsid w:val="00191B02"/>
    <w:rsid w:val="001A47C8"/>
    <w:rsid w:val="001B1DB6"/>
    <w:rsid w:val="001C1D17"/>
    <w:rsid w:val="001C6D92"/>
    <w:rsid w:val="001D3664"/>
    <w:rsid w:val="001E1D13"/>
    <w:rsid w:val="0022689B"/>
    <w:rsid w:val="00256BB7"/>
    <w:rsid w:val="002774FA"/>
    <w:rsid w:val="002822D8"/>
    <w:rsid w:val="002845D6"/>
    <w:rsid w:val="002A4EA5"/>
    <w:rsid w:val="003141E7"/>
    <w:rsid w:val="00332691"/>
    <w:rsid w:val="0034273A"/>
    <w:rsid w:val="0039611F"/>
    <w:rsid w:val="00425721"/>
    <w:rsid w:val="00432817"/>
    <w:rsid w:val="00434101"/>
    <w:rsid w:val="0043470B"/>
    <w:rsid w:val="00466388"/>
    <w:rsid w:val="004F4C94"/>
    <w:rsid w:val="00513A12"/>
    <w:rsid w:val="00517279"/>
    <w:rsid w:val="00547813"/>
    <w:rsid w:val="00554F5D"/>
    <w:rsid w:val="0057300D"/>
    <w:rsid w:val="00574703"/>
    <w:rsid w:val="005822FE"/>
    <w:rsid w:val="0059419A"/>
    <w:rsid w:val="005F7A30"/>
    <w:rsid w:val="00611E07"/>
    <w:rsid w:val="00621AF2"/>
    <w:rsid w:val="00631E26"/>
    <w:rsid w:val="0063657D"/>
    <w:rsid w:val="00664B42"/>
    <w:rsid w:val="0067271A"/>
    <w:rsid w:val="00677002"/>
    <w:rsid w:val="00687301"/>
    <w:rsid w:val="006D30A0"/>
    <w:rsid w:val="006D3B4D"/>
    <w:rsid w:val="006F3184"/>
    <w:rsid w:val="00731E6B"/>
    <w:rsid w:val="00747B59"/>
    <w:rsid w:val="00766607"/>
    <w:rsid w:val="0077465F"/>
    <w:rsid w:val="007817EC"/>
    <w:rsid w:val="007D255F"/>
    <w:rsid w:val="007E6BB3"/>
    <w:rsid w:val="008201D9"/>
    <w:rsid w:val="00830906"/>
    <w:rsid w:val="00845996"/>
    <w:rsid w:val="00847781"/>
    <w:rsid w:val="00863E71"/>
    <w:rsid w:val="008F5F36"/>
    <w:rsid w:val="00903383"/>
    <w:rsid w:val="00934DCF"/>
    <w:rsid w:val="00946FD5"/>
    <w:rsid w:val="009733E4"/>
    <w:rsid w:val="009943D4"/>
    <w:rsid w:val="009A03F1"/>
    <w:rsid w:val="009F6678"/>
    <w:rsid w:val="00A2005F"/>
    <w:rsid w:val="00A21582"/>
    <w:rsid w:val="00A40871"/>
    <w:rsid w:val="00A41124"/>
    <w:rsid w:val="00AA005E"/>
    <w:rsid w:val="00AB58A4"/>
    <w:rsid w:val="00AD1EA7"/>
    <w:rsid w:val="00AF2C1B"/>
    <w:rsid w:val="00AF71EF"/>
    <w:rsid w:val="00AF784B"/>
    <w:rsid w:val="00AF7905"/>
    <w:rsid w:val="00B15194"/>
    <w:rsid w:val="00B40659"/>
    <w:rsid w:val="00B64376"/>
    <w:rsid w:val="00B711FB"/>
    <w:rsid w:val="00B938E4"/>
    <w:rsid w:val="00BC477C"/>
    <w:rsid w:val="00BC5F07"/>
    <w:rsid w:val="00BD2BD8"/>
    <w:rsid w:val="00C15503"/>
    <w:rsid w:val="00C22111"/>
    <w:rsid w:val="00C30983"/>
    <w:rsid w:val="00C33189"/>
    <w:rsid w:val="00C649BD"/>
    <w:rsid w:val="00CB56D2"/>
    <w:rsid w:val="00CC465B"/>
    <w:rsid w:val="00CC620C"/>
    <w:rsid w:val="00CD077A"/>
    <w:rsid w:val="00D22DCE"/>
    <w:rsid w:val="00D3438E"/>
    <w:rsid w:val="00D414A2"/>
    <w:rsid w:val="00D42866"/>
    <w:rsid w:val="00D9024E"/>
    <w:rsid w:val="00DD00B4"/>
    <w:rsid w:val="00DE0776"/>
    <w:rsid w:val="00E219F6"/>
    <w:rsid w:val="00E42F92"/>
    <w:rsid w:val="00E46B6F"/>
    <w:rsid w:val="00E60254"/>
    <w:rsid w:val="00E80179"/>
    <w:rsid w:val="00E966EE"/>
    <w:rsid w:val="00EA59BD"/>
    <w:rsid w:val="00EA77A6"/>
    <w:rsid w:val="00ED492E"/>
    <w:rsid w:val="00EF686B"/>
    <w:rsid w:val="00F81DAA"/>
    <w:rsid w:val="00F84C28"/>
    <w:rsid w:val="00FA04FA"/>
    <w:rsid w:val="00FB1F38"/>
    <w:rsid w:val="00FB7EE9"/>
    <w:rsid w:val="00FD3354"/>
    <w:rsid w:val="00FE0607"/>
    <w:rsid w:val="00FF3324"/>
    <w:rsid w:val="0FAA12E4"/>
    <w:rsid w:val="4C7C2AD2"/>
    <w:rsid w:val="79F713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  <mc:AlternateContent>
    <mc:Choice Requires="wpsCustomData">
      <wpsCustomData:typoFeatureVersion val="1"/>
    </mc:Choice>
  </mc:AlternateContent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宋体" w:cs="Times New Roman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link w:val="16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17"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rPr>
      <w:sz w:val="18"/>
      <w:szCs w:val="18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rFonts w:asciiTheme="minorHAnsi" w:hAnsiTheme="minorHAnsi" w:eastAsiaTheme="minorEastAsia" w:cstheme="minorBidi"/>
      <w:sz w:val="18"/>
      <w:szCs w:val="18"/>
    </w:rPr>
  </w:style>
  <w:style w:type="paragraph" w:styleId="6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Theme="minorHAnsi" w:hAnsiTheme="minorHAnsi" w:eastAsiaTheme="minorEastAsia" w:cstheme="minorBidi"/>
      <w:sz w:val="18"/>
      <w:szCs w:val="18"/>
    </w:rPr>
  </w:style>
  <w:style w:type="character" w:customStyle="1" w:styleId="9">
    <w:name w:val="页眉 字符"/>
    <w:basedOn w:val="8"/>
    <w:link w:val="6"/>
    <w:qFormat/>
    <w:uiPriority w:val="99"/>
    <w:rPr>
      <w:sz w:val="18"/>
      <w:szCs w:val="18"/>
    </w:rPr>
  </w:style>
  <w:style w:type="character" w:customStyle="1" w:styleId="10">
    <w:name w:val="页脚 字符"/>
    <w:basedOn w:val="8"/>
    <w:link w:val="5"/>
    <w:uiPriority w:val="99"/>
    <w:rPr>
      <w:sz w:val="18"/>
      <w:szCs w:val="18"/>
    </w:rPr>
  </w:style>
  <w:style w:type="character" w:customStyle="1" w:styleId="11">
    <w:name w:val="批注框文本 字符"/>
    <w:basedOn w:val="8"/>
    <w:link w:val="4"/>
    <w:semiHidden/>
    <w:uiPriority w:val="99"/>
    <w:rPr>
      <w:rFonts w:ascii="Calibri" w:hAnsi="Calibri" w:eastAsia="宋体" w:cs="Times New Roman"/>
      <w:sz w:val="18"/>
      <w:szCs w:val="18"/>
    </w:rPr>
  </w:style>
  <w:style w:type="character" w:customStyle="1" w:styleId="12">
    <w:name w:val="QB正文 Char"/>
    <w:link w:val="13"/>
    <w:uiPriority w:val="0"/>
    <w:rPr>
      <w:rFonts w:ascii="宋体"/>
    </w:rPr>
  </w:style>
  <w:style w:type="paragraph" w:customStyle="1" w:styleId="13">
    <w:name w:val="QB正文"/>
    <w:basedOn w:val="1"/>
    <w:link w:val="12"/>
    <w:qFormat/>
    <w:uiPriority w:val="0"/>
    <w:pPr>
      <w:widowControl/>
      <w:autoSpaceDE w:val="0"/>
      <w:autoSpaceDN w:val="0"/>
      <w:spacing w:line="300" w:lineRule="auto"/>
      <w:ind w:firstLine="200" w:firstLineChars="200"/>
    </w:pPr>
    <w:rPr>
      <w:rFonts w:ascii="宋体" w:hAnsiTheme="minorHAnsi" w:eastAsiaTheme="minorEastAsia" w:cstheme="minorBidi"/>
    </w:rPr>
  </w:style>
  <w:style w:type="paragraph" w:customStyle="1" w:styleId="14">
    <w:name w:val="p15"/>
    <w:basedOn w:val="1"/>
    <w:qFormat/>
    <w:uiPriority w:val="0"/>
    <w:pPr>
      <w:widowControl/>
      <w:ind w:firstLine="420"/>
    </w:pPr>
    <w:rPr>
      <w:rFonts w:ascii="Times New Roman" w:hAnsi="Times New Roman"/>
      <w:kern w:val="0"/>
      <w:szCs w:val="21"/>
    </w:rPr>
  </w:style>
  <w:style w:type="paragraph" w:customStyle="1" w:styleId="15">
    <w:name w:val="p0"/>
    <w:basedOn w:val="1"/>
    <w:uiPriority w:val="0"/>
    <w:pPr>
      <w:widowControl/>
    </w:pPr>
    <w:rPr>
      <w:rFonts w:ascii="Times New Roman" w:hAnsi="Times New Roman"/>
      <w:kern w:val="0"/>
      <w:szCs w:val="21"/>
    </w:rPr>
  </w:style>
  <w:style w:type="character" w:customStyle="1" w:styleId="16">
    <w:name w:val="标题 1 字符"/>
    <w:basedOn w:val="8"/>
    <w:link w:val="2"/>
    <w:uiPriority w:val="9"/>
    <w:rPr>
      <w:rFonts w:ascii="Calibri" w:hAnsi="Calibri" w:eastAsia="宋体" w:cs="Times New Roman"/>
      <w:b/>
      <w:bCs/>
      <w:kern w:val="44"/>
      <w:sz w:val="44"/>
      <w:szCs w:val="44"/>
    </w:rPr>
  </w:style>
  <w:style w:type="character" w:customStyle="1" w:styleId="17">
    <w:name w:val="标题 2 字符"/>
    <w:basedOn w:val="8"/>
    <w:link w:val="3"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2.xml"/><Relationship Id="rId7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A113Figure1" Type="http://schemas.openxmlformats.org/officeDocument/2006/relationships/image" Target="media/a113-architecture.png"/><Relationship Id="rIdA113Figure2" Type="http://schemas.openxmlformats.org/officeDocument/2006/relationships/image" Target="media/a113-native-performance.png"/><Relationship Id="rIdA113Figure3" Type="http://schemas.openxmlformats.org/officeDocument/2006/relationships/image" Target="media/a113-replay-efficiency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1EEFF8F8-817C-46C2-B7C0-7F1D2A20EB12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236</Words>
  <Characters>243</Characters>
  <Lines>3</Lines>
  <Paragraphs>1</Paragraphs>
  <TotalTime>24</TotalTime>
  <ScaleCrop>false</ScaleCrop>
  <LinksUpToDate>false</LinksUpToDate>
  <CharactersWithSpaces>309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2019-09-14T06:53:00Z</dcterms:created>
  <dc:creator/>
  <cp:lastModifiedBy/>
  <dcterms:modified xsi:type="dcterms:W3CDTF">2026-09-20T07:09:28Z</dcterms:modified>
  <dc:title/>
  <cp:revision>42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RubyTemplateID" linkTarget="0">
    <vt:lpwstr>6</vt:lpwstr>
  </property>
  <property fmtid="{D5CDD505-2E9C-101B-9397-08002B2CF9AE}" pid="3" name="KSOProductBuildVer">
    <vt:lpwstr>2052-12.1.0.28505</vt:lpwstr>
  </property>
  <property fmtid="{D5CDD505-2E9C-101B-9397-08002B2CF9AE}" pid="4" name="KSOTemplateDocerSaveRecord">
    <vt:lpwstr>eyJoZGlkIjoiNWQ5ZDQyNWExM2I5OGFkYzI5NTUwZWI3YjM5NzhlYzciLCJ1c2VySWQiOiIxNTUxNjk3NTg4In0=</vt:lpwstr>
  </property>
  <property fmtid="{D5CDD505-2E9C-101B-9397-08002B2CF9AE}" pid="5" name="ICV">
    <vt:lpwstr>3C07B40A024C48A48B1C0127491CFB76_12</vt:lpwstr>
  </property>
</Properties>
</file>