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A34B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作品编号：[系统编号待填写]</w:t>
      </w:r>
      <w:r>
        <w:rPr>
          <w:rFonts w:ascii="楷体_GB2312" w:hAnsi="Times New Roman" w:eastAsia="楷体_GB2312"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4584700</wp:posOffset>
            </wp:positionH>
            <wp:positionV relativeFrom="paragraph">
              <wp:posOffset>-90805</wp:posOffset>
            </wp:positionV>
            <wp:extent cx="1534795" cy="1163320"/>
            <wp:effectExtent l="0" t="0" r="8255" b="0"/>
            <wp:wrapSquare wrapText="bothSides"/>
            <wp:docPr id="2" name="图片 2" descr="D:\密码学会教育工作委员会\学会\学会图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密码学会教育工作委员会\学会\学会图标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楷体_GB2312" w:hAnsi="Times New Roman" w:eastAsia="楷体_GB2312"/>
          <w:bCs/>
          <w:sz w:val="28"/>
          <w:szCs w:val="28"/>
        </w:rPr>
        <w:t xml:space="preserve"/>
      </w: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w:t xml:space="preserve"/>
      </w:r>
      <w:r>
        <w:rPr>
          <w:rFonts w:hint="eastAsia" w:ascii="楷体_GB2312" w:hAnsi="Times New Roman" w:eastAsia="楷体_GB2312"/>
          <w:b/>
          <w:color w:val="FF0000"/>
          <w:sz w:val="28"/>
          <w:szCs w:val="28"/>
          <w:u w:val="single"/>
        </w:rPr>
        <w:t xml:space="preserve"/>
      </w:r>
      <w:r>
        <w:rPr>
          <w:rFonts w:hint="eastAsia" w:ascii="楷体_GB2312" w:hAnsi="Times New Roman" w:eastAsia="楷体_GB2312"/>
          <w:bCs/>
          <w:color w:val="FF0000"/>
          <w:sz w:val="28"/>
          <w:szCs w:val="28"/>
          <w:u w:val="single"/>
        </w:rPr>
        <w:t xml:space="preserve"/>
      </w: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w:t xml:space="preserve"/>
      </w:r>
    </w:p>
    <w:p w14:paraId="4ED5BDDA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4656AD64">
      <w:pPr>
        <w:widowControl/>
        <w:adjustRightInd w:val="0"/>
        <w:snapToGrid w:val="0"/>
        <w:spacing w:line="480" w:lineRule="exact"/>
        <w:rPr>
          <w:rFonts w:hint="eastAsia" w:ascii="宋体" w:hAnsi="宋体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作品类别： □软件设计   □硬件制作   ■工程实践</w:t>
      </w:r>
      <w:bookmarkStart w:id="0" w:name="OLE_LINK1"/>
      <w:bookmarkStart w:id="1" w:name="OLE_LINK2"/>
      <w:r>
        <w:rPr>
          <w:rFonts w:hint="eastAsia" w:ascii="楷体_GB2312" w:hAnsi="Times New Roman" w:eastAsia="楷体_GB2312"/>
          <w:bCs/>
          <w:sz w:val="28"/>
          <w:szCs w:val="28"/>
        </w:rPr>
        <w:t xml:space="preserve"/>
      </w:r>
      <w:bookmarkEnd w:id="0"/>
      <w:bookmarkEnd w:id="1"/>
      <w:r>
        <w:rPr>
          <w:rFonts w:hint="eastAsia" w:ascii="宋体" w:hAnsi="宋体"/>
        </w:rPr>
        <w:t xml:space="preserve"/>
      </w:r>
      <w:r>
        <w:rPr>
          <w:rFonts w:hint="eastAsia"/>
        </w:rPr>
        <w:t xml:space="preserve"/>
      </w:r>
      <w:r>
        <w:rPr>
          <w:rFonts w:hint="eastAsia" w:ascii="宋体" w:hAnsi="宋体"/>
        </w:rPr>
        <w:t xml:space="preserve"/>
      </w:r>
      <w:r>
        <w:rPr>
          <w:rFonts w:ascii="宋体" w:hAnsi="宋体"/>
        </w:rPr>
        <w:t xml:space="preserve"/>
      </w:r>
    </w:p>
    <w:p w14:paraId="1929CAAD">
      <w:pPr>
        <w:widowControl/>
        <w:adjustRightInd w:val="0"/>
        <w:snapToGrid w:val="0"/>
        <w:spacing w:line="480" w:lineRule="exact"/>
        <w:ind w:firstLine="1470" w:firstLineChars="700"/>
        <w:rPr>
          <w:rFonts w:hint="eastAsia" w:ascii="宋体" w:hAnsi="宋体"/>
        </w:rPr>
      </w:pPr>
      <w:r>
        <w:rPr>
          <w:rFonts w:hint="eastAsia" w:ascii="宋体" w:hAnsi="宋体"/>
        </w:rPr>
        <w:t>□密码应用技术  □其它</w:t>
      </w:r>
    </w:p>
    <w:p w14:paraId="1B6B0FE6">
      <w:pPr>
        <w:widowControl/>
        <w:adjustRightInd w:val="0"/>
        <w:snapToGrid w:val="0"/>
        <w:spacing w:line="480" w:lineRule="exact"/>
        <w:ind w:firstLine="1470" w:firstLineChars="700"/>
        <w:rPr>
          <w:rFonts w:hint="eastAsia" w:ascii="宋体" w:hAnsi="宋体"/>
        </w:rPr>
      </w:pPr>
    </w:p>
    <w:p w14:paraId="78E13ED1">
      <w:pPr>
        <w:widowControl/>
        <w:adjustRightInd w:val="0"/>
        <w:snapToGrid w:val="0"/>
        <w:spacing w:line="480" w:lineRule="exact"/>
        <w:rPr>
          <w:rFonts w:hint="eastAsia" w:ascii="宋体" w:hAnsi="宋体"/>
        </w:rPr>
      </w:pPr>
    </w:p>
    <w:p w14:paraId="7433C3F8">
      <w:pPr>
        <w:widowControl/>
        <w:adjustRightInd w:val="0"/>
        <w:snapToGrid w:val="0"/>
        <w:jc w:val="right"/>
        <w:rPr>
          <w:rFonts w:ascii="楷体_GB2312" w:hAnsi="Times New Roman" w:eastAsia="楷体_GB2312"/>
          <w:bCs/>
          <w:sz w:val="28"/>
          <w:szCs w:val="28"/>
        </w:rPr>
      </w:pPr>
    </w:p>
    <w:p w14:paraId="00F1FE9A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0519D025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bookmarkStart w:id="2" w:name="_GoBack"/>
      <w:bookmarkEnd w:id="2"/>
    </w:p>
    <w:p w14:paraId="4A52C4E0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6457B05F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/>
          <w:bCs/>
          <w:sz w:val="36"/>
          <w:szCs w:val="36"/>
        </w:rPr>
      </w:pPr>
      <w:r>
        <w:rPr>
          <w:rFonts w:ascii="楷体_GB2312" w:hAnsi="Times New Roman" w:eastAsia="楷体_GB2312"/>
          <w:b/>
          <w:bCs/>
          <w:sz w:val="36"/>
          <w:szCs w:val="36"/>
        </w:rPr>
        <w:t>202</w:t>
      </w:r>
      <w:r>
        <w:rPr>
          <w:rFonts w:hint="eastAsia" w:ascii="楷体_GB2312" w:hAnsi="Times New Roman" w:eastAsia="楷体_GB2312"/>
          <w:b/>
          <w:bCs/>
          <w:sz w:val="36"/>
          <w:szCs w:val="36"/>
          <w:lang w:val="en-US" w:eastAsia="zh-CN"/>
        </w:rPr>
        <w:t>6</w:t>
      </w:r>
      <w:r>
        <w:rPr>
          <w:rFonts w:hint="eastAsia" w:ascii="楷体_GB2312" w:hAnsi="Times New Roman" w:eastAsia="楷体_GB2312"/>
          <w:b/>
          <w:bCs/>
          <w:sz w:val="36"/>
          <w:szCs w:val="36"/>
        </w:rPr>
        <w:t>年第十</w:t>
      </w:r>
      <w:r>
        <w:rPr>
          <w:rFonts w:hint="eastAsia" w:ascii="楷体_GB2312" w:hAnsi="Times New Roman" w:eastAsia="楷体_GB2312"/>
          <w:b/>
          <w:bCs/>
          <w:sz w:val="36"/>
          <w:szCs w:val="36"/>
          <w:lang w:val="en-US" w:eastAsia="zh-CN"/>
        </w:rPr>
        <w:t>一</w:t>
      </w:r>
      <w:r>
        <w:rPr>
          <w:rFonts w:hint="eastAsia" w:ascii="楷体_GB2312" w:hAnsi="Times New Roman" w:eastAsia="楷体_GB2312"/>
          <w:b/>
          <w:bCs/>
          <w:sz w:val="36"/>
          <w:szCs w:val="36"/>
        </w:rPr>
        <w:t>届全国密码技术竞赛作品设计报告</w:t>
      </w:r>
    </w:p>
    <w:p w14:paraId="1316150A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2.45pt;margin-top:16.85pt;height:2.7pt;width:385.8pt;z-index:251659264;mso-width-relative:page;mso-height-relative:page;" filled="f" stroked="t" coordsize="21600,21600" o:gfxdata="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BC8vj1QAAAAgBAAAPAAAAAAAAAAEAIAAAACIAAABkcnMvZG93bnJldi54bWxQ&#10;SwECFAAUAAAACACHTuJAsRge9PoBAADiAwAADgAAAAAAAAABACAAAAAkAQAAZHJzL2Uyb0RvYy54&#10;bWxQSwUGAAAAAAYABgBZAQAAkAUAAAAA&#10;">
                <v:fill on="f" focussize="0,0"/>
                <v:stroke weight="3pt"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131E305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01DF0E1D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0D429881">
      <w:pPr>
        <w:widowControl/>
        <w:adjustRightInd w:val="0"/>
        <w:snapToGrid w:val="0"/>
        <w:spacing w:line="700" w:lineRule="exact"/>
        <w:ind w:firstLine="1680" w:firstLineChars="600"/>
        <w:rPr>
          <w:rFonts w:hint="eastAsia" w:ascii="华文中宋" w:hAnsi="华文中宋" w:eastAsia="华文中宋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作品题目：</w:t>
      </w:r>
      <w:r>
        <w:rPr>
          <w:rFonts w:hint="eastAsia" w:ascii="华文中宋" w:hAnsi="华文中宋" w:eastAsia="华文中宋"/>
          <w:bCs/>
          <w:sz w:val="28"/>
          <w:szCs w:val="28"/>
          <w:u w:val="single"/>
        </w:rPr>
        <w:t>ML-KEM 解封装实现的时间侧信道检测与常数时间防护（暂定题名）</w:t>
      </w:r>
    </w:p>
    <w:p w14:paraId="4EE13EFD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323A5D9B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0A15B53C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7DD67DF5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28AB24E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48B47AE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4EDCC657">
      <w:pPr>
        <w:widowControl/>
        <w:adjustRightInd w:val="0"/>
        <w:snapToGrid w:val="0"/>
        <w:spacing w:line="600" w:lineRule="exact"/>
        <w:ind w:firstLine="560" w:firstLineChars="200"/>
        <w:jc w:val="center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2026 年 10 月 7 日</w:t>
      </w:r>
    </w:p>
    <w:p w14:paraId="06B1D532">
      <w:pPr>
        <w:widowControl/>
        <w:adjustRightInd w:val="0"/>
        <w:snapToGrid w:val="0"/>
        <w:spacing w:line="600" w:lineRule="exact"/>
        <w:ind w:firstLine="560" w:firstLineChars="200"/>
        <w:jc w:val="center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中国密码学会</w:t>
      </w:r>
    </w:p>
    <w:p w14:paraId="6F4C8D9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  <w:sectPr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tbl>
      <w:tblPr>
        <w:tblStyle w:val="7"/>
        <w:tblW w:w="891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3"/>
      </w:tblGrid>
      <w:tr w14:paraId="01250D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6E1D7EA">
            <w:pPr>
              <w:jc w:val="center"/>
              <w:rPr>
                <w:sz w:val="24"/>
              </w:rPr>
            </w:pPr>
            <w:r>
              <w:rPr>
                <w:rFonts w:hint="eastAsia"/>
                <w:spacing w:val="-8"/>
                <w:sz w:val="30"/>
              </w:rPr>
              <w:t xml:space="preserve">基本信息表</w:t>
            </w:r>
          </w:p>
        </w:tc>
      </w:tr>
      <w:tr w14:paraId="05860E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5721B18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 xml:space="preserve">编号：[系统编号待填写]</w:t>
            </w:r>
          </w:p>
        </w:tc>
      </w:tr>
      <w:tr w14:paraId="729235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2F0FFCE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 xml:space="preserve">作品题目：ML-KEM 解封装实现的时间侧信道检测与常数时间防护（暂定题名）</w:t>
            </w:r>
          </w:p>
        </w:tc>
      </w:tr>
      <w:tr w14:paraId="4CC362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6E18E984">
            <w:pPr>
              <w:adjustRightInd w:val="0"/>
              <w:snapToGrid w:val="0"/>
              <w:spacing w:line="360" w:lineRule="auto"/>
              <w:ind w:left="1500" w:hanging="1500" w:hangingChars="500"/>
              <w:jc w:val="left"/>
              <w:rPr>
                <w:snapToGrid w:val="0"/>
                <w:sz w:val="24"/>
              </w:rPr>
            </w:pPr>
            <w:r>
              <w:rPr>
                <w:rFonts w:hint="eastAsia"/>
                <w:snapToGrid w:val="0"/>
                <w:sz w:val="30"/>
                <w:szCs w:val="30"/>
              </w:rPr>
              <w:t>作品类别：</w:t>
            </w:r>
            <w:r>
              <w:rPr>
                <w:rFonts w:hint="eastAsia" w:ascii="宋体" w:hAnsi="宋体"/>
              </w:rPr>
              <w:t>□软件设计   □</w:t>
            </w:r>
            <w:r>
              <w:rPr>
                <w:rFonts w:hint="eastAsia"/>
              </w:rPr>
              <w:t xml:space="preserve">硬件制作   </w:t>
            </w:r>
            <w:r>
              <w:rPr>
                <w:rFonts w:hint="eastAsia" w:ascii="宋体" w:hAnsi="宋体"/>
              </w:rPr>
              <w:t xml:space="preserve">■工程实践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□密码技术应用  □其它</w:t>
            </w:r>
          </w:p>
        </w:tc>
      </w:tr>
      <w:tr w14:paraId="4B036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5" w:hRule="atLeast"/>
          <w:jc w:val="center"/>
        </w:trPr>
        <w:tc>
          <w:tcPr>
            <w:tcW w:w="8913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EA73BA4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作品内容摘要：</w:t>
            </w:r>
          </w:p>
          <w:p w14:paraId="7EA73BA4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本作品构建C11本地审计与复算工程，接入固定ML-KEM-768便携C实现，用独立NIST向量、接口边界及版本等价验证功能。普通采集在完整解封装窗口内计时，保留逐次记录、公开输入流摘要、源码与产物身份。历史人工分支回归关联源码、机器码、名义统计与掩码对照，明确其教学审计边界。在真实4vCPU KVM/x86_64 Linux取得普通参考及三种编码无分支形态的实现的性能数据；在8个固定无秘密任务上，C与SciPy精确复算结果一致，完整进程墙钟比值中位数0.001389。作品提供统一入口、离线展示与干净复算。新受控防护时序闭环及非原作者执行仍缺，不把未检出、功能通过或复算更快解释为安全认证。</w:t>
            </w:r>
          </w:p>
        </w:tc>
      </w:tr>
      <w:tr w14:paraId="449FB0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7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D556087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关键词（五个）：ML-KEM；时间侧信道；常数时间；证据资格；可复现性</w:t>
            </w:r>
          </w:p>
        </w:tc>
      </w:tr>
    </w:tbl>
    <w:p w14:paraId="3D5215B6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1117BCC3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134" w:right="1134" w:bottom="1134" w:left="1134" w:header="851" w:footer="992" w:gutter="0"/>
          <w:pgNumType w:start="1"/>
          <w:cols w:space="425" w:num="1"/>
          <w:docGrid w:type="lines" w:linePitch="312" w:charSpace="0"/>
        </w:sectPr>
      </w:pP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1.作品功能与性能说明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本作品处理ML-KEM软件解封装审计中常见的证据脱节：只有时间差而缺少对象身份，只有源码改造而缺少实际产物，或者把未检出与安全认证混为一谈。工程将功能、测量、分析、定位、防护和复现分为可核验步骤，使使用者能够判断一份结果支持到哪一层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可运行对象固定为ML-KEM-768；核心算法封装、随机源、输入生成、计时、统计与运行校验为C11。CMake/CTest是唯一构建测试来源。audit入口提供环境及源身份、功能检查、普通采集、描述分析、条件化成对分析、历史复算和离线HTML导出。没有远程服务或密钥恢复功能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当前成果包括独立功能证据、真实x86_64 Linux普通记录、历史人工机制防御案例及有限精确复算效率增量。正式批次比较在准备失败处停止，未执行K4/K16开发或20对确认。工程可用与竞赛所有要求达标是不同状态；后续章节保留尚未闭合的要求。</w:t>
      </w: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2.设计与实现方案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2.1 实现原理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ML-KEM库采用mlkem-native便携C后端的固定快照，完整提交见来源[2]，标准口径为2024年FIPS 203。公钥1184字节、私钥2400字节、密文1088字节、共享密钥32字节。上游源码和许可证原样保留；向量正确不代表FIPS模块认证。[1][2]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封装层首先检查指针和精确长度，避免短缓冲区进入固定长度内核。正确长度的无效密文继续走隐式拒绝，不向CLI暴露重加密验证标志。系统随机源失败向调用方传播；公开种子的确定性入口限实验夹具，不用于保护业务密钥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普通输入为valid、bit-flipped、random三类，比例1:1:1，全部长度1088字节。标签来自生成规则，不来自内部接受标志。输入生成、分配、结果消费及I/O位于计时窗口外，窗口内覆盖完整包装层与内核解封装。数据保存原始顺序，公开种子固定类别乱序，不删除普通长尾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程序记录时钟、单位、读钟及空窗自检、运行完成声明、实际可执行文件SHA3-256、源身份和编译条件。统一入口仅在数据结构和完成声明通过后导出描述页面；HTML完成写入后独占发布，失败产物保留为部分输出。默认使用归档机制案例，不构建旧主动机制计时入口。</w:t>
      </w:r>
    </w:p>
    <w:p>
      <w:pPr>
        <w:jc w:val="center"/>
        <w:keepNext/>
      </w:pPr>
      <w:r xmlns:a="http://schemas.openxmlformats.org/drawingml/2006/main" xmlns:pic="http://schemas.openxmlformats.org/drawingml/2006/picture">
        <w:drawing>
          <wp:inline distT="0" distB="0" distL="0" distR="0">
            <wp:extent cx="5486400" cy="3086100"/>
            <wp:docPr id="101" name="architecture" descr="图1 软件流程。实时普通记录、历史重分析和合成统计分别留证。"/>
            <wp:cNvGraphicFramePr/>
            <a:graphic>
              <a:graphicData uri="http://schemas.openxmlformats.org/drawingml/2006/picture">
                <pic:pic>
                  <pic:nvPicPr>
                    <pic:cNvPr id="101" name="architecture"/>
                    <pic:cNvPicPr/>
                  </pic:nvPicPr>
                  <pic:blipFill>
                    <a:blip r:embed="rIdA113Figur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图1 软件流程。实时普通记录、历史重分析和合成统计分别留证。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2.2运行结果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原生目标环境为Ubuntu 24.04.4、Linux 6.8.0-138、x86_64/KVM、4个vCPU，CPU型号字符串为AMD EPYC 9K65 192-Core Processor。192-Core是型号字符串，不是实例资源。正式普通产物为GCC 13.3.0、RelWithDebInfo、-O2 -g -DNDEBUG、无LTO及非sanitizer，外部taskset绑定CPU2。宿主频率、物理资源和调度无法由来宾控制。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前置参考三次各3000条，共9000条完整记录，均值分别47075.037、46237.526、46121.981ns。CLOCK_MONOTONIC报告分辨率1ns，观察最小正读钟增量19ns；表示单位和报告分辨率不能替代实际精度。每次保存10000个读钟增量及1000个空窗值，未扣开销。源、产物与数据见证据E01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统一入口已完成参考短采集并导出真实页面；短演示仅证明流程，不替代正式样本。历史20份五种子四版本数据生成40份报告，与归档逐字一致，未重新采集。功能、历史重分析及实时普通记录分别展示，避免把封存材料伪装成现场实验。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2.3技术指标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接口以1088字节正确长度密文作为普通测量负载；每次固定100次预热。逐次CSV含运行、实现、类别、序号、纳秒值和单位；配套元数据保留源与产物身份。描述分位数按floor(p×(n−1)+0.5)零基下标，不插值。旧报告“nearest rank”名称不准确，但数值和历史兼容输出不改。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新的条件化分析限4—20个成对单位、相同调用数和有界整数时间差。令d_k为对内总耗时差，T为差值和的绝对值，枚举全部2^m种标签交换，上尾包含等值，alpha固定0.01。独立对内交换及无后效条件不足时输出证据不足；效应区间另需成对单位iid。程序资格声明不是外部独立审计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这是既有精确随机化方法的工程实现，并未首次提出。C11利用相邻交换状态更新整数和，避免浮点近似移动等值边界；独立手算及SciPy核对验证实现。真实参考后赋独立标签属于无秘密零效应控制，合成偏移属于统计夹具，不能写成密码泄露。</w:t>
      </w: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3.系统测试与结果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3.1测试方案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测试分为功能与接口、记录与来源、统计正确性、失败传播、产物核对及作者复算。独立NIST向量提供预期答案，不由被测实现自产。源码和编译条件改变后，对受影响产物重建并执行必要检查；动态检查与正式测量分目录、分时执行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正常构建覆盖四版KAT、随机源失败、功能等价、CLI、向量及摘要、记录与数据资格、配对数学和预算失败、统计手算、工作流及源码导出。普通性能固定S02执行31项；后续只读复算S03增加到32项。有限模型校准S04新增卷积手算检查，原生固定源码的GCC普通与Clang动态各33项通过。各快照按其实际注册与执行解释，旧主动机制计时不在默认交付范围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参数、方法、成本边界与有限数据集合在观察确认结果前冻结。开发和确认分开；原始负结果、失败准备和未闭合成本保留，不换种子、改阈值或重开预算得到通过。软件夹具时间不进入真实平台性能结果。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3.2 功能测试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每版独立KAT覆盖25组KeyGen、25组Encaps、10组Decaps及20组密钥校验，解封装包含5组隐式拒绝。四版共320组独立用例；接口检查包括空指针及错误长度。三组对参考版的差分各覆盖64个公开种子和三类输入，拒绝样本另核对J(z∥c)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Apple M5/ARM64实现源的普通及ASan/UBSan检查通过。Linux普通测量固定S02在GCC及Clang动态各执行31项，后续只读验收32项；有限模型校准固定S04两种构建各33项。此前GCC sanitizer在既有人工补丁的符号转换警告处失败，原日志保留，没有关闭警告或修改封存补丁。动态检查不冒充正式性能产物。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统计正确性包含4个相同差的精确尾计数2/16、零总和16/16、全并列、整数边界、畸形数据及计划拒绝、覆盖拒绝和依赖资格不足。源码导出按清单验证，不含.git；构建身份明确为导出摘要，兼容字段不冒称Git提交。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3.3 性能测试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普通性能在同一Linux目标、固定源码S02和6个运行块执行。每块三种编码无分支形态的实现分别3000正式及100预热，六种方法排列全部出现；三种实现共享该块公开种子、有序输入流和负载比例。18个完整运行，共54000条正式记录、1800次预热；采集过程中不并行安装、编译或其他测量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逐次数据支持单次P50/P90/P99；每运行均值独立保留，不池化成同样数量的独立任务。相对参考，hardened均值差101.959ns、相对开销0.220522%，探索性99%成对bootstrap区间−3.725至189.399ns；deployable差−30.101ns、开销−0.065103%，区间−240.918至193.997ns。区间均跨零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6个运行对的iid条件在KVM上未得到证明，bootstrap区间仅是该模型下的探索描述，不保证总体覆盖，也不作防护效果判定。hardened保留函数级O0控制，reference/deployable正常优化，比较同时包含优化和代码形态差异；不能把速度差完全归于安全防护。负开销允许存在，不能据此声称更安全。</w:t>
      </w:r>
    </w:p>
    <w:p>
      <w:pPr>
        <w:jc w:val="center"/>
        <w:keepNext/>
      </w:pPr>
      <w:r xmlns:a="http://schemas.openxmlformats.org/drawingml/2006/main" xmlns:pic="http://schemas.openxmlformats.org/drawingml/2006/picture">
        <w:drawing>
          <wp:inline distT="0" distB="0" distL="0" distR="0">
            <wp:extent cx="5486400" cy="3086100"/>
            <wp:docPr id="102" name="native-performance" descr="图2 全部18个普通运行均值。单位换算为微秒；非单次记录或总体置信区间，长尾及分位数见表1和原始数据。"/>
            <wp:cNvGraphicFramePr/>
            <a:graphic>
              <a:graphicData uri="http://schemas.openxmlformats.org/drawingml/2006/picture">
                <pic:pic>
                  <pic:nvPicPr>
                    <pic:cNvPr id="102" name="native-performance"/>
                    <pic:cNvPicPr/>
                  </pic:nvPicPr>
                  <pic:blipFill>
                    <a:blip r:embed="rIdA113Figur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图2 全部18个普通运行均值。单位换算为微秒；非单次记录或总体置信区间，长尾及分位数见表1和原始数据。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keepNext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表1 原生普通运行的逐次分位数  单位ns  每运行3000条</w:t>
      </w:r>
    </w:p>
    <w:tbl>
      <w:tblPr>
        <w:tblW w:w="9638" w:type="dxa"/>
        <w:tblBorders>
          <w:top w:val="single" w:sz="4" w:color="8899A5"/>
          <w:left w:val="single" w:sz="4" w:color="8899A5"/>
          <w:bottom w:val="single" w:sz="4" w:color="8899A5"/>
          <w:right w:val="single" w:sz="4" w:color="8899A5"/>
          <w:insideH w:val="single" w:sz="4" w:color="8899A5"/>
          <w:insideV w:val="single" w:sz="4" w:color="8899A5"/>
        </w:tblBorders>
      </w:tblPr>
      <w:tblGrid>
        <w:gridCol w:w="1100"/>
        <w:gridCol w:w="2050"/>
        <w:gridCol w:w="1850"/>
        <w:gridCol w:w="1546"/>
        <w:gridCol w:w="1546"/>
        <w:gridCol w:w="1546"/>
      </w:tblGrid>
      <w:tr>
        <w:trPr>
          <w:tblHeader/>
        </w:trP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运行块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实现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均值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P50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P90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P99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46193.517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45720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54699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46148.423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45908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46058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50968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45925.623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45688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50667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2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46407.084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45538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48678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60098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2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46383.034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56419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2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46102.585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45578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45808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56459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3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46206.193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45688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55897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3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46350.749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45808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56530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3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46209.969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45689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45909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56238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46267.377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45950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56348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46480.338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46169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56799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46621.075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45779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47489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60619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46261.240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45719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45950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56279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46401.231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56408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46241.867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45718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45938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56498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46077.670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45540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45879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56389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46261.061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45719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56549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46131.357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45579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56479</w:t>
            </w:r>
          </w:p>
        </w:tc>
      </w:tr>
    </w:tbl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表1来源：E02/performance.report及同名CSV/meta；原始长尾完整保留。区间见正文，属于运行级条件描述。</w:t>
      </w: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3.4 测试数据与结果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历史人工回归在重加密所用消息编码中引入秘密相关分支。消息来自私钥参与的解密，源依赖与实际编译产物可以对应。hardened在相同优化控制下改用掩码，保持密码语义；deployable是正常优化下的编码形态对照。上游目标函数本来无分支，二者不是对上游新漏洞的修复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既有ARM64五种子四版本档案中，H1全零对全一主比较在预定1e−4阈值仅4/5显著；H2恒定组对变化组在1e−3阈值，人工回归5/5显著、reference/deployable各5/5未检出、hardened有1/5显著残差。两轮假设和阈值不同；固定消息组仅两个密文反复测量，名义p值不校正序列依赖。既有强措辞以统计审计限制为准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有限批次路线首次原生准备在GCC结构体初始化编译错误处停止，保留40000共同调用/3600秒未闭合预留。K4/K16开发、选择及20对确认未执行，没有稳定性收益或成本比值。后续可移植性修复和普通验收不能回填成该合同成功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统计主方向尚无超越正确配置dudect或RTLF的依据。dudect是自适应Welch检验族，RTLF理论涉及iid及有限方差，不能把既有相依记录误用造成的失败当胜利。[3][4] 备用方向采用SciPy1.16.3/NumPy2.3.5的精确成对交换、向量化、batch4096，与C使用相同20对整数数据、完整2^20分母、上尾含等值及同一检验统计量。[5]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开发2份固定文件、12次进程只用于兼容与选择；确认采用8份新冻结无秘密任务，每方法每份3次，共48次完整进程，精确尾计数及判定全部一致，原始CSV未变。每份最大C耗时均小于最小SciPy耗时，24个比值中位数0.001388504，范围0.001139408—0.001734854。SciPy总进程56.401718秒，C为0.080189秒；确认观察窗口56.487808秒，开发14.048571秒，均在固定总预算内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这支持限定任务的完整进程复算效率增量，启动、读取、统计和输出均计入；Python导入也计入基线。它不说明密码解封装加速、纯计算内核速度、误报率、检出率或密码安全性提高。8个固定任务不代表密码总体，未给总体速度置信区间。此前接口验证和研发完整墙钟未采集，不宣称全研发成本闭合。</w:t>
      </w:r>
    </w:p>
    <w:p>
      <w:pPr>
        <w:jc w:val="center"/>
        <w:keepNext/>
      </w:pPr>
      <w:r xmlns:a="http://schemas.openxmlformats.org/drawingml/2006/main" xmlns:pic="http://schemas.openxmlformats.org/drawingml/2006/picture">
        <w:drawing>
          <wp:inline distT="0" distB="0" distL="0" distR="0">
            <wp:extent cx="5486400" cy="3086100"/>
            <wp:docPr id="103" name="replay-efficiency" descr="图3 固定确认轮24个进程各自的成本合计。源为C观察报告；导入与启动计入SciPy，未作纯内核性能或密码安全声明。"/>
            <wp:cNvGraphicFramePr/>
            <a:graphic>
              <a:graphicData uri="http://schemas.openxmlformats.org/drawingml/2006/picture">
                <pic:pic>
                  <pic:nvPicPr>
                    <pic:cNvPr id="103" name="replay-efficiency"/>
                    <pic:cNvPicPr/>
                  </pic:nvPicPr>
                  <pic:blipFill>
                    <a:blip r:embed="rIdA113Figure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图3 每种方法24个完整进程的成本合计，采用对数刻度。源为C观察报告；导入与启动计入SciPy，不作纯内核性能或密码安全声明。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keepNext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表2 有限效率确认  完整精确检验判定逐项一致</w:t>
      </w:r>
    </w:p>
    <w:tbl>
      <w:tblPr>
        <w:tblW w:w="9638" w:type="dxa"/>
        <w:tblBorders>
          <w:top w:val="single" w:sz="4" w:color="8899A5"/>
          <w:left w:val="single" w:sz="4" w:color="8899A5"/>
          <w:bottom w:val="single" w:sz="4" w:color="8899A5"/>
          <w:right w:val="single" w:sz="4" w:color="8899A5"/>
          <w:insideH w:val="single" w:sz="4" w:color="8899A5"/>
          <w:insideV w:val="single" w:sz="4" w:color="8899A5"/>
        </w:tblBorders>
      </w:tblPr>
      <w:tr>
        <w:trPr>
          <w:tblHeader/>
        </w:trP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项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结果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固定确认任务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8份新冻结文件，各20对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实际完整进程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48次，退出码全部0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比值中位数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0.001388504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比值范围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0.001139408—0.001734854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原始身份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CSV及冻结计划未修改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支持范围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限定完整进程复算效率</w:t>
            </w:r>
          </w:p>
        </w:tc>
      </w:tr>
    </w:tbl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3.5 有限模型统计校准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在观察结果前固定12个成对单位。equal每对幅度为1，graded依次为1至12；差值为delta加正负幅度，五个效应值见表3。独立模型的全部4096种符号组合等概率；共同符号模型各仅两种结果。共40964份数据由C生成和验证，单位为合成ns，不是密码采集时间；没有新的ML-KEM解封装调用，不把模型当真实密码噪声分布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每份数据分别用现有精确入口和另行实现的整数分布卷积核对，40964份尾计数全部一致；44份预先选定的SciPy审计也一致。独立零效应的误拒绝概率为26/4096和38/4096，均低于alpha=0.01；equal的结果与二项式手算吻合。表3保留全部效应结果，graded在效应4时仍只有353/4096检出；equal在效应1时的一份全零数据保留在分母中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共同符号模型虽然均值为零，盲用独立交换规则时每个模型都是2/2拒绝；实际成对入口对四份依赖数据均返回证据不足。拒绝签收不等于把误报降至零。该补证支持固定有限模型的错误、检出和资格边界，未校准真实密码总体或真实序列依赖，不提供超越正确配置dudect/RTLF的检测证据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keepNext/>
      </w:pPr>
      <w:r>
        <w:rPr>
          <w:rFonts w:hint="eastAsia" w:ascii="楷体_GB2312" w:hAnsi="Times New Roman" w:eastAsia="楷体_GB2312"/>
          <w:bCs/>
          <w:sz w:val="28"/>
          <w:szCs w:val="28"/>
        </w:rPr>
        <w:t>表3 固定有限模型的原始拒绝数  每个独立模型4096种结果</w:t>
      </w:r>
    </w:p>
    <w:tbl>
      <w:tblPr>
        <w:tblW w:w="9638" w:type="dxa"/>
        <w:tblBorders>
          <w:top w:val="single" w:sz="4" w:color="8899A5"/>
          <w:left w:val="single" w:sz="4" w:color="8899A5"/>
          <w:bottom w:val="single" w:sz="4" w:color="8899A5"/>
          <w:right w:val="single" w:sz="4" w:color="8899A5"/>
          <w:insideH w:val="single" w:sz="4" w:color="8899A5"/>
          <w:insideV w:val="single" w:sz="4" w:color="8899A5"/>
        </w:tblBorders>
      </w:tblPr>
      <w:tr>
        <w:trPr>
          <w:tblHeader/>
        </w:trP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效应delta（合成ns）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equal拒绝数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graded拒绝数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26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38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1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794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48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2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91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353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12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</w:tr>
    </w:tbl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表3来源：C02有限模型原始记录及C报告；效应0为模型内误拒绝，其余为该模型检出，不估计真实密码总体概率。</w:t>
      </w: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4.应用前景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作品可作为本地密码实现审计教学及工程复核工具。开发者可以先确认功能和接口，再保存普通运行的完整记录；使用者可从指定文件重分析，核对方法、源身份和限制，减少“只有一个p值”或“只看源码分支”的错误判断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适用范围是单机ML-KEM-768便携C实现、本地运行与离线复算。未来需要团队在批准的防御测试计划下取得新的受控防护前后数据、进行必要的因果分离，并由实际未参与实现的成员独立执行。云宿主控制不足、其他处理器、优化条件或网络环境的变化都需要新的身份和证据，不能用现有数字外推。</w:t>
      </w: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5. 结论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作品已形成可运行的C11工程、统一使用入口、真实原生普通测量、历史防御案例档案、无秘密精确统计验证、限定强对照效率结果及原始数据复算材料。功能正确、记录完整、有限复算效率和密码安全是四类不同结论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演示的实际界面截图因工具本地文件访问策略受限，未取得；离线页面和真实程序日志已提供，截图需团队手工完成。未闭合项仍包括新受控防护时序闭环、历史差异的完整因果分离、运行独立性校准和真实非原作者执行。新平台普通性能与静态产物核验不能替代这些证据。作品编号、正式题名、实际分工、签字、意见和盖章由团队真实填写及完成；本报告不宣称已经正式提交或全部要求达标。</w:t>
      </w: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6 来源与复现材料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[1] NIST. Module-Lattice-Based Key-Encapsulation Mechanism Standard. FIPS 203, 2024. https://csrc.nist.gov/pubs/fips/203/final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[2] pq-code-package. mlkem-native. 固定b3ba7b32773e657dd37f6f87bce82528459ad8a4；许可证见源码原件。https://github.com/pq-code-package/mlkem-native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[3] Reparaz O, Balasch J, Verbauwhede I. Dude, is my code constant time? DATE 2017；dudect固定dc269651fb2567e46755cfb2a13d3875592968b5。https://github.com/oreparaz/dudect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[4] Dunsche M, et al. With Great Power Come Great Side Channels: Statistical Timing Side-Channel Analyses with Bounded Type-1 Errors. USENIX Security 2024；已核对官方勘误。https://www.usenix.org/conference/usenixsecurity24/presentation/dunsche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[5] SciPy. permutation_test官方定义；对照实际版本SciPy1.16.3/NumPy2.3.5。https://docs.scipy.org/doc/scipy/reference/generated/scipy.stats.permutation_test.html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[6] clangover机制出处固定7f4d5dc162b77c362a34a0d52949f7a3e1b16d81，原对象是旧Kyber，不能冒称FIPS 203。https://github.com/antoonpurnal/clangover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证据：E01参考前置，E02普通性能，H01历史审计，C01复算效率，C02有限模型校准，R01作者复现。原CSV字节不变，元数据角色转换另有摘要。重建命令见支撑包source/README.md，非原作者须保留实际日志并本人签收。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14236616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212440BD">
        <w:pPr>
          <w:pStyle w:val="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00957">
    <w:pPr>
      <w:pStyle w:val="6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B4D"/>
    <w:rsid w:val="0001769F"/>
    <w:rsid w:val="00035012"/>
    <w:rsid w:val="00075049"/>
    <w:rsid w:val="00090885"/>
    <w:rsid w:val="00146555"/>
    <w:rsid w:val="00161B1B"/>
    <w:rsid w:val="00175070"/>
    <w:rsid w:val="00186455"/>
    <w:rsid w:val="00191B02"/>
    <w:rsid w:val="001A47C8"/>
    <w:rsid w:val="001B1DB6"/>
    <w:rsid w:val="001C1D17"/>
    <w:rsid w:val="001C6D92"/>
    <w:rsid w:val="001D3664"/>
    <w:rsid w:val="001E1D13"/>
    <w:rsid w:val="0022689B"/>
    <w:rsid w:val="00256BB7"/>
    <w:rsid w:val="002774FA"/>
    <w:rsid w:val="002822D8"/>
    <w:rsid w:val="002845D6"/>
    <w:rsid w:val="002A4EA5"/>
    <w:rsid w:val="003141E7"/>
    <w:rsid w:val="00332691"/>
    <w:rsid w:val="0034273A"/>
    <w:rsid w:val="0039611F"/>
    <w:rsid w:val="00425721"/>
    <w:rsid w:val="00432817"/>
    <w:rsid w:val="00434101"/>
    <w:rsid w:val="0043470B"/>
    <w:rsid w:val="00466388"/>
    <w:rsid w:val="004F4C94"/>
    <w:rsid w:val="00513A12"/>
    <w:rsid w:val="00517279"/>
    <w:rsid w:val="00547813"/>
    <w:rsid w:val="00554F5D"/>
    <w:rsid w:val="0057300D"/>
    <w:rsid w:val="00574703"/>
    <w:rsid w:val="005822FE"/>
    <w:rsid w:val="0059419A"/>
    <w:rsid w:val="005F7A30"/>
    <w:rsid w:val="00611E07"/>
    <w:rsid w:val="00621AF2"/>
    <w:rsid w:val="00631E26"/>
    <w:rsid w:val="0063657D"/>
    <w:rsid w:val="00664B42"/>
    <w:rsid w:val="0067271A"/>
    <w:rsid w:val="00677002"/>
    <w:rsid w:val="00687301"/>
    <w:rsid w:val="006D30A0"/>
    <w:rsid w:val="006D3B4D"/>
    <w:rsid w:val="006F3184"/>
    <w:rsid w:val="00731E6B"/>
    <w:rsid w:val="00747B59"/>
    <w:rsid w:val="00766607"/>
    <w:rsid w:val="0077465F"/>
    <w:rsid w:val="007817EC"/>
    <w:rsid w:val="007D255F"/>
    <w:rsid w:val="007E6BB3"/>
    <w:rsid w:val="008201D9"/>
    <w:rsid w:val="00830906"/>
    <w:rsid w:val="00845996"/>
    <w:rsid w:val="00847781"/>
    <w:rsid w:val="00863E71"/>
    <w:rsid w:val="008F5F36"/>
    <w:rsid w:val="00903383"/>
    <w:rsid w:val="00934DCF"/>
    <w:rsid w:val="00946FD5"/>
    <w:rsid w:val="009733E4"/>
    <w:rsid w:val="009943D4"/>
    <w:rsid w:val="009A03F1"/>
    <w:rsid w:val="009F6678"/>
    <w:rsid w:val="00A2005F"/>
    <w:rsid w:val="00A21582"/>
    <w:rsid w:val="00A40871"/>
    <w:rsid w:val="00A41124"/>
    <w:rsid w:val="00AA005E"/>
    <w:rsid w:val="00AB58A4"/>
    <w:rsid w:val="00AD1EA7"/>
    <w:rsid w:val="00AF2C1B"/>
    <w:rsid w:val="00AF71EF"/>
    <w:rsid w:val="00AF784B"/>
    <w:rsid w:val="00AF7905"/>
    <w:rsid w:val="00B15194"/>
    <w:rsid w:val="00B40659"/>
    <w:rsid w:val="00B64376"/>
    <w:rsid w:val="00B711FB"/>
    <w:rsid w:val="00B938E4"/>
    <w:rsid w:val="00BC477C"/>
    <w:rsid w:val="00BC5F07"/>
    <w:rsid w:val="00BD2BD8"/>
    <w:rsid w:val="00C15503"/>
    <w:rsid w:val="00C22111"/>
    <w:rsid w:val="00C30983"/>
    <w:rsid w:val="00C33189"/>
    <w:rsid w:val="00C649BD"/>
    <w:rsid w:val="00CB56D2"/>
    <w:rsid w:val="00CC465B"/>
    <w:rsid w:val="00CC620C"/>
    <w:rsid w:val="00CD077A"/>
    <w:rsid w:val="00D22DCE"/>
    <w:rsid w:val="00D3438E"/>
    <w:rsid w:val="00D414A2"/>
    <w:rsid w:val="00D42866"/>
    <w:rsid w:val="00D9024E"/>
    <w:rsid w:val="00DD00B4"/>
    <w:rsid w:val="00DE0776"/>
    <w:rsid w:val="00E219F6"/>
    <w:rsid w:val="00E42F92"/>
    <w:rsid w:val="00E46B6F"/>
    <w:rsid w:val="00E60254"/>
    <w:rsid w:val="00E80179"/>
    <w:rsid w:val="00E966EE"/>
    <w:rsid w:val="00EA59BD"/>
    <w:rsid w:val="00EA77A6"/>
    <w:rsid w:val="00ED492E"/>
    <w:rsid w:val="00EF686B"/>
    <w:rsid w:val="00F81DAA"/>
    <w:rsid w:val="00F84C28"/>
    <w:rsid w:val="00FA04FA"/>
    <w:rsid w:val="00FB1F38"/>
    <w:rsid w:val="00FB7EE9"/>
    <w:rsid w:val="00FD3354"/>
    <w:rsid w:val="00FE0607"/>
    <w:rsid w:val="00FF3324"/>
    <w:rsid w:val="0FAA12E4"/>
    <w:rsid w:val="4C7C2AD2"/>
    <w:rsid w:val="79F7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批注框文本 字符"/>
    <w:basedOn w:val="8"/>
    <w:link w:val="4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QB正文 Char"/>
    <w:link w:val="13"/>
    <w:uiPriority w:val="0"/>
    <w:rPr>
      <w:rFonts w:ascii="宋体"/>
    </w:rPr>
  </w:style>
  <w:style w:type="paragraph" w:customStyle="1" w:styleId="13">
    <w:name w:val="QB正文"/>
    <w:basedOn w:val="1"/>
    <w:link w:val="12"/>
    <w:qFormat/>
    <w:uiPriority w:val="0"/>
    <w:pPr>
      <w:widowControl/>
      <w:autoSpaceDE w:val="0"/>
      <w:autoSpaceDN w:val="0"/>
      <w:spacing w:line="300" w:lineRule="auto"/>
      <w:ind w:firstLine="200" w:firstLineChars="200"/>
    </w:pPr>
    <w:rPr>
      <w:rFonts w:ascii="宋体" w:hAnsiTheme="minorHAnsi" w:eastAsiaTheme="minorEastAsia" w:cstheme="minorBidi"/>
    </w:rPr>
  </w:style>
  <w:style w:type="paragraph" w:customStyle="1" w:styleId="14">
    <w:name w:val="p15"/>
    <w:basedOn w:val="1"/>
    <w:qFormat/>
    <w:uiPriority w:val="0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15">
    <w:name w:val="p0"/>
    <w:basedOn w:val="1"/>
    <w:uiPriority w:val="0"/>
    <w:pPr>
      <w:widowControl/>
    </w:pPr>
    <w:rPr>
      <w:rFonts w:ascii="Times New Roman" w:hAnsi="Times New Roman"/>
      <w:kern w:val="0"/>
      <w:szCs w:val="21"/>
    </w:rPr>
  </w:style>
  <w:style w:type="character" w:customStyle="1" w:styleId="16">
    <w:name w:val="标题 1 字符"/>
    <w:basedOn w:val="8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7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A113Figure1" Type="http://schemas.openxmlformats.org/officeDocument/2006/relationships/image" Target="media/a113-architecture.png"/><Relationship Id="rIdA113Figure2" Type="http://schemas.openxmlformats.org/officeDocument/2006/relationships/image" Target="media/a113-native-performance.png"/><Relationship Id="rIdA113Figure3" Type="http://schemas.openxmlformats.org/officeDocument/2006/relationships/image" Target="media/a113-replay-efficiency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EFF8F8-817C-46C2-B7C0-7F1D2A20EB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236</Words>
  <Characters>243</Characters>
  <Lines>3</Lines>
  <Paragraphs>1</Paragraphs>
  <TotalTime>24</TotalTime>
  <ScaleCrop>false</ScaleCrop>
  <LinksUpToDate>false</LinksUpToDate>
  <CharactersWithSpaces>309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2019-09-14T06:53:00Z</dcterms:created>
  <dc:creator/>
  <cp:lastModifiedBy/>
  <dcterms:modified xsi:type="dcterms:W3CDTF">2026-09-20T07:09:28Z</dcterms:modified>
  <dc:title/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eyJoZGlkIjoiNWQ5ZDQyNWExM2I5OGFkYzI5NTUwZWI3YjM5NzhlYzciLCJ1c2VySWQiOiIxNTUxNjk3NTg4In0=</vt:lpwstr>
  </property>
  <property fmtid="{D5CDD505-2E9C-101B-9397-08002B2CF9AE}" pid="5" name="ICV">
    <vt:lpwstr>3C07B40A024C48A48B1C0127491CFB76_12</vt:lpwstr>
  </property>
</Properties>
</file>