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4A34BC">
      <w:pPr>
        <w:widowControl/>
        <w:adjustRightInd w:val="0"/>
        <w:snapToGrid w:val="0"/>
        <w:spacing w:line="480" w:lineRule="exact"/>
        <w:rPr>
          <w:rFonts w:ascii="楷体_GB2312" w:hAnsi="Times New Roman" w:eastAsia="楷体_GB2312"/>
          <w:bCs/>
          <w:sz w:val="28"/>
          <w:szCs w:val="28"/>
          <w:u w:val="single"/>
        </w:rPr>
      </w:pPr>
      <w:r>
        <w:rPr>
          <w:rFonts w:hint="eastAsia" w:ascii="楷体_GB2312" w:hAnsi="Times New Roman" w:eastAsia="楷体_GB2312"/>
          <w:bCs/>
          <w:sz w:val="28"/>
          <w:szCs w:val="28"/>
        </w:rPr>
        <w:t xml:space="preserve">作品编号：CACR2026EA16XZ</w:t>
      </w:r>
      <w:r>
        <w:rPr>
          <w:rFonts w:ascii="楷体_GB2312" w:hAnsi="Times New Roman" w:eastAsia="楷体_GB2312"/>
          <w:bCs/>
          <w:sz w:val="28"/>
          <w:szCs w:val="28"/>
        </w:rPr>
        <w:drawing>
          <wp:anchor distT="0" distB="0" distL="114300" distR="114300" simplePos="0" relativeHeight="251660288" behindDoc="0" locked="0" layoutInCell="1" allowOverlap="1">
            <wp:simplePos x="0" y="0"/>
            <wp:positionH relativeFrom="column">
              <wp:posOffset>4584700</wp:posOffset>
            </wp:positionH>
            <wp:positionV relativeFrom="paragraph">
              <wp:posOffset>-90805</wp:posOffset>
            </wp:positionV>
            <wp:extent cx="1534795" cy="1163320"/>
            <wp:effectExtent l="0" t="0" r="8255" b="0"/>
            <wp:wrapSquare wrapText="bothSides"/>
            <wp:docPr id="2" name="图片 2" descr="D:\密码学会教育工作委员会\学会\学会图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密码学会教育工作委员会\学会\学会图标.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534795" cy="1163320"/>
                    </a:xfrm>
                    <a:prstGeom prst="rect">
                      <a:avLst/>
                    </a:prstGeom>
                    <a:noFill/>
                    <a:ln>
                      <a:noFill/>
                    </a:ln>
                  </pic:spPr>
                </pic:pic>
              </a:graphicData>
            </a:graphic>
          </wp:anchor>
        </w:drawing>
      </w:r>
      <w:r>
        <w:rPr>
          <w:rFonts w:hint="eastAsia" w:ascii="楷体_GB2312" w:hAnsi="Times New Roman" w:eastAsia="楷体_GB2312"/>
          <w:bCs/>
          <w:sz w:val="28"/>
          <w:szCs w:val="28"/>
        </w:rPr>
        <w:t xml:space="preserve"/>
      </w:r>
      <w:r>
        <w:rPr>
          <w:rFonts w:hint="eastAsia" w:ascii="楷体_GB2312" w:hAnsi="Times New Roman" w:eastAsia="楷体_GB2312"/>
          <w:bCs/>
          <w:sz w:val="28"/>
          <w:szCs w:val="28"/>
          <w:u w:val="single"/>
        </w:rPr>
        <w:t xml:space="preserve"/>
      </w:r>
      <w:r>
        <w:rPr>
          <w:rFonts w:hint="eastAsia" w:ascii="楷体_GB2312" w:hAnsi="Times New Roman" w:eastAsia="楷体_GB2312"/>
          <w:b/>
          <w:color w:val="FF0000"/>
          <w:sz w:val="28"/>
          <w:szCs w:val="28"/>
          <w:u w:val="single"/>
        </w:rPr>
        <w:t xml:space="preserve"/>
      </w:r>
      <w:r>
        <w:rPr>
          <w:rFonts w:hint="eastAsia" w:ascii="楷体_GB2312" w:hAnsi="Times New Roman" w:eastAsia="楷体_GB2312"/>
          <w:bCs/>
          <w:color w:val="FF0000"/>
          <w:sz w:val="28"/>
          <w:szCs w:val="28"/>
          <w:u w:val="single"/>
        </w:rPr>
        <w:t xml:space="preserve"/>
      </w:r>
      <w:r>
        <w:rPr>
          <w:rFonts w:hint="eastAsia" w:ascii="楷体_GB2312" w:hAnsi="Times New Roman" w:eastAsia="楷体_GB2312"/>
          <w:bCs/>
          <w:sz w:val="28"/>
          <w:szCs w:val="28"/>
          <w:u w:val="single"/>
        </w:rPr>
        <w:t xml:space="preserve"/>
      </w:r>
    </w:p>
    <w:p w14:paraId="4ED5BDDA">
      <w:pPr>
        <w:widowControl/>
        <w:adjustRightInd w:val="0"/>
        <w:snapToGrid w:val="0"/>
        <w:spacing w:line="480" w:lineRule="exact"/>
        <w:rPr>
          <w:rFonts w:ascii="楷体_GB2312" w:hAnsi="Times New Roman" w:eastAsia="楷体_GB2312"/>
          <w:bCs/>
          <w:sz w:val="28"/>
          <w:szCs w:val="28"/>
          <w:u w:val="single"/>
        </w:rPr>
        <w:snapToGrid w:val="0"/>
      </w:pPr>
    </w:p>
    <w:p w14:paraId="4656AD64">
      <w:pPr>
        <w:widowControl/>
        <w:adjustRightInd w:val="0"/>
        <w:snapToGrid w:val="0"/>
        <w:spacing w:line="480" w:lineRule="exact"/>
        <w:rPr>
          <w:rFonts w:hint="eastAsia" w:ascii="宋体" w:hAnsi="宋体"/>
        </w:rPr>
      </w:pPr>
      <w:r>
        <w:rPr>
          <w:rFonts w:hint="eastAsia" w:ascii="楷体_GB2312" w:hAnsi="Times New Roman" w:eastAsia="楷体_GB2312"/>
          <w:bCs/>
          <w:sz w:val="28"/>
          <w:szCs w:val="28"/>
        </w:rPr>
        <w:t xml:space="preserve">作品类别： □软件设计   □硬件制作   ■工程实践</w:t>
      </w:r>
      <w:bookmarkStart w:id="0" w:name="OLE_LINK1"/>
      <w:bookmarkStart w:id="1" w:name="OLE_LINK2"/>
      <w:r>
        <w:rPr>
          <w:rFonts w:hint="eastAsia" w:ascii="楷体_GB2312" w:hAnsi="Times New Roman" w:eastAsia="楷体_GB2312"/>
          <w:bCs/>
          <w:sz w:val="28"/>
          <w:szCs w:val="28"/>
        </w:rPr>
        <w:t xml:space="preserve"/>
      </w:r>
      <w:bookmarkEnd w:id="0"/>
      <w:bookmarkEnd w:id="1"/>
      <w:r>
        <w:rPr>
          <w:rFonts w:hint="eastAsia" w:ascii="宋体" w:hAnsi="宋体"/>
        </w:rPr>
        <w:t xml:space="preserve"/>
      </w:r>
      <w:r>
        <w:rPr>
          <w:rFonts w:hint="eastAsia"/>
        </w:rPr>
        <w:t xml:space="preserve"/>
      </w:r>
      <w:r>
        <w:rPr>
          <w:rFonts w:hint="eastAsia" w:ascii="宋体" w:hAnsi="宋体"/>
        </w:rPr>
        <w:t xml:space="preserve"/>
      </w:r>
      <w:r>
        <w:rPr>
          <w:rFonts w:ascii="宋体" w:hAnsi="宋体"/>
        </w:rPr>
        <w:t xml:space="preserve"/>
      </w:r>
    </w:p>
    <w:p w14:paraId="1929CAAD">
      <w:pPr>
        <w:widowControl/>
        <w:adjustRightInd w:val="0"/>
        <w:snapToGrid w:val="0"/>
        <w:spacing w:line="480" w:lineRule="exact"/>
        <w:ind w:firstLine="1470" w:firstLineChars="700"/>
        <w:rPr>
          <w:rFonts w:hint="eastAsia" w:ascii="宋体" w:hAnsi="宋体"/>
        </w:rPr>
      </w:pPr>
      <w:r>
        <w:rPr>
          <w:rFonts w:hint="eastAsia" w:ascii="宋体" w:hAnsi="宋体"/>
        </w:rPr>
        <w:t>□密码应用技术  □其它</w:t>
      </w:r>
    </w:p>
    <w:p w14:paraId="1B6B0FE6">
      <w:pPr>
        <w:widowControl/>
        <w:adjustRightInd w:val="0"/>
        <w:snapToGrid w:val="0"/>
        <w:spacing w:line="480" w:lineRule="exact"/>
        <w:ind w:firstLine="1470" w:firstLineChars="700"/>
        <w:rPr>
          <w:rFonts w:hint="eastAsia" w:ascii="宋体" w:hAnsi="宋体"/>
        </w:rPr>
        <w:snapToGrid w:val="0"/>
      </w:pPr>
    </w:p>
    <w:p w14:paraId="78E13ED1">
      <w:pPr>
        <w:widowControl/>
        <w:adjustRightInd w:val="0"/>
        <w:snapToGrid w:val="0"/>
        <w:spacing w:line="480" w:lineRule="exact"/>
        <w:rPr>
          <w:rFonts w:hint="eastAsia" w:ascii="宋体" w:hAnsi="宋体"/>
        </w:rPr>
        <w:snapToGrid w:val="0"/>
      </w:pPr>
    </w:p>
    <w:p w14:paraId="7433C3F8">
      <w:pPr>
        <w:widowControl/>
        <w:adjustRightInd w:val="0"/>
        <w:snapToGrid w:val="0"/>
        <w:jc w:val="right"/>
        <w:rPr>
          <w:rFonts w:ascii="楷体_GB2312" w:hAnsi="Times New Roman" w:eastAsia="楷体_GB2312"/>
          <w:bCs/>
          <w:sz w:val="28"/>
          <w:szCs w:val="28"/>
        </w:rPr>
        <w:snapToGrid w:val="0"/>
      </w:pPr>
    </w:p>
    <w:p w14:paraId="00F1FE9A">
      <w:pPr>
        <w:widowControl/>
        <w:adjustRightInd w:val="0"/>
        <w:snapToGrid w:val="0"/>
        <w:spacing w:line="480" w:lineRule="exact"/>
        <w:rPr>
          <w:rFonts w:ascii="楷体_GB2312" w:hAnsi="Times New Roman" w:eastAsia="楷体_GB2312"/>
          <w:bCs/>
          <w:sz w:val="28"/>
          <w:szCs w:val="28"/>
        </w:rPr>
        <w:snapToGrid w:val="0"/>
      </w:pPr>
    </w:p>
    <w:p w14:paraId="0519D025">
      <w:pPr>
        <w:widowControl/>
        <w:adjustRightInd w:val="0"/>
        <w:snapToGrid w:val="0"/>
        <w:spacing w:line="480" w:lineRule="exact"/>
        <w:rPr>
          <w:rFonts w:ascii="楷体_GB2312" w:hAnsi="Times New Roman" w:eastAsia="楷体_GB2312"/>
          <w:bCs/>
          <w:sz w:val="28"/>
          <w:szCs w:val="28"/>
        </w:rPr>
        <w:snapToGrid w:val="0"/>
      </w:pPr>
      <w:bookmarkStart w:id="2" w:name="_GoBack"/>
      <w:bookmarkEnd w:id="2"/>
    </w:p>
    <w:p w14:paraId="4A52C4E0">
      <w:pPr>
        <w:widowControl/>
        <w:adjustRightInd w:val="0"/>
        <w:snapToGrid w:val="0"/>
        <w:spacing w:line="480" w:lineRule="exact"/>
        <w:rPr>
          <w:rFonts w:ascii="楷体_GB2312" w:hAnsi="Times New Roman" w:eastAsia="楷体_GB2312"/>
          <w:bCs/>
          <w:sz w:val="28"/>
          <w:szCs w:val="28"/>
        </w:rPr>
        <w:snapToGrid w:val="0"/>
      </w:pPr>
    </w:p>
    <w:p w14:paraId="6457B05F">
      <w:pPr>
        <w:widowControl/>
        <w:adjustRightInd w:val="0"/>
        <w:snapToGrid w:val="0"/>
        <w:spacing w:line="480" w:lineRule="exact"/>
        <w:jc w:val="center"/>
        <w:rPr>
          <w:rFonts w:ascii="楷体_GB2312" w:hAnsi="Times New Roman" w:eastAsia="楷体_GB2312"/>
          <w:b/>
          <w:bCs/>
          <w:sz w:val="36"/>
          <w:szCs w:val="36"/>
        </w:rPr>
      </w:pPr>
      <w:r>
        <w:rPr>
          <w:rFonts w:ascii="楷体_GB2312" w:hAnsi="Times New Roman" w:eastAsia="楷体_GB2312"/>
          <w:b/>
          <w:bCs/>
          <w:sz w:val="36"/>
          <w:szCs w:val="36"/>
        </w:rPr>
        <w:t>202</w:t>
      </w:r>
      <w:r>
        <w:rPr>
          <w:rFonts w:hint="eastAsia" w:ascii="楷体_GB2312" w:hAnsi="Times New Roman" w:eastAsia="楷体_GB2312"/>
          <w:b/>
          <w:bCs/>
          <w:sz w:val="36"/>
          <w:szCs w:val="36"/>
          <w:lang w:val="en-US" w:eastAsia="zh-CN"/>
        </w:rPr>
        <w:t>6</w:t>
      </w:r>
      <w:r>
        <w:rPr>
          <w:rFonts w:hint="eastAsia" w:ascii="楷体_GB2312" w:hAnsi="Times New Roman" w:eastAsia="楷体_GB2312"/>
          <w:b/>
          <w:bCs/>
          <w:sz w:val="36"/>
          <w:szCs w:val="36"/>
        </w:rPr>
        <w:t>年第十</w:t>
      </w:r>
      <w:r>
        <w:rPr>
          <w:rFonts w:hint="eastAsia" w:ascii="楷体_GB2312" w:hAnsi="Times New Roman" w:eastAsia="楷体_GB2312"/>
          <w:b/>
          <w:bCs/>
          <w:sz w:val="36"/>
          <w:szCs w:val="36"/>
          <w:lang w:val="en-US" w:eastAsia="zh-CN"/>
        </w:rPr>
        <w:t>一</w:t>
      </w:r>
      <w:r>
        <w:rPr>
          <w:rFonts w:hint="eastAsia" w:ascii="楷体_GB2312" w:hAnsi="Times New Roman" w:eastAsia="楷体_GB2312"/>
          <w:b/>
          <w:bCs/>
          <w:sz w:val="36"/>
          <w:szCs w:val="36"/>
        </w:rPr>
        <w:t>届全国密码技术竞赛作品设计报告</w:t>
      </w:r>
    </w:p>
    <w:p w14:paraId="1316150A">
      <w:pPr>
        <w:widowControl/>
        <w:adjustRightInd w:val="0"/>
        <w:snapToGrid w:val="0"/>
        <w:spacing w:line="480" w:lineRule="exact"/>
        <w:jc w:val="center"/>
        <w:rPr>
          <w:rFonts w:ascii="楷体_GB2312" w:hAnsi="Times New Roman" w:eastAsia="楷体_GB2312"/>
          <w:bCs/>
          <w:sz w:val="28"/>
          <w:szCs w:val="28"/>
          <w:u w:val="single"/>
        </w:rPr>
        <w:snapToGrid w:val="0"/>
      </w:pPr>
      <w:r>
        <w:rPr>
          <w:rFonts w:hint="eastAsia" w:ascii="楷体_GB2312" w:hAnsi="Times New Roman" w:eastAsia="楷体_GB2312"/>
          <w:bCs/>
          <w:sz w:val="28"/>
          <w:szCs w:val="28"/>
          <w:u w:val="single"/>
        </w:rPr>
        <mc:AlternateContent>
          <mc:Choice Requires="wps">
            <w:drawing>
              <wp:anchor distT="0" distB="0" distL="114300" distR="114300" simplePos="0" relativeHeight="251659264" behindDoc="0" locked="0" layoutInCell="1" allowOverlap="1">
                <wp:simplePos x="0" y="0"/>
                <wp:positionH relativeFrom="column">
                  <wp:posOffset>539115</wp:posOffset>
                </wp:positionH>
                <wp:positionV relativeFrom="paragraph">
                  <wp:posOffset>213995</wp:posOffset>
                </wp:positionV>
                <wp:extent cx="4899660" cy="34290"/>
                <wp:effectExtent l="19050" t="19050" r="15240" b="22860"/>
                <wp:wrapNone/>
                <wp:docPr id="1" name="直接连接符 1"/>
                <wp:cNvGraphicFramePr/>
                <a:graphic xmlns:a="http://schemas.openxmlformats.org/drawingml/2006/main">
                  <a:graphicData uri="http://schemas.microsoft.com/office/word/2010/wordprocessingShape">
                    <wps:wsp>
                      <wps:cNvCnPr/>
                      <wps:spPr>
                        <a:xfrm flipV="1">
                          <a:off x="0" y="0"/>
                          <a:ext cx="4899803" cy="3450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42.45pt;margin-top:16.85pt;height:2.7pt;width:385.8pt;z-index:251659264;mso-width-relative:page;mso-height-relative:page;" filled="f" stroked="t" coordsize="21600,21600" o:gfxdata="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BC8vj1QAAAAgBAAAPAAAAAAAAAAEAIAAAACIAAABkcnMvZG93bnJldi54bWxQ&#10;SwECFAAUAAAACACHTuJAsRge9PoBAADiAwAADgAAAAAAAAABACAAAAAkAQAAZHJzL2Uyb0RvYy54&#10;bWxQSwUGAAAAAAYABgBZAQAAkAUAAAAA&#10;">
                <v:fill on="f" focussize="0,0"/>
                <v:stroke weight="3pt" color="#000000 [3200]" joinstyle="round"/>
                <v:imagedata o:title=""/>
                <o:lock v:ext="edit" aspectratio="f"/>
              </v:line>
            </w:pict>
          </mc:Fallback>
        </mc:AlternateContent>
      </w:r>
    </w:p>
    <w:p w14:paraId="5131E305">
      <w:pPr>
        <w:widowControl/>
        <w:adjustRightInd w:val="0"/>
        <w:snapToGrid w:val="0"/>
        <w:spacing w:line="480" w:lineRule="exact"/>
        <w:jc w:val="center"/>
        <w:rPr>
          <w:rFonts w:ascii="楷体_GB2312" w:hAnsi="Times New Roman" w:eastAsia="楷体_GB2312"/>
          <w:bCs/>
          <w:sz w:val="28"/>
          <w:szCs w:val="28"/>
          <w:u w:val="single"/>
        </w:rPr>
        <w:snapToGrid w:val="0"/>
      </w:pPr>
    </w:p>
    <w:p w14:paraId="01DF0E1D">
      <w:pPr>
        <w:widowControl/>
        <w:adjustRightInd w:val="0"/>
        <w:snapToGrid w:val="0"/>
        <w:spacing w:line="480" w:lineRule="exact"/>
        <w:jc w:val="center"/>
        <w:rPr>
          <w:rFonts w:ascii="楷体_GB2312" w:hAnsi="Times New Roman" w:eastAsia="楷体_GB2312"/>
          <w:bCs/>
          <w:sz w:val="28"/>
          <w:szCs w:val="28"/>
          <w:u w:val="single"/>
        </w:rPr>
        <w:snapToGrid w:val="0"/>
      </w:pPr>
    </w:p>
    <w:p w14:paraId="0D429881">
      <w:pPr>
        <w:widowControl/>
        <w:adjustRightInd w:val="0"/>
        <w:snapToGrid w:val="0"/>
        <w:spacing w:line="700" w:lineRule="exact"/>
        <w:ind w:firstLine="1680" w:firstLineChars="600"/>
        <w:rPr>
          <w:rFonts w:hint="eastAsia" w:ascii="华文中宋" w:hAnsi="华文中宋" w:eastAsia="华文中宋"/>
          <w:bCs/>
          <w:sz w:val="28"/>
          <w:szCs w:val="28"/>
          <w:u w:val="single"/>
        </w:rPr>
      </w:pPr>
      <w:r>
        <w:rPr>
          <w:rFonts w:hint="eastAsia" w:ascii="楷体_GB2312" w:hAnsi="Times New Roman" w:eastAsia="楷体_GB2312"/>
          <w:bCs/>
          <w:sz w:val="28"/>
          <w:szCs w:val="28"/>
        </w:rPr>
        <w:t>作品题目：</w:t>
      </w:r>
      <w:r>
        <w:rPr>
          <w:rFonts w:hint="eastAsia" w:ascii="华文中宋" w:hAnsi="华文中宋" w:eastAsia="华文中宋"/>
          <w:bCs/>
          <w:sz w:val="28"/>
          <w:szCs w:val="28"/>
          <w:u w:val="single"/>
        </w:rPr>
        <w:t>ML-KEM 解封装实现的时间侧信道检测与常数时间防护</w:t>
      </w:r>
    </w:p>
    <w:p w14:paraId="4EE13EFD">
      <w:pPr>
        <w:widowControl/>
        <w:adjustRightInd w:val="0"/>
        <w:snapToGrid w:val="0"/>
        <w:spacing w:line="480" w:lineRule="exact"/>
        <w:rPr>
          <w:rFonts w:ascii="楷体_GB2312" w:hAnsi="Times New Roman" w:eastAsia="楷体_GB2312"/>
          <w:bCs/>
          <w:sz w:val="28"/>
          <w:szCs w:val="28"/>
        </w:rPr>
        <w:snapToGrid w:val="0"/>
      </w:pPr>
    </w:p>
    <w:p w14:paraId="323A5D9B">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0A15B53C">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7DD67DF5">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28AB24EE">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48B47AEE">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4EDCC657">
      <w:pPr>
        <w:widowControl/>
        <w:adjustRightInd w:val="0"/>
        <w:snapToGrid w:val="0"/>
        <w:spacing w:line="600" w:lineRule="exact"/>
        <w:ind w:firstLine="560" w:firstLineChars="200"/>
        <w:jc w:val="center"/>
        <w:rPr>
          <w:rFonts w:ascii="楷体_GB2312" w:hAnsi="Times New Roman" w:eastAsia="楷体_GB2312"/>
          <w:bCs/>
          <w:sz w:val="28"/>
          <w:szCs w:val="28"/>
        </w:rPr>
      </w:pPr>
      <w:r>
        <w:rPr>
          <w:rFonts w:hint="eastAsia" w:ascii="楷体_GB2312" w:hAnsi="Times New Roman" w:eastAsia="楷体_GB2312"/>
          <w:bCs/>
          <w:sz w:val="28"/>
          <w:szCs w:val="28"/>
        </w:rPr>
        <w:t xml:space="preserve">2026 年 10 月 11 日</w:t>
      </w:r>
    </w:p>
    <w:p w14:paraId="06B1D532">
      <w:pPr>
        <w:widowControl/>
        <w:adjustRightInd w:val="0"/>
        <w:snapToGrid w:val="0"/>
        <w:spacing w:line="600" w:lineRule="exact"/>
        <w:ind w:firstLine="560" w:firstLineChars="200"/>
        <w:jc w:val="center"/>
        <w:rPr>
          <w:rFonts w:ascii="楷体_GB2312" w:hAnsi="Times New Roman" w:eastAsia="楷体_GB2312"/>
          <w:bCs/>
          <w:sz w:val="28"/>
          <w:szCs w:val="28"/>
        </w:rPr>
      </w:pPr>
      <w:r>
        <w:rPr>
          <w:rFonts w:hint="eastAsia" w:ascii="楷体_GB2312" w:hAnsi="Times New Roman" w:eastAsia="楷体_GB2312"/>
          <w:bCs/>
          <w:sz w:val="28"/>
          <w:szCs w:val="28"/>
        </w:rPr>
        <w:t>中国密码学会</w:t>
      </w:r>
    </w:p>
    <w:p w14:paraId="6F4C8D9E">
      <w:pPr>
        <w:widowControl/>
        <w:adjustRightInd w:val="0"/>
        <w:snapToGrid w:val="0"/>
        <w:spacing w:line="480" w:lineRule="exact"/>
        <w:ind w:firstLine="560" w:firstLineChars="200"/>
        <w:rPr>
          <w:rFonts w:ascii="楷体_GB2312" w:hAnsi="Times New Roman" w:eastAsia="楷体_GB2312"/>
          <w:bCs/>
          <w:sz w:val="28"/>
          <w:szCs w:val="28"/>
        </w:rPr>
        <w:sectPr>
          <w:pgSz w:w="11906" w:h="16838"/>
          <w:pgMar w:top="1134" w:right="1134" w:bottom="1134" w:left="1134" w:header="851" w:footer="992" w:gutter="0"/>
          <w:cols w:space="425" w:num="1"/>
          <w:docGrid w:type="lines" w:linePitch="312" w:charSpace="0"/>
        </w:sectPr>
        <w:snapToGrid w:val="0"/>
      </w:pPr>
    </w:p>
    <w:tbl>
      <w:tblPr>
        <w:tblStyle w:val="7"/>
        <w:tblW w:w="8913"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913"/>
      </w:tblGrid>
      <w:tr w14:paraId="01250D0B">
        <w:trPr>
          <w:trHeight w:val="624" w:hRule="atLeast"/>
          <w:jc w:val="center"/>
        </w:trP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913" w:type="dxa"/>
            <w:tcBorders>
              <w:top w:val="single" w:color="auto" w:sz="2" w:space="0"/>
              <w:left w:val="single" w:color="auto" w:sz="2" w:space="0"/>
              <w:bottom w:val="single" w:color="auto" w:sz="2" w:space="0"/>
              <w:right w:val="single" w:color="auto" w:sz="2" w:space="0"/>
            </w:tcBorders>
            <w:vAlign w:val="center"/>
          </w:tcPr>
          <w:p w14:paraId="66E1D7EA">
            <w:pPr>
              <w:jc w:val="center"/>
              <w:rPr>
                <w:sz w:val="24"/>
              </w:rPr>
              <w:snapToGrid w:val="0"/>
            </w:pPr>
            <w:r>
              <w:rPr>
                <w:rFonts w:hint="eastAsia"/>
                <w:spacing w:val="-8"/>
                <w:sz w:val="30"/>
              </w:rPr>
              <w:t xml:space="preserve">基本信息表</w:t>
            </w:r>
          </w:p>
        </w:tc>
      </w:tr>
      <w:tr w14:paraId="05860EC3">
        <w:trPr>
          <w:trHeight w:val="624" w:hRule="atLeast"/>
          <w:jc w:val="center"/>
        </w:trP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913" w:type="dxa"/>
            <w:tcBorders>
              <w:top w:val="single" w:color="auto" w:sz="2" w:space="0"/>
              <w:left w:val="single" w:color="auto" w:sz="2" w:space="0"/>
              <w:bottom w:val="single" w:color="auto" w:sz="2" w:space="0"/>
              <w:right w:val="single" w:color="auto" w:sz="2" w:space="0"/>
            </w:tcBorders>
            <w:vAlign w:val="center"/>
          </w:tcPr>
          <w:p w14:paraId="05721B18">
            <w:pPr>
              <w:rPr>
                <w:spacing w:val="-8"/>
                <w:sz w:val="30"/>
              </w:rPr>
              <w:snapToGrid w:val="0"/>
            </w:pPr>
            <w:r>
              <w:rPr>
                <w:rFonts w:hint="eastAsia"/>
                <w:spacing w:val="-8"/>
                <w:sz w:val="30"/>
              </w:rPr>
              <w:t xml:space="preserve">编号：CACR2026EA16XZ</w:t>
            </w:r>
          </w:p>
        </w:tc>
      </w:tr>
      <w:tr w14:paraId="7292356F">
        <w:trPr>
          <w:trHeight w:val="624" w:hRule="atLeast"/>
          <w:jc w:val="center"/>
        </w:trP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913" w:type="dxa"/>
            <w:tcBorders>
              <w:top w:val="single" w:color="auto" w:sz="2" w:space="0"/>
              <w:left w:val="single" w:color="auto" w:sz="2" w:space="0"/>
              <w:bottom w:val="single" w:color="auto" w:sz="2" w:space="0"/>
              <w:right w:val="single" w:color="auto" w:sz="2" w:space="0"/>
            </w:tcBorders>
            <w:vAlign w:val="center"/>
          </w:tcPr>
          <w:p w14:paraId="02F0FFCE">
            <w:pPr>
              <w:rPr>
                <w:spacing w:val="-8"/>
                <w:sz w:val="30"/>
              </w:rPr>
              <w:snapToGrid w:val="0"/>
            </w:pPr>
            <w:r>
              <w:rPr>
                <w:rFonts w:hint="eastAsia"/>
                <w:spacing w:val="-8"/>
                <w:sz w:val="30"/>
              </w:rPr>
              <w:t xml:space="preserve">作品题目：ML-KEM 解封装实现的时间侧信道检测与常数时间防护</w:t>
            </w:r>
          </w:p>
        </w:tc>
      </w:tr>
      <w:tr w14:paraId="4CC36284">
        <w:trPr>
          <w:cantSplit/>
          <w:trHeight w:val="419" w:hRule="atLeast"/>
          <w:jc w:val="center"/>
        </w:trP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913" w:type="dxa"/>
            <w:tcBorders>
              <w:top w:val="single" w:color="auto" w:sz="2" w:space="0"/>
              <w:left w:val="single" w:color="auto" w:sz="2" w:space="0"/>
              <w:bottom w:val="single" w:color="auto" w:sz="4" w:space="0"/>
              <w:right w:val="single" w:color="auto" w:sz="2" w:space="0"/>
            </w:tcBorders>
          </w:tcPr>
          <w:p w14:paraId="6E18E984">
            <w:pPr>
              <w:adjustRightInd w:val="0"/>
              <w:snapToGrid w:val="0"/>
              <w:spacing w:line="360" w:lineRule="auto"/>
              <w:ind w:left="1500" w:hanging="1500" w:hangingChars="500"/>
              <w:jc w:val="left"/>
              <w:rPr>
                <w:snapToGrid w:val="0"/>
                <w:sz w:val="24"/>
              </w:rPr>
              <w:snapToGrid w:val="0"/>
            </w:pPr>
            <w:r>
              <w:rPr>
                <w:rFonts w:hint="eastAsia"/>
                <w:snapToGrid w:val="0"/>
                <w:sz w:val="30"/>
                <w:szCs w:val="30"/>
              </w:rPr>
              <w:t>作品类别：</w:t>
            </w:r>
            <w:r>
              <w:rPr>
                <w:rFonts w:hint="eastAsia" w:ascii="宋体" w:hAnsi="宋体"/>
              </w:rPr>
              <w:t>□软件设计   □</w:t>
            </w:r>
            <w:r>
              <w:rPr>
                <w:rFonts w:hint="eastAsia"/>
              </w:rPr>
              <w:t xml:space="preserve">硬件制作   </w:t>
            </w:r>
            <w:r>
              <w:rPr>
                <w:rFonts w:hint="eastAsia" w:ascii="宋体" w:hAnsi="宋体"/>
              </w:rPr>
              <w:t xml:space="preserve">■工程实践 </w:t>
            </w:r>
            <w:r>
              <w:rPr>
                <w:rFonts w:ascii="宋体" w:hAnsi="宋体"/>
              </w:rPr>
              <w:t xml:space="preserve"> </w:t>
            </w:r>
            <w:r>
              <w:rPr>
                <w:rFonts w:hint="eastAsia" w:ascii="宋体" w:hAnsi="宋体"/>
              </w:rPr>
              <w:t>□密码技术应用  □其它</w:t>
            </w:r>
          </w:p>
        </w:tc>
      </w:tr>
      <w:tr w14:paraId="4B036C0F">
        <w:trPr>
          <w:cantSplit/>
          <w:trHeight w:val="3105" w:hRule="atLeast"/>
          <w:jc w:val="center"/>
        </w:trP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913" w:type="dxa"/>
            <w:tcBorders>
              <w:top w:val="single" w:color="auto" w:sz="4" w:space="0"/>
              <w:left w:val="single" w:color="auto" w:sz="2" w:space="0"/>
              <w:bottom w:val="single" w:color="auto" w:sz="2" w:space="0"/>
              <w:right w:val="single" w:color="auto" w:sz="2" w:space="0"/>
            </w:tcBorders>
          </w:tcPr>
          <w:p w14:paraId="7EA73BA4">
            <w:pPr>
              <w:rPr>
                <w:sz w:val="30"/>
              </w:rPr>
              <w:snapToGrid w:val="0"/>
            </w:pPr>
            <w:r>
              <w:rPr>
                <w:rFonts w:hint="eastAsia"/>
                <w:sz w:val="30"/>
              </w:rPr>
              <w:t xml:space="preserve">作品内容摘要：</w:t>
            </w:r>
          </w:p>
          <w:p w14:paraId="CA140001">
            <w:pPr>
              <w:pStyle w:val="13"/>
              <w:spacing w:line="240" w:lineRule="auto"/>
              <w:ind w:firstLine="420"/>
              <w:rPr>
                <w:rFonts w:hint="eastAsia" w:hAnsi="宋体"/>
                <w:color w:val="000000"/>
                <w:szCs w:val="21"/>
              </w:rPr>
            </w:pPr>
            <w:r>
              <w:rPr>
                <w:rFonts w:ascii="宋体" w:hAnsi="宋体" w:eastAsia="宋体" w:cs="Times New Roman"/>
                <w:kern w:val="2"/>
                <w:sz w:val="21"/>
                <w:szCs w:val="22"/>
                <w:lang w:val="en-US" w:eastAsia="zh-CN" w:bidi="ar-SA"/>
              </w:rPr>
              <w:t>ML-KEM的算法正确性并不能自动保证实现不泄露敏感信息。针对解封装过程的本地时间侧信道评估，本作品构建了集功能验证、时间测量、统计分析和结果复现于一体的审计系统。系统接入固定版本的ML-KEM-768便携实现，通过独立公开向量验证功能；对相同长度、不同生成方式的密文记录完整解封装时间，并保存运行环境和全部原始观测。研究重点是区分时间差异、实现机制与统计结论之间的关系，避免将测量波动或统计假设不成立误认为防护效果。在同机人工对照实验中，掩码选择实现对五组预定测试均未再检出原分组差异，但该观察不构成全库常数时间证明。针对统计结果的重复核查，系统实现有界整数精确置换计算；八个固定任务与SciPy的计数和判定一致，同语言重建复核进一步支持六个非零任务的计算时间下降。裸金属测量另保存126528次受控窗口调用、三个进程的空窗口记录和六个进程的完整调用记录，分别评价环境控制、读钟行为和运行间变异。作品同时分析平均时间差置信区间的适用条件，并保留未满足的前提及不利结果。研究表明，将实现检查、实验设计和可复现的统计计算结合起来，可以形成便于复核的本地评估流程；测量适用性与统计有效性仍需结合具体研究问题判断。</w:t>
            </w:r>
          </w:p>
        </w:tc>
      </w:tr>
      <w:tr w14:paraId="449FB0E5">
        <w:trPr>
          <w:cantSplit/>
          <w:trHeight w:val="1187" w:hRule="atLeast"/>
          <w:jc w:val="center"/>
        </w:trP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913" w:type="dxa"/>
            <w:tcBorders>
              <w:top w:val="single" w:color="auto" w:sz="2" w:space="0"/>
              <w:left w:val="single" w:color="auto" w:sz="2" w:space="0"/>
              <w:bottom w:val="single" w:color="auto" w:sz="2" w:space="0"/>
              <w:right w:val="single" w:color="auto" w:sz="2" w:space="0"/>
            </w:tcBorders>
          </w:tcPr>
          <w:p w14:paraId="5D556087">
            <w:pPr>
              <w:rPr>
                <w:sz w:val="30"/>
              </w:rPr>
              <w:snapToGrid w:val="0"/>
            </w:pPr>
            <w:r>
              <w:rPr>
                <w:rFonts w:hint="eastAsia"/>
                <w:sz w:val="30"/>
              </w:rPr>
              <w:t xml:space="preserve">关键词（五个）：ML-KEM；时间侧信道；常数时间；置换检验；可复现性</w:t>
            </w:r>
          </w:p>
        </w:tc>
      </w:tr>
    </w:tbl>
    <w:p w14:paraId="3D5215B6">
      <w:pPr>
        <w:widowControl/>
        <w:adjustRightInd w:val="0"/>
        <w:snapToGrid w:val="0"/>
        <w:spacing w:line="480" w:lineRule="exact"/>
        <w:rPr>
          <w:rFonts w:ascii="楷体_GB2312" w:hAnsi="Times New Roman" w:eastAsia="楷体_GB2312"/>
          <w:bCs/>
          <w:sz w:val="28"/>
          <w:szCs w:val="28"/>
        </w:rPr>
        <w:snapToGrid w:val="0"/>
      </w:pPr>
    </w:p>
    <w:p w14:paraId="1117BCC3">
      <w:pPr>
        <w:widowControl/>
        <w:adjustRightInd w:val="0"/>
        <w:snapToGrid w:val="0"/>
        <w:spacing w:line="480" w:lineRule="exact"/>
        <w:rPr>
          <w:rFonts w:ascii="楷体_GB2312" w:hAnsi="Times New Roman" w:eastAsia="楷体_GB2312"/>
          <w:bCs/>
          <w:sz w:val="28"/>
          <w:szCs w:val="28"/>
        </w:rPr>
        <w:sectPr>
          <w:headerReference r:id="rId3" w:type="default"/>
          <w:footerReference r:id="rId4" w:type="default"/>
          <w:pgNumType w:start="1" w:fmt="upperRoman"/>
          <w:pgSz w:w="11906" w:h="16838"/>
          <w:pgMar w:top="1134" w:right="1134" w:bottom="1134" w:left="1134" w:header="851" w:footer="992" w:gutter="0"/>
          <w:cols w:space="425" w:num="1"/>
          <w:docGrid w:type="lines" w:linePitch="312" w:charSpace="0"/>
        </w:sectPr>
        <w:snapToGrid w:val="0"/>
      </w:pPr>
    </w:p>
    <w:p>
      <w:pPr>
        <w:spacing w:after="360"/>
        <w:jc w:val="center"/>
        <w:snapToGrid w:val="0"/>
      </w:pPr>
      <w:r>
        <w:rPr>
          <w:rFonts w:hint="eastAsia" w:ascii="华文楷体" w:hAnsi="华文楷体" w:eastAsia="华文楷体"/>
          <w:sz w:val="30"/>
          <w:szCs w:val="30"/>
          <w:b/>
        </w:rPr>
        <w:t>目　录</w:t>
      </w:r>
    </w:p>
    <w:p>
      <w:pPr>
        <w:pStyle w:val="RWTOC1"/>
        <w:tabs>
          <w:tab w:pos="8957" w:val="right" w:leader="dot"/>
        </w:tabs>
        <w:ind w:left="0"/>
        <w:snapToGrid w:val="0"/>
      </w:pPr>
      <w:hyperlink w:anchor="rw_heading_0">
        <w:r>
          <w:rPr>
            <w:rFonts w:ascii="Calibri" w:hAnsi="Calibri" w:eastAsia="宋体" w:cs="Times New Roman"/>
            <w:kern w:val="2"/>
            <w:sz w:val="21"/>
            <w:szCs w:val="22"/>
            <w:lang w:val="en-US" w:eastAsia="zh-CN" w:bidi="ar-SA"/>
            <w:b/>
          </w:rPr>
          <w:t>第1章　研究背景与作品目标</w:t>
        </w:r>
      </w:hyperlink>
      <w:r>
        <w:rPr>
          <w:rFonts w:ascii="Calibri" w:hAnsi="Calibri" w:eastAsia="宋体" w:cs="Times New Roman"/>
          <w:kern w:val="2"/>
          <w:sz w:val="21"/>
          <w:szCs w:val="22"/>
          <w:lang w:val="en-US" w:eastAsia="zh-CN" w:bidi="ar-SA"/>
          <w:b/>
        </w:rPr>
        <w:tab/>
        <w:t>1</w:t>
      </w:r>
    </w:p>
    <w:p>
      <w:pPr>
        <w:pStyle w:val="RWTOC2"/>
        <w:tabs>
          <w:tab w:pos="8957" w:val="right" w:leader="dot"/>
        </w:tabs>
        <w:ind w:left="369"/>
        <w:snapToGrid w:val="0"/>
      </w:pPr>
      <w:hyperlink w:anchor="rw_heading_1">
        <w:r>
          <w:rPr>
            <w:rFonts w:ascii="Calibri" w:hAnsi="Calibri" w:eastAsia="宋体" w:cs="Times New Roman"/>
            <w:kern w:val="2"/>
            <w:sz w:val="21"/>
            <w:szCs w:val="22"/>
            <w:lang w:val="en-US" w:eastAsia="zh-CN" w:bidi="ar-SA"/>
          </w:rPr>
          <w:t>1.1　后量子密码实现的工程审计需求</w:t>
        </w:r>
      </w:hyperlink>
      <w:r>
        <w:rPr>
          <w:rFonts w:ascii="Calibri" w:hAnsi="Calibri" w:eastAsia="宋体" w:cs="Times New Roman"/>
          <w:kern w:val="2"/>
          <w:sz w:val="21"/>
          <w:szCs w:val="22"/>
          <w:lang w:val="en-US" w:eastAsia="zh-CN" w:bidi="ar-SA"/>
        </w:rPr>
        <w:tab/>
        <w:t>1</w:t>
      </w:r>
    </w:p>
    <w:p>
      <w:pPr>
        <w:pStyle w:val="RWTOC2"/>
        <w:tabs>
          <w:tab w:pos="8957" w:val="right" w:leader="dot"/>
        </w:tabs>
        <w:ind w:left="369"/>
        <w:snapToGrid w:val="0"/>
      </w:pPr>
      <w:hyperlink w:anchor="rw_heading_2">
        <w:r>
          <w:rPr>
            <w:rFonts w:ascii="Calibri" w:hAnsi="Calibri" w:eastAsia="宋体" w:cs="Times New Roman"/>
            <w:kern w:val="2"/>
            <w:sz w:val="21"/>
            <w:szCs w:val="22"/>
            <w:lang w:val="en-US" w:eastAsia="zh-CN" w:bidi="ar-SA"/>
          </w:rPr>
          <w:t>1.2　现有实现与统计工具的能力边界</w:t>
        </w:r>
      </w:hyperlink>
      <w:r>
        <w:rPr>
          <w:rFonts w:ascii="Calibri" w:hAnsi="Calibri" w:eastAsia="宋体" w:cs="Times New Roman"/>
          <w:kern w:val="2"/>
          <w:sz w:val="21"/>
          <w:szCs w:val="22"/>
          <w:lang w:val="en-US" w:eastAsia="zh-CN" w:bidi="ar-SA"/>
        </w:rPr>
        <w:tab/>
        <w:t>1</w:t>
      </w:r>
    </w:p>
    <w:p>
      <w:pPr>
        <w:pStyle w:val="RWTOC2"/>
        <w:tabs>
          <w:tab w:pos="8957" w:val="right" w:leader="dot"/>
        </w:tabs>
        <w:ind w:left="369"/>
        <w:snapToGrid w:val="0"/>
      </w:pPr>
      <w:hyperlink w:anchor="rw_heading_3">
        <w:r>
          <w:rPr>
            <w:rFonts w:ascii="Calibri" w:hAnsi="Calibri" w:eastAsia="宋体" w:cs="Times New Roman"/>
            <w:kern w:val="2"/>
            <w:sz w:val="21"/>
            <w:szCs w:val="22"/>
            <w:lang w:val="en-US" w:eastAsia="zh-CN" w:bidi="ar-SA"/>
          </w:rPr>
          <w:t>1.3　作品目标与总体技术路线</w:t>
        </w:r>
      </w:hyperlink>
      <w:r>
        <w:rPr>
          <w:rFonts w:ascii="Calibri" w:hAnsi="Calibri" w:eastAsia="宋体" w:cs="Times New Roman"/>
          <w:kern w:val="2"/>
          <w:sz w:val="21"/>
          <w:szCs w:val="22"/>
          <w:lang w:val="en-US" w:eastAsia="zh-CN" w:bidi="ar-SA"/>
        </w:rPr>
        <w:tab/>
        <w:t>3</w:t>
      </w:r>
    </w:p>
    <w:p>
      <w:pPr>
        <w:pStyle w:val="RWTOC2"/>
        <w:tabs>
          <w:tab w:pos="8957" w:val="right" w:leader="dot"/>
        </w:tabs>
        <w:ind w:left="369"/>
        <w:snapToGrid w:val="0"/>
      </w:pPr>
      <w:hyperlink w:anchor="paper_heading_9001">
        <w:r>
          <w:rPr>
            <w:rFonts w:ascii="Calibri" w:hAnsi="Calibri" w:eastAsia="宋体" w:cs="Times New Roman"/>
            <w:kern w:val="2"/>
            <w:sz w:val="21"/>
            <w:szCs w:val="22"/>
            <w:lang w:val="en-US" w:eastAsia="zh-CN" w:bidi="ar-SA"/>
          </w:rPr>
          <w:t>1.4　关键问题与设计思路</w:t>
        </w:r>
      </w:hyperlink>
      <w:r>
        <w:rPr>
          <w:rFonts w:ascii="Calibri" w:hAnsi="Calibri" w:eastAsia="宋体" w:cs="Times New Roman"/>
          <w:kern w:val="2"/>
          <w:sz w:val="21"/>
          <w:szCs w:val="22"/>
          <w:lang w:val="en-US" w:eastAsia="zh-CN" w:bidi="ar-SA"/>
        </w:rPr>
        <w:tab/>
        <w:t>3</w:t>
      </w:r>
    </w:p>
    <w:p>
      <w:pPr>
        <w:pStyle w:val="RWTOC1"/>
        <w:tabs>
          <w:tab w:pos="8957" w:val="right" w:leader="dot"/>
        </w:tabs>
        <w:ind w:left="0"/>
        <w:snapToGrid w:val="0"/>
      </w:pPr>
      <w:hyperlink w:anchor="rw_heading_4">
        <w:r>
          <w:rPr>
            <w:rFonts w:ascii="Calibri" w:hAnsi="Calibri" w:eastAsia="宋体" w:cs="Times New Roman"/>
            <w:kern w:val="2"/>
            <w:sz w:val="21"/>
            <w:szCs w:val="22"/>
            <w:lang w:val="en-US" w:eastAsia="zh-CN" w:bidi="ar-SA"/>
            <w:b/>
          </w:rPr>
          <w:t>第2章　ML-KEM实现审计的理论基础</w:t>
        </w:r>
      </w:hyperlink>
      <w:r>
        <w:rPr>
          <w:rFonts w:ascii="Calibri" w:hAnsi="Calibri" w:eastAsia="宋体" w:cs="Times New Roman"/>
          <w:kern w:val="2"/>
          <w:sz w:val="21"/>
          <w:szCs w:val="22"/>
          <w:lang w:val="en-US" w:eastAsia="zh-CN" w:bidi="ar-SA"/>
          <w:b/>
        </w:rPr>
        <w:tab/>
        <w:t>5</w:t>
      </w:r>
    </w:p>
    <w:p>
      <w:pPr>
        <w:pStyle w:val="RWTOC2"/>
        <w:tabs>
          <w:tab w:pos="8957" w:val="right" w:leader="dot"/>
        </w:tabs>
        <w:ind w:left="369"/>
        <w:snapToGrid w:val="0"/>
      </w:pPr>
      <w:hyperlink w:anchor="rw_heading_5">
        <w:r>
          <w:rPr>
            <w:rFonts w:ascii="Calibri" w:hAnsi="Calibri" w:eastAsia="宋体" w:cs="Times New Roman"/>
            <w:kern w:val="2"/>
            <w:sz w:val="21"/>
            <w:szCs w:val="22"/>
            <w:lang w:val="en-US" w:eastAsia="zh-CN" w:bidi="ar-SA"/>
          </w:rPr>
          <w:t>2.1　ML-KEM-768的接口与功能正确性</w:t>
        </w:r>
      </w:hyperlink>
      <w:r>
        <w:rPr>
          <w:rFonts w:ascii="Calibri" w:hAnsi="Calibri" w:eastAsia="宋体" w:cs="Times New Roman"/>
          <w:kern w:val="2"/>
          <w:sz w:val="21"/>
          <w:szCs w:val="22"/>
          <w:lang w:val="en-US" w:eastAsia="zh-CN" w:bidi="ar-SA"/>
        </w:rPr>
        <w:tab/>
        <w:t>5</w:t>
      </w:r>
    </w:p>
    <w:p>
      <w:pPr>
        <w:pStyle w:val="RWTOC2"/>
        <w:tabs>
          <w:tab w:pos="8957" w:val="right" w:leader="dot"/>
        </w:tabs>
        <w:ind w:left="369"/>
        <w:snapToGrid w:val="0"/>
      </w:pPr>
      <w:hyperlink w:anchor="rw_heading_6">
        <w:r>
          <w:rPr>
            <w:rFonts w:ascii="Calibri" w:hAnsi="Calibri" w:eastAsia="宋体" w:cs="Times New Roman"/>
            <w:kern w:val="2"/>
            <w:sz w:val="21"/>
            <w:szCs w:val="22"/>
            <w:lang w:val="en-US" w:eastAsia="zh-CN" w:bidi="ar-SA"/>
          </w:rPr>
          <w:t>2.2　外部输入检查与隐式拒绝语义</w:t>
        </w:r>
      </w:hyperlink>
      <w:r>
        <w:rPr>
          <w:rFonts w:ascii="Calibri" w:hAnsi="Calibri" w:eastAsia="宋体" w:cs="Times New Roman"/>
          <w:kern w:val="2"/>
          <w:sz w:val="21"/>
          <w:szCs w:val="22"/>
          <w:lang w:val="en-US" w:eastAsia="zh-CN" w:bidi="ar-SA"/>
        </w:rPr>
        <w:tab/>
        <w:t>6</w:t>
      </w:r>
    </w:p>
    <w:p>
      <w:pPr>
        <w:pStyle w:val="RWTOC2"/>
        <w:tabs>
          <w:tab w:pos="8957" w:val="right" w:leader="dot"/>
        </w:tabs>
        <w:ind w:left="369"/>
        <w:snapToGrid w:val="0"/>
      </w:pPr>
      <w:hyperlink w:anchor="rw_heading_7">
        <w:r>
          <w:rPr>
            <w:rFonts w:ascii="Calibri" w:hAnsi="Calibri" w:eastAsia="宋体" w:cs="Times New Roman"/>
            <w:kern w:val="2"/>
            <w:sz w:val="21"/>
            <w:szCs w:val="22"/>
            <w:lang w:val="en-US" w:eastAsia="zh-CN" w:bidi="ar-SA"/>
          </w:rPr>
          <w:t>2.3　执行时间的影响因素与样本单位</w:t>
        </w:r>
      </w:hyperlink>
      <w:r>
        <w:rPr>
          <w:rFonts w:ascii="Calibri" w:hAnsi="Calibri" w:eastAsia="宋体" w:cs="Times New Roman"/>
          <w:kern w:val="2"/>
          <w:sz w:val="21"/>
          <w:szCs w:val="22"/>
          <w:lang w:val="en-US" w:eastAsia="zh-CN" w:bidi="ar-SA"/>
        </w:rPr>
        <w:tab/>
        <w:t>7</w:t>
      </w:r>
    </w:p>
    <w:p>
      <w:pPr>
        <w:pStyle w:val="RWTOC2"/>
        <w:tabs>
          <w:tab w:pos="8957" w:val="right" w:leader="dot"/>
        </w:tabs>
        <w:ind w:left="369"/>
        <w:snapToGrid w:val="0"/>
      </w:pPr>
      <w:hyperlink w:anchor="rw_heading_8">
        <w:r>
          <w:rPr>
            <w:rFonts w:ascii="Calibri" w:hAnsi="Calibri" w:eastAsia="宋体" w:cs="Times New Roman"/>
            <w:kern w:val="2"/>
            <w:sz w:val="21"/>
            <w:szCs w:val="22"/>
            <w:lang w:val="en-US" w:eastAsia="zh-CN" w:bidi="ar-SA"/>
          </w:rPr>
          <w:t>2.4　成对随机化与整数精确检验</w:t>
        </w:r>
      </w:hyperlink>
      <w:r>
        <w:rPr>
          <w:rFonts w:ascii="Calibri" w:hAnsi="Calibri" w:eastAsia="宋体" w:cs="Times New Roman"/>
          <w:kern w:val="2"/>
          <w:sz w:val="21"/>
          <w:szCs w:val="22"/>
          <w:lang w:val="en-US" w:eastAsia="zh-CN" w:bidi="ar-SA"/>
        </w:rPr>
        <w:tab/>
        <w:t>8</w:t>
      </w:r>
    </w:p>
    <w:p>
      <w:pPr>
        <w:pStyle w:val="RWTOC2"/>
        <w:tabs>
          <w:tab w:pos="8957" w:val="right" w:leader="dot"/>
        </w:tabs>
        <w:ind w:left="369"/>
        <w:snapToGrid w:val="0"/>
      </w:pPr>
      <w:hyperlink w:anchor="rw_heading_9">
        <w:r>
          <w:rPr>
            <w:rFonts w:ascii="Calibri" w:hAnsi="Calibri" w:eastAsia="宋体" w:cs="Times New Roman"/>
            <w:kern w:val="2"/>
            <w:sz w:val="21"/>
            <w:szCs w:val="22"/>
            <w:lang w:val="en-US" w:eastAsia="zh-CN" w:bidi="ar-SA"/>
          </w:rPr>
          <w:t>2.5　运行分位数与相对性能开销</w:t>
        </w:r>
      </w:hyperlink>
      <w:r>
        <w:rPr>
          <w:rFonts w:ascii="Calibri" w:hAnsi="Calibri" w:eastAsia="宋体" w:cs="Times New Roman"/>
          <w:kern w:val="2"/>
          <w:sz w:val="21"/>
          <w:szCs w:val="22"/>
          <w:lang w:val="en-US" w:eastAsia="zh-CN" w:bidi="ar-SA"/>
        </w:rPr>
        <w:tab/>
        <w:t>9</w:t>
      </w:r>
    </w:p>
    <w:p>
      <w:pPr>
        <w:pStyle w:val="RWTOC1"/>
        <w:tabs>
          <w:tab w:pos="8957" w:val="right" w:leader="dot"/>
        </w:tabs>
        <w:ind w:left="0"/>
        <w:snapToGrid w:val="0"/>
      </w:pPr>
      <w:hyperlink w:anchor="paper_heading_9006">
        <w:r>
          <w:rPr>
            <w:rFonts w:ascii="Calibri" w:hAnsi="Calibri" w:eastAsia="宋体" w:cs="Times New Roman"/>
            <w:kern w:val="2"/>
            <w:sz w:val="21"/>
            <w:szCs w:val="22"/>
            <w:lang w:val="en-US" w:eastAsia="zh-CN" w:bidi="ar-SA"/>
            <w:b/>
          </w:rPr>
          <w:t>第3章　系统设计与实验方法</w:t>
        </w:r>
      </w:hyperlink>
      <w:r>
        <w:rPr>
          <w:rFonts w:ascii="Calibri" w:hAnsi="Calibri" w:eastAsia="宋体" w:cs="Times New Roman"/>
          <w:kern w:val="2"/>
          <w:sz w:val="21"/>
          <w:szCs w:val="22"/>
          <w:lang w:val="en-US" w:eastAsia="zh-CN" w:bidi="ar-SA"/>
          <w:b/>
        </w:rPr>
        <w:tab/>
        <w:t>10</w:t>
      </w:r>
    </w:p>
    <w:p>
      <w:pPr>
        <w:pStyle w:val="RWTOC2"/>
        <w:tabs>
          <w:tab w:pos="8957" w:val="right" w:leader="dot"/>
        </w:tabs>
        <w:ind w:left="369"/>
        <w:snapToGrid w:val="0"/>
      </w:pPr>
      <w:hyperlink w:anchor="paper_heading_9007">
        <w:r>
          <w:rPr>
            <w:rFonts w:ascii="Calibri" w:hAnsi="Calibri" w:eastAsia="宋体" w:cs="Times New Roman"/>
            <w:kern w:val="2"/>
            <w:sz w:val="21"/>
            <w:szCs w:val="22"/>
            <w:lang w:val="en-US" w:eastAsia="zh-CN" w:bidi="ar-SA"/>
          </w:rPr>
          <w:t>3.1　系统总体设计</w:t>
        </w:r>
      </w:hyperlink>
      <w:r>
        <w:rPr>
          <w:rFonts w:ascii="Calibri" w:hAnsi="Calibri" w:eastAsia="宋体" w:cs="Times New Roman"/>
          <w:kern w:val="2"/>
          <w:sz w:val="21"/>
          <w:szCs w:val="22"/>
          <w:lang w:val="en-US" w:eastAsia="zh-CN" w:bidi="ar-SA"/>
        </w:rPr>
        <w:tab/>
        <w:t>10</w:t>
      </w:r>
    </w:p>
    <w:p>
      <w:pPr>
        <w:pStyle w:val="RWTOC2"/>
        <w:tabs>
          <w:tab w:pos="8957" w:val="right" w:leader="dot"/>
        </w:tabs>
        <w:ind w:left="369"/>
        <w:snapToGrid w:val="0"/>
      </w:pPr>
      <w:hyperlink w:anchor="paper_heading_9008">
        <w:r>
          <w:rPr>
            <w:rFonts w:ascii="Calibri" w:hAnsi="Calibri" w:eastAsia="宋体" w:cs="Times New Roman"/>
            <w:kern w:val="2"/>
            <w:sz w:val="21"/>
            <w:szCs w:val="22"/>
            <w:lang w:val="en-US" w:eastAsia="zh-CN" w:bidi="ar-SA"/>
          </w:rPr>
          <w:t>3.2　版本固定与对照实现</w:t>
        </w:r>
      </w:hyperlink>
      <w:r>
        <w:rPr>
          <w:rFonts w:ascii="Calibri" w:hAnsi="Calibri" w:eastAsia="宋体" w:cs="Times New Roman"/>
          <w:kern w:val="2"/>
          <w:sz w:val="21"/>
          <w:szCs w:val="22"/>
          <w:lang w:val="en-US" w:eastAsia="zh-CN" w:bidi="ar-SA"/>
        </w:rPr>
        <w:tab/>
        <w:t>12</w:t>
      </w:r>
    </w:p>
    <w:p>
      <w:pPr>
        <w:pStyle w:val="RWTOC2"/>
        <w:tabs>
          <w:tab w:pos="8957" w:val="right" w:leader="dot"/>
        </w:tabs>
        <w:ind w:left="369"/>
        <w:snapToGrid w:val="0"/>
      </w:pPr>
      <w:hyperlink w:anchor="rw_heading_13">
        <w:r>
          <w:rPr>
            <w:rFonts w:ascii="Calibri" w:hAnsi="Calibri" w:eastAsia="宋体" w:cs="Times New Roman"/>
            <w:kern w:val="2"/>
            <w:sz w:val="21"/>
            <w:szCs w:val="22"/>
            <w:lang w:val="en-US" w:eastAsia="zh-CN" w:bidi="ar-SA"/>
          </w:rPr>
          <w:t>3.3　普通输入组织与完整解封装计时</w:t>
        </w:r>
      </w:hyperlink>
      <w:r>
        <w:rPr>
          <w:rFonts w:ascii="Calibri" w:hAnsi="Calibri" w:eastAsia="宋体" w:cs="Times New Roman"/>
          <w:kern w:val="2"/>
          <w:sz w:val="21"/>
          <w:szCs w:val="22"/>
          <w:lang w:val="en-US" w:eastAsia="zh-CN" w:bidi="ar-SA"/>
        </w:rPr>
        <w:tab/>
        <w:t>13</w:t>
      </w:r>
    </w:p>
    <w:p>
      <w:pPr>
        <w:pStyle w:val="RWTOC2"/>
        <w:tabs>
          <w:tab w:pos="8957" w:val="right" w:leader="dot"/>
        </w:tabs>
        <w:ind w:left="369"/>
        <w:snapToGrid w:val="0"/>
      </w:pPr>
      <w:hyperlink w:anchor="paper_heading_9009">
        <w:r>
          <w:rPr>
            <w:rFonts w:ascii="Calibri" w:hAnsi="Calibri" w:eastAsia="宋体" w:cs="Times New Roman"/>
            <w:kern w:val="2"/>
            <w:sz w:val="21"/>
            <w:szCs w:val="22"/>
            <w:lang w:val="en-US" w:eastAsia="zh-CN" w:bidi="ar-SA"/>
          </w:rPr>
          <w:t>3.4　运行记录与数据核对</w:t>
        </w:r>
      </w:hyperlink>
      <w:r>
        <w:rPr>
          <w:rFonts w:ascii="Calibri" w:hAnsi="Calibri" w:eastAsia="宋体" w:cs="Times New Roman"/>
          <w:kern w:val="2"/>
          <w:sz w:val="21"/>
          <w:szCs w:val="22"/>
          <w:lang w:val="en-US" w:eastAsia="zh-CN" w:bidi="ar-SA"/>
        </w:rPr>
        <w:tab/>
        <w:t>14</w:t>
      </w:r>
    </w:p>
    <w:p>
      <w:pPr>
        <w:pStyle w:val="RWTOC2"/>
        <w:tabs>
          <w:tab w:pos="8957" w:val="right" w:leader="dot"/>
        </w:tabs>
        <w:ind w:left="369"/>
        <w:snapToGrid w:val="0"/>
      </w:pPr>
      <w:hyperlink w:anchor="paper_heading_9010">
        <w:r>
          <w:rPr>
            <w:rFonts w:ascii="Calibri" w:hAnsi="Calibri" w:eastAsia="宋体" w:cs="Times New Roman"/>
            <w:kern w:val="2"/>
            <w:sz w:val="21"/>
            <w:szCs w:val="22"/>
            <w:lang w:val="en-US" w:eastAsia="zh-CN" w:bidi="ar-SA"/>
          </w:rPr>
          <w:t>3.5　数据完整性检查与精确置换计算</w:t>
        </w:r>
      </w:hyperlink>
      <w:r>
        <w:rPr>
          <w:rFonts w:ascii="Calibri" w:hAnsi="Calibri" w:eastAsia="宋体" w:cs="Times New Roman"/>
          <w:kern w:val="2"/>
          <w:sz w:val="21"/>
          <w:szCs w:val="22"/>
          <w:lang w:val="en-US" w:eastAsia="zh-CN" w:bidi="ar-SA"/>
        </w:rPr>
        <w:tab/>
        <w:t>15</w:t>
      </w:r>
    </w:p>
    <w:p>
      <w:pPr>
        <w:pStyle w:val="RWTOC2"/>
        <w:tabs>
          <w:tab w:pos="8957" w:val="right" w:leader="dot"/>
        </w:tabs>
        <w:ind w:left="369"/>
        <w:snapToGrid w:val="0"/>
      </w:pPr>
      <w:hyperlink w:anchor="rw_heading_16">
        <w:r>
          <w:rPr>
            <w:rFonts w:ascii="Calibri" w:hAnsi="Calibri" w:eastAsia="宋体" w:cs="Times New Roman"/>
            <w:kern w:val="2"/>
            <w:sz w:val="21"/>
            <w:szCs w:val="22"/>
            <w:lang w:val="en-US" w:eastAsia="zh-CN" w:bidi="ar-SA"/>
          </w:rPr>
          <w:t>3.6　材料复现流程与离线结果展示</w:t>
        </w:r>
      </w:hyperlink>
      <w:r>
        <w:rPr>
          <w:rFonts w:ascii="Calibri" w:hAnsi="Calibri" w:eastAsia="宋体" w:cs="Times New Roman"/>
          <w:kern w:val="2"/>
          <w:sz w:val="21"/>
          <w:szCs w:val="22"/>
          <w:lang w:val="en-US" w:eastAsia="zh-CN" w:bidi="ar-SA"/>
        </w:rPr>
        <w:tab/>
        <w:t>16</w:t>
      </w:r>
    </w:p>
    <w:p>
      <w:pPr>
        <w:pStyle w:val="RWTOC2"/>
        <w:tabs>
          <w:tab w:pos="8957" w:val="right" w:leader="dot"/>
        </w:tabs>
        <w:ind w:left="369"/>
        <w:snapToGrid w:val="0"/>
      </w:pPr>
      <w:hyperlink w:anchor="paper_heading_9002">
        <w:r>
          <w:rPr>
            <w:rFonts w:ascii="Calibri" w:hAnsi="Calibri" w:eastAsia="宋体" w:cs="Times New Roman"/>
            <w:kern w:val="2"/>
            <w:sz w:val="21"/>
            <w:szCs w:val="22"/>
            <w:lang w:val="en-US" w:eastAsia="zh-CN" w:bidi="ar-SA"/>
          </w:rPr>
          <w:t>3.7　实验设计的取舍与依据</w:t>
        </w:r>
      </w:hyperlink>
      <w:r>
        <w:rPr>
          <w:rFonts w:ascii="Calibri" w:hAnsi="Calibri" w:eastAsia="宋体" w:cs="Times New Roman"/>
          <w:kern w:val="2"/>
          <w:sz w:val="21"/>
          <w:szCs w:val="22"/>
          <w:lang w:val="en-US" w:eastAsia="zh-CN" w:bidi="ar-SA"/>
        </w:rPr>
        <w:tab/>
        <w:t>17</w:t>
      </w:r>
    </w:p>
    <w:p>
      <w:pPr>
        <w:pStyle w:val="RWTOC1"/>
        <w:tabs>
          <w:tab w:pos="8957" w:val="right" w:leader="dot"/>
        </w:tabs>
        <w:ind w:left="0"/>
        <w:snapToGrid w:val="0"/>
      </w:pPr>
      <w:hyperlink w:anchor="rw_heading_17">
        <w:r>
          <w:rPr>
            <w:rFonts w:ascii="Calibri" w:hAnsi="Calibri" w:eastAsia="宋体" w:cs="Times New Roman"/>
            <w:kern w:val="2"/>
            <w:sz w:val="21"/>
            <w:szCs w:val="22"/>
            <w:lang w:val="en-US" w:eastAsia="zh-CN" w:bidi="ar-SA"/>
            <w:b/>
          </w:rPr>
          <w:t>第4章　实现安全性与审计结论的适用范围</w:t>
        </w:r>
      </w:hyperlink>
      <w:r>
        <w:rPr>
          <w:rFonts w:ascii="Calibri" w:hAnsi="Calibri" w:eastAsia="宋体" w:cs="Times New Roman"/>
          <w:kern w:val="2"/>
          <w:sz w:val="21"/>
          <w:szCs w:val="22"/>
          <w:lang w:val="en-US" w:eastAsia="zh-CN" w:bidi="ar-SA"/>
          <w:b/>
        </w:rPr>
        <w:tab/>
        <w:t>18</w:t>
      </w:r>
    </w:p>
    <w:p>
      <w:pPr>
        <w:pStyle w:val="RWTOC2"/>
        <w:tabs>
          <w:tab w:pos="8957" w:val="right" w:leader="dot"/>
        </w:tabs>
        <w:ind w:left="369"/>
        <w:snapToGrid w:val="0"/>
      </w:pPr>
      <w:hyperlink w:anchor="rw_heading_18">
        <w:r>
          <w:rPr>
            <w:rFonts w:ascii="Calibri" w:hAnsi="Calibri" w:eastAsia="宋体" w:cs="Times New Roman"/>
            <w:kern w:val="2"/>
            <w:sz w:val="21"/>
            <w:szCs w:val="22"/>
            <w:lang w:val="en-US" w:eastAsia="zh-CN" w:bidi="ar-SA"/>
          </w:rPr>
          <w:t>4.1　本地审计的对象与可见信息</w:t>
        </w:r>
      </w:hyperlink>
      <w:r>
        <w:rPr>
          <w:rFonts w:ascii="Calibri" w:hAnsi="Calibri" w:eastAsia="宋体" w:cs="Times New Roman"/>
          <w:kern w:val="2"/>
          <w:sz w:val="21"/>
          <w:szCs w:val="22"/>
          <w:lang w:val="en-US" w:eastAsia="zh-CN" w:bidi="ar-SA"/>
        </w:rPr>
        <w:tab/>
        <w:t>18</w:t>
      </w:r>
    </w:p>
    <w:p>
      <w:pPr>
        <w:pStyle w:val="RWTOC2"/>
        <w:tabs>
          <w:tab w:pos="8957" w:val="right" w:leader="dot"/>
        </w:tabs>
        <w:ind w:left="369"/>
        <w:snapToGrid w:val="0"/>
      </w:pPr>
      <w:hyperlink w:anchor="rw_heading_19">
        <w:r>
          <w:rPr>
            <w:rFonts w:ascii="Calibri" w:hAnsi="Calibri" w:eastAsia="宋体" w:cs="Times New Roman"/>
            <w:kern w:val="2"/>
            <w:sz w:val="21"/>
            <w:szCs w:val="22"/>
            <w:lang w:val="en-US" w:eastAsia="zh-CN" w:bidi="ar-SA"/>
          </w:rPr>
          <w:t>4.2　标准语义与外部接口保护</w:t>
        </w:r>
      </w:hyperlink>
      <w:r>
        <w:rPr>
          <w:rFonts w:ascii="Calibri" w:hAnsi="Calibri" w:eastAsia="宋体" w:cs="Times New Roman"/>
          <w:kern w:val="2"/>
          <w:sz w:val="21"/>
          <w:szCs w:val="22"/>
          <w:lang w:val="en-US" w:eastAsia="zh-CN" w:bidi="ar-SA"/>
        </w:rPr>
        <w:tab/>
        <w:t>19</w:t>
      </w:r>
    </w:p>
    <w:p>
      <w:pPr>
        <w:pStyle w:val="RWTOC2"/>
        <w:tabs>
          <w:tab w:pos="8957" w:val="right" w:leader="dot"/>
        </w:tabs>
        <w:ind w:left="369"/>
        <w:snapToGrid w:val="0"/>
      </w:pPr>
      <w:hyperlink w:anchor="rw_heading_20">
        <w:r>
          <w:rPr>
            <w:rFonts w:ascii="Calibri" w:hAnsi="Calibri" w:eastAsia="宋体" w:cs="Times New Roman"/>
            <w:kern w:val="2"/>
            <w:sz w:val="21"/>
            <w:szCs w:val="22"/>
            <w:lang w:val="en-US" w:eastAsia="zh-CN" w:bidi="ar-SA"/>
          </w:rPr>
          <w:t>4.3　恒时实现检查与历史案例解释</w:t>
        </w:r>
      </w:hyperlink>
      <w:r>
        <w:rPr>
          <w:rFonts w:ascii="Calibri" w:hAnsi="Calibri" w:eastAsia="宋体" w:cs="Times New Roman"/>
          <w:kern w:val="2"/>
          <w:sz w:val="21"/>
          <w:szCs w:val="22"/>
          <w:lang w:val="en-US" w:eastAsia="zh-CN" w:bidi="ar-SA"/>
        </w:rPr>
        <w:tab/>
        <w:t>20</w:t>
      </w:r>
    </w:p>
    <w:p>
      <w:pPr>
        <w:pStyle w:val="RWTOC2"/>
        <w:tabs>
          <w:tab w:pos="8957" w:val="right" w:leader="dot"/>
        </w:tabs>
        <w:ind w:left="369"/>
        <w:snapToGrid w:val="0"/>
      </w:pPr>
      <w:hyperlink w:anchor="paper_heading_9011">
        <w:r>
          <w:rPr>
            <w:rFonts w:ascii="Calibri" w:hAnsi="Calibri" w:eastAsia="宋体" w:cs="Times New Roman"/>
            <w:kern w:val="2"/>
            <w:sz w:val="21"/>
            <w:szCs w:val="22"/>
            <w:lang w:val="en-US" w:eastAsia="zh-CN" w:bidi="ar-SA"/>
          </w:rPr>
          <w:t>4.4　置换检验的假设与第一类错误控制</w:t>
        </w:r>
      </w:hyperlink>
      <w:r>
        <w:rPr>
          <w:rFonts w:ascii="Calibri" w:hAnsi="Calibri" w:eastAsia="宋体" w:cs="Times New Roman"/>
          <w:kern w:val="2"/>
          <w:sz w:val="21"/>
          <w:szCs w:val="22"/>
          <w:lang w:val="en-US" w:eastAsia="zh-CN" w:bidi="ar-SA"/>
        </w:rPr>
        <w:tab/>
        <w:t>20</w:t>
      </w:r>
    </w:p>
    <w:p>
      <w:pPr>
        <w:pStyle w:val="RWTOC2"/>
        <w:tabs>
          <w:tab w:pos="8957" w:val="right" w:leader="dot"/>
        </w:tabs>
        <w:ind w:left="369"/>
        <w:snapToGrid w:val="0"/>
      </w:pPr>
      <w:hyperlink w:anchor="paper_heading_9012">
        <w:r>
          <w:rPr>
            <w:rFonts w:ascii="Calibri" w:hAnsi="Calibri" w:eastAsia="宋体" w:cs="Times New Roman"/>
            <w:kern w:val="2"/>
            <w:sz w:val="21"/>
            <w:szCs w:val="22"/>
            <w:lang w:val="en-US" w:eastAsia="zh-CN" w:bidi="ar-SA"/>
          </w:rPr>
          <w:t>4.5　平均时间差置信区间的有限样本分析</w:t>
        </w:r>
      </w:hyperlink>
      <w:r>
        <w:rPr>
          <w:rFonts w:ascii="Calibri" w:hAnsi="Calibri" w:eastAsia="宋体" w:cs="Times New Roman"/>
          <w:kern w:val="2"/>
          <w:sz w:val="21"/>
          <w:szCs w:val="22"/>
          <w:lang w:val="en-US" w:eastAsia="zh-CN" w:bidi="ar-SA"/>
        </w:rPr>
        <w:tab/>
        <w:t>22</w:t>
      </w:r>
    </w:p>
    <w:p>
      <w:pPr>
        <w:spacing w:after="360"/>
        <w:jc w:val="center"/>
        <w:snapToGrid w:val="0"/>
        <w:pageBreakBefore/>
      </w:pPr>
      <w:r>
        <w:rPr>
          <w:rFonts w:hint="eastAsia" w:ascii="华文楷体" w:hAnsi="华文楷体" w:eastAsia="华文楷体"/>
          <w:sz w:val="30"/>
          <w:szCs w:val="30"/>
          <w:b/>
        </w:rPr>
        <w:t>目　录（续）</w:t>
      </w:r>
    </w:p>
    <w:p>
      <w:pPr>
        <w:pStyle w:val="RWTOC2"/>
        <w:tabs>
          <w:tab w:pos="8957" w:val="right" w:leader="dot"/>
        </w:tabs>
        <w:ind w:left="369"/>
        <w:snapToGrid w:val="0"/>
      </w:pPr>
      <w:hyperlink w:anchor="rw_heading_22">
        <w:r>
          <w:rPr>
            <w:rFonts w:ascii="Calibri" w:hAnsi="Calibri" w:eastAsia="宋体" w:cs="Times New Roman"/>
            <w:kern w:val="2"/>
            <w:sz w:val="21"/>
            <w:szCs w:val="22"/>
            <w:lang w:val="en-US" w:eastAsia="zh-CN" w:bidi="ar-SA"/>
          </w:rPr>
          <w:t>4.6　复现一致性与研究结论的区分</w:t>
        </w:r>
      </w:hyperlink>
      <w:r>
        <w:rPr>
          <w:rFonts w:ascii="Calibri" w:hAnsi="Calibri" w:eastAsia="宋体" w:cs="Times New Roman"/>
          <w:kern w:val="2"/>
          <w:sz w:val="21"/>
          <w:szCs w:val="22"/>
          <w:lang w:val="en-US" w:eastAsia="zh-CN" w:bidi="ar-SA"/>
        </w:rPr>
        <w:tab/>
        <w:t>23</w:t>
      </w:r>
    </w:p>
    <w:p>
      <w:pPr>
        <w:pStyle w:val="RWTOC1"/>
        <w:tabs>
          <w:tab w:pos="8957" w:val="right" w:leader="dot"/>
        </w:tabs>
        <w:ind w:left="0"/>
        <w:snapToGrid w:val="0"/>
      </w:pPr>
      <w:hyperlink w:anchor="rw_heading_23">
        <w:r>
          <w:rPr>
            <w:rFonts w:ascii="Calibri" w:hAnsi="Calibri" w:eastAsia="宋体" w:cs="Times New Roman"/>
            <w:kern w:val="2"/>
            <w:sz w:val="21"/>
            <w:szCs w:val="22"/>
            <w:lang w:val="en-US" w:eastAsia="zh-CN" w:bidi="ar-SA"/>
            <w:b/>
          </w:rPr>
          <w:t>第5章　系统测试与实验结果分析</w:t>
        </w:r>
      </w:hyperlink>
      <w:r>
        <w:rPr>
          <w:rFonts w:ascii="Calibri" w:hAnsi="Calibri" w:eastAsia="宋体" w:cs="Times New Roman"/>
          <w:kern w:val="2"/>
          <w:sz w:val="21"/>
          <w:szCs w:val="22"/>
          <w:lang w:val="en-US" w:eastAsia="zh-CN" w:bidi="ar-SA"/>
          <w:b/>
        </w:rPr>
        <w:tab/>
        <w:t>24</w:t>
      </w:r>
    </w:p>
    <w:p>
      <w:pPr>
        <w:pStyle w:val="RWTOC2"/>
        <w:tabs>
          <w:tab w:pos="8957" w:val="right" w:leader="dot"/>
        </w:tabs>
        <w:ind w:left="369"/>
        <w:snapToGrid w:val="0"/>
      </w:pPr>
      <w:hyperlink w:anchor="paper_heading_9013">
        <w:r>
          <w:rPr>
            <w:rFonts w:ascii="Calibri" w:hAnsi="Calibri" w:eastAsia="宋体" w:cs="Times New Roman"/>
            <w:kern w:val="2"/>
            <w:sz w:val="21"/>
            <w:szCs w:val="22"/>
            <w:lang w:val="en-US" w:eastAsia="zh-CN" w:bidi="ar-SA"/>
          </w:rPr>
          <w:t>5.1　测试环境与验证方案</w:t>
        </w:r>
      </w:hyperlink>
      <w:r>
        <w:rPr>
          <w:rFonts w:ascii="Calibri" w:hAnsi="Calibri" w:eastAsia="宋体" w:cs="Times New Roman"/>
          <w:kern w:val="2"/>
          <w:sz w:val="21"/>
          <w:szCs w:val="22"/>
          <w:lang w:val="en-US" w:eastAsia="zh-CN" w:bidi="ar-SA"/>
        </w:rPr>
        <w:tab/>
        <w:t>24</w:t>
      </w:r>
    </w:p>
    <w:p>
      <w:pPr>
        <w:pStyle w:val="RWTOC2"/>
        <w:tabs>
          <w:tab w:pos="8957" w:val="right" w:leader="dot"/>
        </w:tabs>
        <w:ind w:left="369"/>
        <w:snapToGrid w:val="0"/>
      </w:pPr>
      <w:hyperlink w:anchor="rw_heading_25">
        <w:r>
          <w:rPr>
            <w:rFonts w:ascii="Calibri" w:hAnsi="Calibri" w:eastAsia="宋体" w:cs="Times New Roman"/>
            <w:kern w:val="2"/>
            <w:sz w:val="21"/>
            <w:szCs w:val="22"/>
            <w:lang w:val="en-US" w:eastAsia="zh-CN" w:bidi="ar-SA"/>
          </w:rPr>
          <w:t>5.2　独立向量验证与接口边界检查</w:t>
        </w:r>
      </w:hyperlink>
      <w:r>
        <w:rPr>
          <w:rFonts w:ascii="Calibri" w:hAnsi="Calibri" w:eastAsia="宋体" w:cs="Times New Roman"/>
          <w:kern w:val="2"/>
          <w:sz w:val="21"/>
          <w:szCs w:val="22"/>
          <w:lang w:val="en-US" w:eastAsia="zh-CN" w:bidi="ar-SA"/>
        </w:rPr>
        <w:tab/>
        <w:t>25</w:t>
      </w:r>
    </w:p>
    <w:p>
      <w:pPr>
        <w:pStyle w:val="RWTOC2"/>
        <w:tabs>
          <w:tab w:pos="8957" w:val="right" w:leader="dot"/>
        </w:tabs>
        <w:ind w:left="369"/>
        <w:snapToGrid w:val="0"/>
      </w:pPr>
      <w:hyperlink w:anchor="rw_heading_26">
        <w:r>
          <w:rPr>
            <w:rFonts w:ascii="Calibri" w:hAnsi="Calibri" w:eastAsia="宋体" w:cs="Times New Roman"/>
            <w:kern w:val="2"/>
            <w:sz w:val="21"/>
            <w:szCs w:val="22"/>
            <w:lang w:val="en-US" w:eastAsia="zh-CN" w:bidi="ar-SA"/>
          </w:rPr>
          <w:t>5.3　普通解封装性能与跨运行波动</w:t>
        </w:r>
      </w:hyperlink>
      <w:r>
        <w:rPr>
          <w:rFonts w:ascii="Calibri" w:hAnsi="Calibri" w:eastAsia="宋体" w:cs="Times New Roman"/>
          <w:kern w:val="2"/>
          <w:sz w:val="21"/>
          <w:szCs w:val="22"/>
          <w:lang w:val="en-US" w:eastAsia="zh-CN" w:bidi="ar-SA"/>
        </w:rPr>
        <w:tab/>
        <w:t>26</w:t>
      </w:r>
    </w:p>
    <w:p>
      <w:pPr>
        <w:pStyle w:val="RWTOC2"/>
        <w:tabs>
          <w:tab w:pos="8957" w:val="right" w:leader="dot"/>
        </w:tabs>
        <w:ind w:left="369"/>
        <w:snapToGrid w:val="0"/>
      </w:pPr>
      <w:hyperlink w:anchor="paper_heading_9014">
        <w:r>
          <w:rPr>
            <w:rFonts w:ascii="Calibri" w:hAnsi="Calibri" w:eastAsia="宋体" w:cs="Times New Roman"/>
            <w:kern w:val="2"/>
            <w:sz w:val="21"/>
            <w:szCs w:val="22"/>
            <w:lang w:val="en-US" w:eastAsia="zh-CN" w:bidi="ar-SA"/>
          </w:rPr>
          <w:t>5.4　精确置换计算效率与计时范围复核</w:t>
        </w:r>
      </w:hyperlink>
      <w:r>
        <w:rPr>
          <w:rFonts w:ascii="Calibri" w:hAnsi="Calibri" w:eastAsia="宋体" w:cs="Times New Roman"/>
          <w:kern w:val="2"/>
          <w:sz w:val="21"/>
          <w:szCs w:val="22"/>
          <w:lang w:val="en-US" w:eastAsia="zh-CN" w:bidi="ar-SA"/>
        </w:rPr>
        <w:tab/>
        <w:t>28</w:t>
      </w:r>
    </w:p>
    <w:p>
      <w:pPr>
        <w:pStyle w:val="RWTOC2"/>
        <w:tabs>
          <w:tab w:pos="8957" w:val="right" w:leader="dot"/>
        </w:tabs>
        <w:ind w:left="369"/>
        <w:snapToGrid w:val="0"/>
      </w:pPr>
      <w:hyperlink w:anchor="paper_heading_9015">
        <w:r>
          <w:rPr>
            <w:rFonts w:ascii="Calibri" w:hAnsi="Calibri" w:eastAsia="宋体" w:cs="Times New Roman"/>
            <w:kern w:val="2"/>
            <w:sz w:val="21"/>
            <w:szCs w:val="22"/>
            <w:lang w:val="en-US" w:eastAsia="zh-CN" w:bidi="ar-SA"/>
          </w:rPr>
          <w:t>5.5　有限样本数值验证中的第一类错误与功效</w:t>
        </w:r>
      </w:hyperlink>
      <w:r>
        <w:rPr>
          <w:rFonts w:ascii="Calibri" w:hAnsi="Calibri" w:eastAsia="宋体" w:cs="Times New Roman"/>
          <w:kern w:val="2"/>
          <w:sz w:val="21"/>
          <w:szCs w:val="22"/>
          <w:lang w:val="en-US" w:eastAsia="zh-CN" w:bidi="ar-SA"/>
        </w:rPr>
        <w:tab/>
        <w:t>31</w:t>
      </w:r>
    </w:p>
    <w:p>
      <w:pPr>
        <w:pStyle w:val="RWTOC2"/>
        <w:tabs>
          <w:tab w:pos="8957" w:val="right" w:leader="dot"/>
        </w:tabs>
        <w:ind w:left="369"/>
        <w:snapToGrid w:val="0"/>
      </w:pPr>
      <w:hyperlink w:anchor="paper_heading_9016">
        <w:r>
          <w:rPr>
            <w:rFonts w:ascii="Calibri" w:hAnsi="Calibri" w:eastAsia="宋体" w:cs="Times New Roman"/>
            <w:kern w:val="2"/>
            <w:sz w:val="21"/>
            <w:szCs w:val="22"/>
            <w:lang w:val="en-US" w:eastAsia="zh-CN" w:bidi="ar-SA"/>
          </w:rPr>
          <w:t>5.6　固定时间记录的置换检验校验</w:t>
        </w:r>
      </w:hyperlink>
      <w:r>
        <w:rPr>
          <w:rFonts w:ascii="Calibri" w:hAnsi="Calibri" w:eastAsia="宋体" w:cs="Times New Roman"/>
          <w:kern w:val="2"/>
          <w:sz w:val="21"/>
          <w:szCs w:val="22"/>
          <w:lang w:val="en-US" w:eastAsia="zh-CN" w:bidi="ar-SA"/>
        </w:rPr>
        <w:tab/>
        <w:t>33</w:t>
      </w:r>
    </w:p>
    <w:p>
      <w:pPr>
        <w:pStyle w:val="RWTOC2"/>
        <w:tabs>
          <w:tab w:pos="8957" w:val="right" w:leader="dot"/>
        </w:tabs>
        <w:ind w:left="369"/>
        <w:snapToGrid w:val="0"/>
      </w:pPr>
      <w:hyperlink w:anchor="rw_heading_30">
        <w:r>
          <w:rPr>
            <w:rFonts w:ascii="Calibri" w:hAnsi="Calibri" w:eastAsia="宋体" w:cs="Times New Roman"/>
            <w:kern w:val="2"/>
            <w:sz w:val="21"/>
            <w:szCs w:val="22"/>
            <w:lang w:val="en-US" w:eastAsia="zh-CN" w:bidi="ar-SA"/>
          </w:rPr>
          <w:t>5.7　历史案例审计与封存材料复算</w:t>
        </w:r>
      </w:hyperlink>
      <w:r>
        <w:rPr>
          <w:rFonts w:ascii="Calibri" w:hAnsi="Calibri" w:eastAsia="宋体" w:cs="Times New Roman"/>
          <w:kern w:val="2"/>
          <w:sz w:val="21"/>
          <w:szCs w:val="22"/>
          <w:lang w:val="en-US" w:eastAsia="zh-CN" w:bidi="ar-SA"/>
        </w:rPr>
        <w:tab/>
        <w:t>34</w:t>
      </w:r>
    </w:p>
    <w:p>
      <w:pPr>
        <w:pStyle w:val="RWTOC2"/>
        <w:tabs>
          <w:tab w:pos="8957" w:val="right" w:leader="dot"/>
        </w:tabs>
        <w:ind w:left="369"/>
        <w:snapToGrid w:val="0"/>
      </w:pPr>
      <w:hyperlink w:anchor="rw_heading_31">
        <w:r>
          <w:rPr>
            <w:rFonts w:ascii="Calibri" w:hAnsi="Calibri" w:eastAsia="宋体" w:cs="Times New Roman"/>
            <w:kern w:val="2"/>
            <w:sz w:val="21"/>
            <w:szCs w:val="22"/>
            <w:lang w:val="en-US" w:eastAsia="zh-CN" w:bidi="ar-SA"/>
          </w:rPr>
          <w:t>5.8　同机人工对照的防护前后复测</w:t>
        </w:r>
      </w:hyperlink>
      <w:r>
        <w:rPr>
          <w:rFonts w:ascii="Calibri" w:hAnsi="Calibri" w:eastAsia="宋体" w:cs="Times New Roman"/>
          <w:kern w:val="2"/>
          <w:sz w:val="21"/>
          <w:szCs w:val="22"/>
          <w:lang w:val="en-US" w:eastAsia="zh-CN" w:bidi="ar-SA"/>
        </w:rPr>
        <w:tab/>
        <w:t>35</w:t>
      </w:r>
    </w:p>
    <w:p>
      <w:pPr>
        <w:pStyle w:val="RWTOC2"/>
        <w:tabs>
          <w:tab w:pos="8957" w:val="right" w:leader="dot"/>
        </w:tabs>
        <w:ind w:left="369"/>
        <w:snapToGrid w:val="0"/>
      </w:pPr>
      <w:hyperlink w:anchor="paper_heading_9017">
        <w:r>
          <w:rPr>
            <w:rFonts w:ascii="Calibri" w:hAnsi="Calibri" w:eastAsia="宋体" w:cs="Times New Roman"/>
            <w:kern w:val="2"/>
            <w:sz w:val="21"/>
            <w:szCs w:val="22"/>
            <w:lang w:val="en-US" w:eastAsia="zh-CN" w:bidi="ar-SA"/>
          </w:rPr>
          <w:t>5.9　受控运行的平均频率与时间分布</w:t>
        </w:r>
      </w:hyperlink>
      <w:r>
        <w:rPr>
          <w:rFonts w:ascii="Calibri" w:hAnsi="Calibri" w:eastAsia="宋体" w:cs="Times New Roman"/>
          <w:kern w:val="2"/>
          <w:sz w:val="21"/>
          <w:szCs w:val="22"/>
          <w:lang w:val="en-US" w:eastAsia="zh-CN" w:bidi="ar-SA"/>
        </w:rPr>
        <w:tab/>
        <w:t>37</w:t>
      </w:r>
    </w:p>
    <w:p>
      <w:pPr>
        <w:pStyle w:val="RWTOC2"/>
        <w:tabs>
          <w:tab w:pos="8957" w:val="right" w:leader="dot"/>
        </w:tabs>
        <w:ind w:left="369"/>
        <w:snapToGrid w:val="0"/>
      </w:pPr>
      <w:hyperlink w:anchor="paper_heading_9018">
        <w:r>
          <w:rPr>
            <w:rFonts w:ascii="Calibri" w:hAnsi="Calibri" w:eastAsia="宋体" w:cs="Times New Roman"/>
            <w:kern w:val="2"/>
            <w:sz w:val="21"/>
            <w:szCs w:val="22"/>
            <w:lang w:val="en-US" w:eastAsia="zh-CN" w:bidi="ar-SA"/>
          </w:rPr>
          <w:t>5.10　空窗口开销与完整调用的运行间变异</w:t>
        </w:r>
      </w:hyperlink>
      <w:r>
        <w:rPr>
          <w:rFonts w:ascii="Calibri" w:hAnsi="Calibri" w:eastAsia="宋体" w:cs="Times New Roman"/>
          <w:kern w:val="2"/>
          <w:sz w:val="21"/>
          <w:szCs w:val="22"/>
          <w:lang w:val="en-US" w:eastAsia="zh-CN" w:bidi="ar-SA"/>
        </w:rPr>
        <w:tab/>
        <w:t>40</w:t>
      </w:r>
    </w:p>
    <w:p>
      <w:pPr>
        <w:pStyle w:val="RWTOC2"/>
        <w:tabs>
          <w:tab w:pos="8957" w:val="right" w:leader="dot"/>
        </w:tabs>
        <w:ind w:left="369"/>
        <w:snapToGrid w:val="0"/>
      </w:pPr>
      <w:hyperlink w:anchor="paper_heading_9003">
        <w:r>
          <w:rPr>
            <w:rFonts w:ascii="Calibri" w:hAnsi="Calibri" w:eastAsia="宋体" w:cs="Times New Roman"/>
            <w:kern w:val="2"/>
            <w:sz w:val="21"/>
            <w:szCs w:val="22"/>
            <w:lang w:val="en-US" w:eastAsia="zh-CN" w:bidi="ar-SA"/>
          </w:rPr>
          <w:t>5.11　综合结果与有效性讨论</w:t>
        </w:r>
      </w:hyperlink>
      <w:r>
        <w:rPr>
          <w:rFonts w:ascii="Calibri" w:hAnsi="Calibri" w:eastAsia="宋体" w:cs="Times New Roman"/>
          <w:kern w:val="2"/>
          <w:sz w:val="21"/>
          <w:szCs w:val="22"/>
          <w:lang w:val="en-US" w:eastAsia="zh-CN" w:bidi="ar-SA"/>
        </w:rPr>
        <w:tab/>
        <w:t>42</w:t>
      </w:r>
    </w:p>
    <w:p>
      <w:pPr>
        <w:pStyle w:val="RWTOC1"/>
        <w:tabs>
          <w:tab w:pos="8957" w:val="right" w:leader="dot"/>
        </w:tabs>
        <w:ind w:left="0"/>
        <w:snapToGrid w:val="0"/>
      </w:pPr>
      <w:hyperlink w:anchor="rw_heading_32">
        <w:r>
          <w:rPr>
            <w:rFonts w:ascii="Calibri" w:hAnsi="Calibri" w:eastAsia="宋体" w:cs="Times New Roman"/>
            <w:kern w:val="2"/>
            <w:sz w:val="21"/>
            <w:szCs w:val="22"/>
            <w:lang w:val="en-US" w:eastAsia="zh-CN" w:bidi="ar-SA"/>
            <w:b/>
          </w:rPr>
          <w:t>第6章　作品特色与应用前景</w:t>
        </w:r>
      </w:hyperlink>
      <w:r>
        <w:rPr>
          <w:rFonts w:ascii="Calibri" w:hAnsi="Calibri" w:eastAsia="宋体" w:cs="Times New Roman"/>
          <w:kern w:val="2"/>
          <w:sz w:val="21"/>
          <w:szCs w:val="22"/>
          <w:lang w:val="en-US" w:eastAsia="zh-CN" w:bidi="ar-SA"/>
          <w:b/>
        </w:rPr>
        <w:tab/>
        <w:t>44</w:t>
      </w:r>
    </w:p>
    <w:p>
      <w:pPr>
        <w:pStyle w:val="RWTOC2"/>
        <w:tabs>
          <w:tab w:pos="8957" w:val="right" w:leader="dot"/>
        </w:tabs>
        <w:ind w:left="369"/>
        <w:snapToGrid w:val="0"/>
      </w:pPr>
      <w:hyperlink w:anchor="rw_heading_33">
        <w:r>
          <w:rPr>
            <w:rFonts w:ascii="Calibri" w:hAnsi="Calibri" w:eastAsia="宋体" w:cs="Times New Roman"/>
            <w:kern w:val="2"/>
            <w:sz w:val="21"/>
            <w:szCs w:val="22"/>
            <w:lang w:val="en-US" w:eastAsia="zh-CN" w:bidi="ar-SA"/>
          </w:rPr>
          <w:t>6.1　面向固定任务的专用复算效率</w:t>
        </w:r>
      </w:hyperlink>
      <w:r>
        <w:rPr>
          <w:rFonts w:ascii="Calibri" w:hAnsi="Calibri" w:eastAsia="宋体" w:cs="Times New Roman"/>
          <w:kern w:val="2"/>
          <w:sz w:val="21"/>
          <w:szCs w:val="22"/>
          <w:lang w:val="en-US" w:eastAsia="zh-CN" w:bidi="ar-SA"/>
        </w:rPr>
        <w:tab/>
        <w:t>44</w:t>
      </w:r>
    </w:p>
    <w:p>
      <w:pPr>
        <w:pStyle w:val="RWTOC2"/>
        <w:tabs>
          <w:tab w:pos="8957" w:val="right" w:leader="dot"/>
        </w:tabs>
        <w:ind w:left="369"/>
        <w:snapToGrid w:val="0"/>
      </w:pPr>
      <w:hyperlink w:anchor="paper_heading_9019">
        <w:r>
          <w:rPr>
            <w:rFonts w:ascii="Calibri" w:hAnsi="Calibri" w:eastAsia="宋体" w:cs="Times New Roman"/>
            <w:kern w:val="2"/>
            <w:sz w:val="21"/>
            <w:szCs w:val="22"/>
            <w:lang w:val="en-US" w:eastAsia="zh-CN" w:bidi="ar-SA"/>
          </w:rPr>
          <w:t>6.2　数据检查与统计假设的明确区分</w:t>
        </w:r>
      </w:hyperlink>
      <w:r>
        <w:rPr>
          <w:rFonts w:ascii="Calibri" w:hAnsi="Calibri" w:eastAsia="宋体" w:cs="Times New Roman"/>
          <w:kern w:val="2"/>
          <w:sz w:val="21"/>
          <w:szCs w:val="22"/>
          <w:lang w:val="en-US" w:eastAsia="zh-CN" w:bidi="ar-SA"/>
        </w:rPr>
        <w:tab/>
        <w:t>45</w:t>
      </w:r>
    </w:p>
    <w:p>
      <w:pPr>
        <w:pStyle w:val="RWTOC2"/>
        <w:tabs>
          <w:tab w:pos="8957" w:val="right" w:leader="dot"/>
        </w:tabs>
        <w:ind w:left="369"/>
        <w:snapToGrid w:val="0"/>
      </w:pPr>
      <w:hyperlink w:anchor="rw_heading_35">
        <w:r>
          <w:rPr>
            <w:rFonts w:ascii="Calibri" w:hAnsi="Calibri" w:eastAsia="宋体" w:cs="Times New Roman"/>
            <w:kern w:val="2"/>
            <w:sz w:val="21"/>
            <w:szCs w:val="22"/>
            <w:lang w:val="en-US" w:eastAsia="zh-CN" w:bidi="ar-SA"/>
          </w:rPr>
          <w:t>6.3　本地审计与密码工程教学</w:t>
        </w:r>
      </w:hyperlink>
      <w:r>
        <w:rPr>
          <w:rFonts w:ascii="Calibri" w:hAnsi="Calibri" w:eastAsia="宋体" w:cs="Times New Roman"/>
          <w:kern w:val="2"/>
          <w:sz w:val="21"/>
          <w:szCs w:val="22"/>
          <w:lang w:val="en-US" w:eastAsia="zh-CN" w:bidi="ar-SA"/>
        </w:rPr>
        <w:tab/>
        <w:t>46</w:t>
      </w:r>
    </w:p>
    <w:p>
      <w:pPr>
        <w:pStyle w:val="RWTOC2"/>
        <w:tabs>
          <w:tab w:pos="8957" w:val="right" w:leader="dot"/>
        </w:tabs>
        <w:ind w:left="369"/>
        <w:snapToGrid w:val="0"/>
      </w:pPr>
      <w:hyperlink w:anchor="paper_heading_9004">
        <w:r>
          <w:rPr>
            <w:rFonts w:ascii="Calibri" w:hAnsi="Calibri" w:eastAsia="宋体" w:cs="Times New Roman"/>
            <w:kern w:val="2"/>
            <w:sz w:val="21"/>
            <w:szCs w:val="22"/>
            <w:lang w:val="en-US" w:eastAsia="zh-CN" w:bidi="ar-SA"/>
          </w:rPr>
          <w:t>6.4　后续改进的优先顺序</w:t>
        </w:r>
      </w:hyperlink>
      <w:r>
        <w:rPr>
          <w:rFonts w:ascii="Calibri" w:hAnsi="Calibri" w:eastAsia="宋体" w:cs="Times New Roman"/>
          <w:kern w:val="2"/>
          <w:sz w:val="21"/>
          <w:szCs w:val="22"/>
          <w:lang w:val="en-US" w:eastAsia="zh-CN" w:bidi="ar-SA"/>
        </w:rPr>
        <w:tab/>
        <w:t>46</w:t>
      </w:r>
    </w:p>
    <w:p>
      <w:pPr>
        <w:pStyle w:val="RWTOC1"/>
        <w:tabs>
          <w:tab w:pos="8957" w:val="right" w:leader="dot"/>
        </w:tabs>
        <w:ind w:left="0"/>
        <w:snapToGrid w:val="0"/>
      </w:pPr>
      <w:hyperlink w:anchor="rw_heading_36">
        <w:r>
          <w:rPr>
            <w:rFonts w:ascii="Calibri" w:hAnsi="Calibri" w:eastAsia="宋体" w:cs="Times New Roman"/>
            <w:kern w:val="2"/>
            <w:sz w:val="21"/>
            <w:szCs w:val="22"/>
            <w:lang w:val="en-US" w:eastAsia="zh-CN" w:bidi="ar-SA"/>
            <w:b/>
          </w:rPr>
          <w:t>第7章　总结与展望</w:t>
        </w:r>
      </w:hyperlink>
      <w:r>
        <w:rPr>
          <w:rFonts w:ascii="Calibri" w:hAnsi="Calibri" w:eastAsia="宋体" w:cs="Times New Roman"/>
          <w:kern w:val="2"/>
          <w:sz w:val="21"/>
          <w:szCs w:val="22"/>
          <w:lang w:val="en-US" w:eastAsia="zh-CN" w:bidi="ar-SA"/>
          <w:b/>
        </w:rPr>
        <w:tab/>
        <w:t>47</w:t>
      </w:r>
    </w:p>
    <w:p>
      <w:pPr>
        <w:pStyle w:val="RWTOC2"/>
        <w:tabs>
          <w:tab w:pos="8957" w:val="right" w:leader="dot"/>
        </w:tabs>
        <w:ind w:left="369"/>
        <w:snapToGrid w:val="0"/>
      </w:pPr>
      <w:hyperlink w:anchor="rw_heading_37">
        <w:r>
          <w:rPr>
            <w:rFonts w:ascii="Calibri" w:hAnsi="Calibri" w:eastAsia="宋体" w:cs="Times New Roman"/>
            <w:kern w:val="2"/>
            <w:sz w:val="21"/>
            <w:szCs w:val="22"/>
            <w:lang w:val="en-US" w:eastAsia="zh-CN" w:bidi="ar-SA"/>
          </w:rPr>
          <w:t>7.1　工作总结</w:t>
        </w:r>
      </w:hyperlink>
      <w:r>
        <w:rPr>
          <w:rFonts w:ascii="Calibri" w:hAnsi="Calibri" w:eastAsia="宋体" w:cs="Times New Roman"/>
          <w:kern w:val="2"/>
          <w:sz w:val="21"/>
          <w:szCs w:val="22"/>
          <w:lang w:val="en-US" w:eastAsia="zh-CN" w:bidi="ar-SA"/>
        </w:rPr>
        <w:tab/>
        <w:t>47</w:t>
      </w:r>
    </w:p>
    <w:p>
      <w:pPr>
        <w:pStyle w:val="RWTOC2"/>
        <w:tabs>
          <w:tab w:pos="8957" w:val="right" w:leader="dot"/>
        </w:tabs>
        <w:ind w:left="369"/>
        <w:snapToGrid w:val="0"/>
      </w:pPr>
      <w:hyperlink w:anchor="rw_heading_38">
        <w:r>
          <w:rPr>
            <w:rFonts w:ascii="Calibri" w:hAnsi="Calibri" w:eastAsia="宋体" w:cs="Times New Roman"/>
            <w:kern w:val="2"/>
            <w:sz w:val="21"/>
            <w:szCs w:val="22"/>
            <w:lang w:val="en-US" w:eastAsia="zh-CN" w:bidi="ar-SA"/>
          </w:rPr>
          <w:t>7.2　现有限制与后续工作</w:t>
        </w:r>
      </w:hyperlink>
      <w:r>
        <w:rPr>
          <w:rFonts w:ascii="Calibri" w:hAnsi="Calibri" w:eastAsia="宋体" w:cs="Times New Roman"/>
          <w:kern w:val="2"/>
          <w:sz w:val="21"/>
          <w:szCs w:val="22"/>
          <w:lang w:val="en-US" w:eastAsia="zh-CN" w:bidi="ar-SA"/>
        </w:rPr>
        <w:tab/>
        <w:t>48</w:t>
      </w:r>
    </w:p>
    <w:p>
      <w:pPr>
        <w:pStyle w:val="RWTOC1"/>
        <w:tabs>
          <w:tab w:pos="8957" w:val="right" w:leader="dot"/>
        </w:tabs>
        <w:ind w:left="0"/>
        <w:snapToGrid w:val="0"/>
      </w:pPr>
      <w:hyperlink w:anchor="rw_heading_39">
        <w:r>
          <w:rPr>
            <w:rFonts w:ascii="Calibri" w:hAnsi="Calibri" w:eastAsia="宋体" w:cs="Times New Roman"/>
            <w:kern w:val="2"/>
            <w:sz w:val="21"/>
            <w:szCs w:val="22"/>
            <w:lang w:val="en-US" w:eastAsia="zh-CN" w:bidi="ar-SA"/>
            <w:b/>
          </w:rPr>
          <w:t>参考文献</w:t>
        </w:r>
      </w:hyperlink>
      <w:r>
        <w:rPr>
          <w:rFonts w:ascii="Calibri" w:hAnsi="Calibri" w:eastAsia="宋体" w:cs="Times New Roman"/>
          <w:kern w:val="2"/>
          <w:sz w:val="21"/>
          <w:szCs w:val="22"/>
          <w:lang w:val="en-US" w:eastAsia="zh-CN" w:bidi="ar-SA"/>
          <w:b/>
        </w:rPr>
        <w:tab/>
        <w:t>49</w:t>
      </w:r>
    </w:p>
    <w:p>
      <w:pPr>
        <w:pStyle w:val="RWTOC1"/>
        <w:tabs>
          <w:tab w:pos="8957" w:val="right" w:leader="dot"/>
        </w:tabs>
        <w:ind w:left="0"/>
        <w:snapToGrid w:val="0"/>
      </w:pPr>
      <w:hyperlink w:anchor="rw_heading_40">
        <w:r>
          <w:rPr>
            <w:rFonts w:ascii="Calibri" w:hAnsi="Calibri" w:eastAsia="宋体" w:cs="Times New Roman"/>
            <w:kern w:val="2"/>
            <w:sz w:val="21"/>
            <w:szCs w:val="22"/>
            <w:lang w:val="en-US" w:eastAsia="zh-CN" w:bidi="ar-SA"/>
            <w:b/>
          </w:rPr>
          <w:t>附录A　实验材料与结论对应关系</w:t>
        </w:r>
      </w:hyperlink>
      <w:r>
        <w:rPr>
          <w:rFonts w:ascii="Calibri" w:hAnsi="Calibri" w:eastAsia="宋体" w:cs="Times New Roman"/>
          <w:kern w:val="2"/>
          <w:sz w:val="21"/>
          <w:szCs w:val="22"/>
          <w:lang w:val="en-US" w:eastAsia="zh-CN" w:bidi="ar-SA"/>
          <w:b/>
        </w:rPr>
        <w:tab/>
        <w:t>52</w:t>
      </w:r>
    </w:p>
    <w:p>
      <w:pPr>
        <w:pStyle w:val="RWTOC1"/>
        <w:tabs>
          <w:tab w:pos="8957" w:val="right" w:leader="dot"/>
        </w:tabs>
        <w:ind w:left="0"/>
        <w:snapToGrid w:val="0"/>
      </w:pPr>
      <w:hyperlink w:anchor="rw_heading_41">
        <w:r>
          <w:rPr>
            <w:rFonts w:ascii="Calibri" w:hAnsi="Calibri" w:eastAsia="宋体" w:cs="Times New Roman"/>
            <w:kern w:val="2"/>
            <w:sz w:val="21"/>
            <w:szCs w:val="22"/>
            <w:lang w:val="en-US" w:eastAsia="zh-CN" w:bidi="ar-SA"/>
            <w:b/>
          </w:rPr>
          <w:t>附录B　普通性能的完整分位数</w:t>
        </w:r>
      </w:hyperlink>
      <w:r>
        <w:rPr>
          <w:rFonts w:ascii="Calibri" w:hAnsi="Calibri" w:eastAsia="宋体" w:cs="Times New Roman"/>
          <w:kern w:val="2"/>
          <w:sz w:val="21"/>
          <w:szCs w:val="22"/>
          <w:lang w:val="en-US" w:eastAsia="zh-CN" w:bidi="ar-SA"/>
          <w:b/>
        </w:rPr>
        <w:tab/>
        <w:t>56</w:t>
      </w:r>
    </w:p>
    <w:p>
      <w:pPr>
        <w:pStyle w:val="RWTOC1"/>
        <w:tabs>
          <w:tab w:pos="8957" w:val="right" w:leader="dot"/>
        </w:tabs>
        <w:ind w:left="0"/>
        <w:snapToGrid w:val="0"/>
      </w:pPr>
      <w:hyperlink w:anchor="paper_heading_9005">
        <w:r>
          <w:rPr>
            <w:rFonts w:ascii="Calibri" w:hAnsi="Calibri" w:eastAsia="宋体" w:cs="Times New Roman"/>
            <w:kern w:val="2"/>
            <w:sz w:val="21"/>
            <w:szCs w:val="22"/>
            <w:lang w:val="en-US" w:eastAsia="zh-CN" w:bidi="ar-SA"/>
            <w:b/>
          </w:rPr>
          <w:t>附录C　复现说明与运行截图位置</w:t>
        </w:r>
      </w:hyperlink>
      <w:r>
        <w:rPr>
          <w:rFonts w:ascii="Calibri" w:hAnsi="Calibri" w:eastAsia="宋体" w:cs="Times New Roman"/>
          <w:kern w:val="2"/>
          <w:sz w:val="21"/>
          <w:szCs w:val="22"/>
          <w:lang w:val="en-US" w:eastAsia="zh-CN" w:bidi="ar-SA"/>
          <w:b/>
        </w:rPr>
        <w:tab/>
        <w:t>57</w:t>
      </w:r>
    </w:p>
    <w:p>
      <w:pPr>
        <w:sectPr>
          <w:pgNumType w:fmt="upperRoman" w:start="2"/>
          <w:pgSz w:w="11906" w:h="16838"/>
          <w:pgMar w:top="1134" w:right="1134" w:bottom="1134" w:left="1134" w:header="851" w:footer="992" w:gutter="0"/>
          <w:cols w:space="425" w:num="1"/>
          <w:docGrid w:type="lines" w:linePitch="312" w:charSpace="0"/>
        </w:sectPr>
        <w:snapToGrid w:val="0"/>
      </w:pPr>
    </w:p>
    <w:bookmarkStart w:id="12" w:name="第1章-研究背景与作品目标"/>
    <w:p>
      <w:pPr>
        <w:pStyle w:val="RWChapter"/>
        <w:spacing w:before="240" w:after="240" w:line="360" w:lineRule="auto"/>
        <w:keepNext/>
        <w:keepLines/>
        <w:outlineLvl w:val="0"/>
      </w:pPr>
      <w:bookmarkStart w:id="500" w:name="rw_heading_0"/>
      <w:r>
        <w:rPr>
          <w:rFonts w:hint="eastAsia" w:ascii="华文楷体" w:hAnsi="华文楷体" w:eastAsia="华文楷体"/>
          <w:sz w:val="30"/>
          <w:szCs w:val="30"/>
          <w:b/>
        </w:rPr>
        <w:t xml:space="preserve">第1章</w:t>
      </w:r>
      <w:r>
        <w:rPr>
          <w:rFonts w:hint="eastAsia" w:ascii="华文楷体" w:hAnsi="华文楷体" w:eastAsia="华文楷体"/>
          <w:sz w:val="30"/>
          <w:szCs w:val="30"/>
          <w:b/>
        </w:rPr>
        <w:t xml:space="preserve">　</w:t>
      </w:r>
      <w:r>
        <w:rPr>
          <w:rFonts w:hint="eastAsia" w:ascii="华文楷体" w:hAnsi="华文楷体" w:eastAsia="华文楷体"/>
          <w:sz w:val="30"/>
          <w:szCs w:val="30"/>
          <w:b/>
        </w:rPr>
        <w:t xml:space="preserve">研究背景与作品目标</w:t>
      </w:r>
      <w:bookmarkEnd w:id="500"/>
    </w:p>
    <w:bookmarkStart w:id="9" w:name="后量子密码实现的工程审计需求"/>
    <w:p>
      <w:pPr>
        <w:pStyle w:val="RWSection"/>
        <w:spacing w:before="240" w:after="240" w:line="360" w:lineRule="auto"/>
        <w:keepNext/>
        <w:keepLines/>
        <w:outlineLvl w:val="1"/>
      </w:pPr>
      <w:bookmarkStart w:id="501" w:name="rw_heading_1"/>
      <w:r>
        <w:rPr>
          <w:rFonts w:ascii="Times New Roman" w:hAnsi="Times New Roman" w:eastAsia="黑体" w:cs="Times New Roman"/>
          <w:sz w:val="28"/>
          <w:szCs w:val="28"/>
          <w:b/>
        </w:rPr>
        <w:t xml:space="preserve">1.1　</w:t>
      </w:r>
      <w:r>
        <w:rPr>
          <w:rFonts w:ascii="Times New Roman" w:hAnsi="Times New Roman" w:eastAsia="黑体" w:cs="Times New Roman"/>
          <w:sz w:val="28"/>
          <w:szCs w:val="28"/>
          <w:b/>
        </w:rPr>
        <w:t xml:space="preserve">后量子密码实现的工程审计需求</w:t>
      </w:r>
      <w:bookmarkEnd w:id="501"/>
    </w:p>
    <w:p>
      <w:pPr>
        <w:pStyle w:val="RWBody"/>
        <w:widowControl/>
        <w:adjustRightInd w:val="0"/>
        <w:snapToGrid w:val="0"/>
        <w:spacing w:line="480" w:lineRule="exact"/>
      </w:pPr>
      <w:r>
        <w:rPr>
          <w:rFonts w:ascii="楷体_GB2312" w:hAnsi="Times New Roman" w:eastAsia="楷体_GB2312"/>
          <w:bCs/>
          <w:sz w:val="28"/>
          <w:szCs w:val="28"/>
        </w:rPr>
        <w:t xml:space="preserve">后量子密码算法的标准化，使密码软件的关注点从算法选择延伸到实现质量。NIST</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于2024年发布</w:t>
      </w:r>
      <w:r>
        <w:rPr>
          <w:rFonts w:ascii="楷体_GB2312" w:hAnsi="Times New Roman" w:eastAsia="楷体_GB2312"/>
          <w:bCs/>
          <w:sz w:val="28"/>
          <w:szCs w:val="28"/>
        </w:rPr>
        <w:t xml:space="preserve"> FIPS </w:t>
      </w:r>
      <w:r>
        <w:rPr>
          <w:rFonts w:ascii="楷体_GB2312" w:hAnsi="Times New Roman" w:eastAsia="楷体_GB2312"/>
          <w:bCs/>
          <w:sz w:val="28"/>
          <w:szCs w:val="28"/>
        </w:rPr>
        <w:t xml:space="preserve">203，规定了基于模格的密钥封装机制</w:t>
      </w:r>
      <w:r>
        <w:rPr>
          <w:rFonts w:ascii="楷体_GB2312" w:hAnsi="Times New Roman" w:eastAsia="楷体_GB2312"/>
          <w:bCs/>
          <w:sz w:val="28"/>
          <w:szCs w:val="28"/>
        </w:rPr>
        <w:t xml:space="preserve"> ML-KEM。[1] </w:t>
      </w:r>
      <w:r>
        <w:rPr>
          <w:rFonts w:ascii="楷体_GB2312" w:hAnsi="Times New Roman" w:eastAsia="楷体_GB2312"/>
          <w:bCs/>
          <w:sz w:val="28"/>
          <w:szCs w:val="28"/>
        </w:rPr>
        <w:t xml:space="preserve">标准在具体系统中的落实，还取决于输入检查、随机源处理、编译优化及错误返回等实现细节。</w:t>
      </w:r>
    </w:p>
    <w:p>
      <w:pPr>
        <w:pStyle w:val="RWBody"/>
        <w:widowControl/>
        <w:adjustRightInd w:val="0"/>
        <w:snapToGrid w:val="0"/>
        <w:spacing w:line="480" w:lineRule="exact"/>
      </w:pPr>
      <w:r>
        <w:rPr>
          <w:rFonts w:ascii="楷体_GB2312" w:hAnsi="Times New Roman" w:eastAsia="楷体_GB2312"/>
          <w:bCs/>
          <w:sz w:val="28"/>
          <w:szCs w:val="28"/>
        </w:rPr>
        <w:t>解封装接收外部密文，使用本地解封装密钥完成计算，既要保持有效输入的功能，又要遵循无效密文的隐式拒绝处理规则。一次封装与解封装的结果一致，不能覆盖全部接口边界；若干次执行时间出现差异，也不足以区分代码形态、编译条件和环境因素。因此，功能正确性、执行时间与结论适用条件需要在同一套审计材料中相互对应。</w:t>
      </w:r>
    </w:p>
    <w:p>
      <w:pPr>
        <w:pStyle w:val="RWBody"/>
        <w:widowControl/>
        <w:adjustRightInd w:val="0"/>
        <w:snapToGrid w:val="0"/>
        <w:spacing w:line="480" w:lineRule="exact"/>
      </w:pPr>
      <w:r>
        <w:rPr>
          <w:rFonts w:ascii="楷体_GB2312" w:hAnsi="Times New Roman" w:eastAsia="楷体_GB2312"/>
          <w:bCs/>
          <w:sz w:val="28"/>
          <w:szCs w:val="28"/>
        </w:rPr>
        <w:t xml:space="preserve">这些材料往往分散保存：源码说明设计意图，统计报告描述观测差异，性能表汇总运行时间。但它们若缺少共同的运行标识和原始记录，复核人员就难以把结论追溯到对应程序，启动成本、普通长尾及失败运行也容易被遗漏。</w:t>
      </w:r>
    </w:p>
    <w:p>
      <w:pPr>
        <w:pStyle w:val="RWBody"/>
        <w:widowControl/>
        <w:adjustRightInd w:val="0"/>
        <w:snapToGrid w:val="0"/>
        <w:spacing w:line="480" w:lineRule="exact"/>
      </w:pPr>
      <w:r>
        <w:rPr>
          <w:rFonts w:ascii="楷体_GB2312" w:hAnsi="Times New Roman" w:eastAsia="楷体_GB2312"/>
          <w:bCs/>
          <w:sz w:val="28"/>
          <w:szCs w:val="28"/>
        </w:rPr>
        <w:t>本作品以固定版本的ML-KEM-768便携实现为对象，研究如何把功能验证、时间测量和统计分析组织成可复核的本地评估流程。这里的可复现性，是指读者能够获得计算所需的数据、方法和环境说明，并重新得到相应结果。这一要求与计算研究的可复现性原则一致[17]。保存材料的目的，是让后续审查能够判断一项结论是否来自它所声称的实现与实验。</w:t>
      </w:r>
    </w:p>
    <w:bookmarkEnd w:id="9"/>
    <w:bookmarkStart w:id="10" w:name="现有实现与统计工具的能力边界"/>
    <w:p>
      <w:pPr>
        <w:pStyle w:val="RWSection"/>
        <w:spacing w:before="240" w:after="240" w:line="360" w:lineRule="auto"/>
        <w:keepNext/>
        <w:keepLines/>
        <w:outlineLvl w:val="1"/>
      </w:pPr>
      <w:bookmarkStart w:id="502" w:name="rw_heading_2"/>
      <w:r>
        <w:rPr>
          <w:rFonts w:ascii="Times New Roman" w:hAnsi="Times New Roman" w:eastAsia="黑体" w:cs="Times New Roman"/>
          <w:sz w:val="28"/>
          <w:szCs w:val="28"/>
          <w:b/>
        </w:rPr>
        <w:t xml:space="preserve">1.2　</w:t>
      </w:r>
      <w:r>
        <w:rPr>
          <w:rFonts w:ascii="Times New Roman" w:hAnsi="Times New Roman" w:eastAsia="黑体" w:cs="Times New Roman"/>
          <w:sz w:val="28"/>
          <w:szCs w:val="28"/>
          <w:b/>
        </w:rPr>
        <w:t xml:space="preserve">现有实现与统计工具的能力边界</w:t>
      </w:r>
      <w:bookmarkEnd w:id="502"/>
    </w:p>
    <w:p>
      <w:pPr>
        <w:pStyle w:val="RWBody"/>
        <w:widowControl/>
        <w:adjustRightInd w:val="0"/>
        <w:snapToGrid w:val="0"/>
        <w:spacing w:line="480" w:lineRule="exact"/>
      </w:pPr>
      <w:r>
        <w:rPr>
          <w:rFonts w:ascii="楷体_GB2312" w:hAnsi="Times New Roman" w:eastAsia="楷体_GB2312"/>
          <w:bCs/>
          <w:sz w:val="28"/>
          <w:szCs w:val="28"/>
        </w:rPr>
        <w:t xml:space="preserve">ML-KEM </w:t>
      </w:r>
      <w:r>
        <w:rPr>
          <w:rFonts w:ascii="楷体_GB2312" w:hAnsi="Times New Roman" w:eastAsia="楷体_GB2312"/>
          <w:bCs/>
          <w:sz w:val="28"/>
          <w:szCs w:val="28"/>
        </w:rPr>
        <w:t xml:space="preserve">标准、密码库实现和统计分析工具分别解决不同层面的问题。FIPS</w:t>
      </w:r>
      <w:r>
        <w:rPr>
          <w:rFonts w:ascii="楷体_GB2312" w:hAnsi="Times New Roman" w:eastAsia="楷体_GB2312"/>
          <w:bCs/>
          <w:sz w:val="28"/>
          <w:szCs w:val="28"/>
        </w:rPr>
        <w:t xml:space="preserve"> 203 </w:t>
      </w:r>
      <w:r>
        <w:rPr>
          <w:rFonts w:ascii="楷体_GB2312" w:hAnsi="Times New Roman" w:eastAsia="楷体_GB2312"/>
          <w:bCs/>
          <w:sz w:val="28"/>
          <w:szCs w:val="28"/>
        </w:rPr>
        <w:t xml:space="preserve">给出算法与接口要求；mlkem-native</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提供具体实现，并明确其形式验证的范围、假设与风险。[1][2]</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使用已有密码库，可以减少重新实现核心算法带来的错误，但不能省略对配置、封装层和实际编译产物的检查。一个库中存在经过证明的组件，也不意味着本作品的全部</w:t>
      </w:r>
      <w:r>
        <w:rPr>
          <w:rFonts w:ascii="楷体_GB2312" w:hAnsi="Times New Roman" w:eastAsia="楷体_GB2312"/>
          <w:bCs/>
          <w:sz w:val="28"/>
          <w:szCs w:val="28"/>
        </w:rPr>
        <w:t xml:space="preserve"> C </w:t>
      </w:r>
      <w:r>
        <w:rPr>
          <w:rFonts w:ascii="楷体_GB2312" w:hAnsi="Times New Roman" w:eastAsia="楷体_GB2312"/>
          <w:bCs/>
          <w:sz w:val="28"/>
          <w:szCs w:val="28"/>
        </w:rPr>
        <w:t xml:space="preserve">程序及所有编译条件已经获得恒时证明。</w:t>
      </w:r>
    </w:p>
    <w:p>
      <w:pPr>
        <w:pStyle w:val="RWBody"/>
        <w:widowControl/>
        <w:adjustRightInd w:val="0"/>
        <w:snapToGrid w:val="0"/>
        <w:spacing w:line="480" w:lineRule="exact"/>
      </w:pPr>
      <w:r>
        <w:rPr>
          <w:rFonts w:ascii="楷体_GB2312" w:hAnsi="Times New Roman" w:eastAsia="楷体_GB2312"/>
          <w:bCs/>
          <w:sz w:val="28"/>
          <w:szCs w:val="28"/>
        </w:rPr>
        <w:t>统计时间分析工具从测量结果中寻找不同输入条件下的时间差异。dudect采用Welch检验相关流程；RTLF研究如何在明确的概率假设下限制第一类错误，即零假设成立时错误拒绝它的概率[3][4]。这些研究表明，检验统计量与数据产生方式必须一起考虑。例如，连续调用可能受到相同运行状态的影响，将它们直接当作相互独立的样本，可能使显著性判断失去依据。</w:t>
      </w:r>
    </w:p>
    <w:p>
      <w:pPr>
        <w:pStyle w:val="RWBody"/>
        <w:widowControl/>
        <w:adjustRightInd w:val="0"/>
        <w:snapToGrid w:val="0"/>
        <w:spacing w:line="480" w:lineRule="exact"/>
      </w:pPr>
      <w:r>
        <w:rPr>
          <w:rFonts w:ascii="楷体_GB2312" w:hAnsi="Times New Roman" w:eastAsia="楷体_GB2312"/>
          <w:bCs/>
          <w:sz w:val="28"/>
          <w:szCs w:val="28"/>
        </w:rPr>
        <w:t>本作品使用已有的成对置换检验：在每一对观测内部交换标签，完整枚举所有允许的组合，并计算精确p值[5][10]。改进集中在相同统计定义下的计算效率与输入检查，不把置换检验本身作为新方法。比较时保持统计量、置换集合及等值处理规则相同；数据是否满足检验前提，则作为另一个问题讨论。</w:t>
      </w:r>
    </w:p>
    <w:p>
      <w:pPr>
        <w:pStyle w:val="RWBody"/>
        <w:widowControl/>
        <w:adjustRightInd w:val="0"/>
        <w:snapToGrid w:val="0"/>
        <w:spacing w:line="480" w:lineRule="exact"/>
      </w:pPr>
      <w:r>
        <w:rPr>
          <w:rFonts w:ascii="楷体_GB2312" w:hAnsi="Times New Roman" w:eastAsia="楷体_GB2312"/>
          <w:bCs/>
          <w:sz w:val="28"/>
          <w:szCs w:val="28"/>
        </w:rPr>
        <w:t xml:space="preserve">Breaking Bad系统研究编译优化破坏源码恒时防御的情况，说明防护写法需与工具链和实际产物一起检查。[11] RTLF正式勘误则更正了一项NSS时间差异的可利用性判断。[4] 因此，源码机制、产物形态、观测差异及可利用性分别报告；其他库的发现不构成本作品固定ML-KEM产物的漏洞证据。</w:t>
      </w:r>
    </w:p>
    <w:p>
      <w:pPr>
        <w:pStyle w:val="RWBody"/>
        <w:widowControl/>
        <w:adjustRightInd w:val="0"/>
        <w:snapToGrid w:val="0"/>
        <w:spacing w:line="480" w:lineRule="exact"/>
      </w:pPr>
      <w:r>
        <w:rPr>
          <w:rFonts w:ascii="楷体_GB2312" w:hAnsi="Times New Roman" w:eastAsia="楷体_GB2312"/>
          <w:bCs/>
          <w:sz w:val="28"/>
          <w:szCs w:val="28"/>
        </w:rPr>
        <w:t xml:space="preserve">近年来，SILENT 将依赖结构与预设容许阈值纳入时间分析，但其明确的连续情形保证仍依赖严格平稳、有限范围依赖及密度条件，主要为渐近结论。[7] WOOT 2026 对恒时模型的梳理进一步提示，保证对象还需要说明接口、加载和运行条件。[8] 本作品据此区分功能、产物、条件推断与安全结论，不将一种工具的保证移交给未验证的对象。</w:t>
      </w:r>
    </w:p>
    <w:p>
      <w:pPr>
        <w:pStyle w:val="RWBody"/>
        <w:widowControl/>
        <w:adjustRightInd w:val="0"/>
        <w:snapToGrid w:val="0"/>
        <w:spacing w:line="480" w:lineRule="exact"/>
      </w:pPr>
      <w:r>
        <w:rPr>
          <w:rFonts w:ascii="楷体_GB2312" w:hAnsi="Times New Roman" w:eastAsia="楷体_GB2312"/>
          <w:bCs/>
          <w:sz w:val="28"/>
          <w:szCs w:val="28"/>
        </w:rPr>
        <w:t>由上述研究可见，算法实现、时间测量和统计推断需要共同服务于明确的研究问题。本作品关注三个问题：当前程序是否保持ML-KEM规定的功能；观测到的时间差异可以在多大程度上联系到实现行为；采用同一统计规则时，如何降低重复分析的计算开销。针对这些问题，后文依次说明设计依据、可执行的验证方法及实验结果，并区分已经观察到的现象与仍需验证的推断。</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表1.1</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相关对象与本作品的工作定位</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对象</w:t>
            </w:r>
          </w:p>
        </w:tc>
        <w:tc>
          <w:tcPr>
            <w:tcW w:type="dxa" w:w="3969"/>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主要解决的问题</w:t>
            </w:r>
          </w:p>
        </w:tc>
        <w:tc>
          <w:tcPr>
            <w:tcW w:type="dxa" w:w="3175"/>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本作品的使用方式</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FIPS 203</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ML-KEM </w:t>
            </w:r>
            <w:r>
              <w:rPr>
                <w:rFonts w:ascii="Calibri" w:hAnsi="Calibri" w:eastAsia="宋体" w:cs="Times New Roman"/>
                <w:kern w:val="2"/>
                <w:sz w:val="21"/>
                <w:szCs w:val="22"/>
                <w:lang w:val="en-US" w:eastAsia="zh-CN" w:bidi="ar-SA"/>
              </w:rPr>
              <w:t xml:space="preserve">标准定义</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固定</w:t>
            </w:r>
            <w:r>
              <w:rPr>
                <w:rFonts w:ascii="Calibri" w:hAnsi="Calibri" w:eastAsia="宋体" w:cs="Times New Roman"/>
                <w:kern w:val="2"/>
                <w:sz w:val="21"/>
                <w:szCs w:val="22"/>
                <w:lang w:val="en-US" w:eastAsia="zh-CN" w:bidi="ar-SA"/>
              </w:rPr>
              <w:t xml:space="preserve"> ML-KEM-768 </w:t>
            </w:r>
            <w:r>
              <w:rPr>
                <w:rFonts w:ascii="Calibri" w:hAnsi="Calibri" w:eastAsia="宋体" w:cs="Times New Roman"/>
                <w:kern w:val="2"/>
                <w:sz w:val="21"/>
                <w:szCs w:val="22"/>
                <w:lang w:val="en-US" w:eastAsia="zh-CN" w:bidi="ar-SA"/>
              </w:rPr>
              <w:t xml:space="preserve">功能与接口要求</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mlkem-native</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密码算法实现及部分验证</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固定版本、便携 C 配置和原始许可证</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dudect / RTLF</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统计时间分析</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查明方法与假设，不设置比较条件不一致的对照</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SciPy </w:t>
            </w:r>
            <w:r>
              <w:rPr>
                <w:rFonts w:ascii="Calibri" w:hAnsi="Calibri" w:eastAsia="宋体" w:cs="Times New Roman"/>
                <w:kern w:val="2"/>
                <w:sz w:val="21"/>
                <w:szCs w:val="22"/>
                <w:lang w:val="en-US" w:eastAsia="zh-CN" w:bidi="ar-SA"/>
              </w:rPr>
              <w:t xml:space="preserve">精确交换</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通用随机化计算</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同一任务、同一计数定义下的对照基线</w:t>
            </w:r>
          </w:p>
        </w:tc>
      </w:tr>
      <w:tr>
        <w:trPr>
          <w:trHeight w:val="520" w:hRule="atLeast"/>
          <w:cantSplit/>
        </w:trPr>
        <w:tc>
          <w:tcPr>
            <w:tcW w:type="dxa" w:w="1814"/>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本作品</w:t>
            </w:r>
          </w:p>
        </w:tc>
        <w:tc>
          <w:tcPr>
            <w:tcW w:type="dxa" w:w="3969"/>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本地审计和结果复算</w:t>
            </w:r>
          </w:p>
        </w:tc>
        <w:tc>
          <w:tcPr>
            <w:tcW w:type="dxa" w:w="3175"/>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关联输入、程序、记录、条件与结论</w:t>
            </w:r>
          </w:p>
        </w:tc>
      </w:tr>
    </w:tbl>
    <w:bookmarkEnd w:id="10"/>
    <w:bookmarkStart w:id="11" w:name="作品目标与总体技术路线"/>
    <w:p>
      <w:pPr>
        <w:pStyle w:val="RWSection"/>
        <w:spacing w:before="240" w:after="240" w:line="360" w:lineRule="auto"/>
        <w:keepNext/>
        <w:keepLines/>
        <w:outlineLvl w:val="1"/>
      </w:pPr>
      <w:bookmarkStart w:id="503" w:name="rw_heading_3"/>
      <w:r>
        <w:rPr>
          <w:rFonts w:ascii="Times New Roman" w:hAnsi="Times New Roman" w:eastAsia="黑体" w:cs="Times New Roman"/>
          <w:sz w:val="28"/>
          <w:szCs w:val="28"/>
          <w:b/>
        </w:rPr>
        <w:t xml:space="preserve">1.3　</w:t>
      </w:r>
      <w:r>
        <w:rPr>
          <w:rFonts w:ascii="Times New Roman" w:hAnsi="Times New Roman" w:eastAsia="黑体" w:cs="Times New Roman"/>
          <w:sz w:val="28"/>
          <w:szCs w:val="28"/>
          <w:b/>
        </w:rPr>
        <w:t xml:space="preserve">作品目标与总体技术路线</w:t>
      </w:r>
      <w:bookmarkEnd w:id="503"/>
    </w:p>
    <w:p>
      <w:pPr>
        <w:pStyle w:val="RWBody"/>
        <w:widowControl/>
        <w:adjustRightInd w:val="0"/>
        <w:snapToGrid w:val="0"/>
        <w:spacing w:line="480" w:lineRule="exact"/>
      </w:pPr>
      <w:r>
        <w:rPr>
          <w:rFonts w:ascii="楷体_GB2312" w:hAnsi="Times New Roman" w:eastAsia="楷体_GB2312"/>
          <w:bCs/>
          <w:sz w:val="28"/>
          <w:szCs w:val="28"/>
        </w:rPr>
        <w:t>作品遵循题目提出的检测、定位、防护和复测过程。功能验证是这条过程的起点：只有密码输出与异常输入处理仍符合要求，时间上的变化才值得进一步讨论。随后，系统记录完整解封装的执行时间，结合源码及编译后程序检查可能影响时间的行为，并用已有历史对照材料评价防护前后的差异。最后，以相同数据和明确的统计规则复现分析结果。</w:t>
      </w:r>
    </w:p>
    <w:p>
      <w:pPr>
        <w:pStyle w:val="RWBody"/>
        <w:widowControl/>
        <w:adjustRightInd w:val="0"/>
        <w:snapToGrid w:val="0"/>
        <w:spacing w:line="480" w:lineRule="exact"/>
      </w:pPr>
      <w:r>
        <w:rPr>
          <w:rFonts w:ascii="楷体_GB2312" w:hAnsi="Times New Roman" w:eastAsia="楷体_GB2312"/>
          <w:bCs/>
          <w:sz w:val="28"/>
          <w:szCs w:val="28"/>
        </w:rPr>
        <w:t>实验安排分为三个部分。普通输入实验描述参考程序及对照程序的运行性能；已有人工对照实验用于讨论特定实现行为与时间分布的关系；不含秘密数据的统计实验验证计算是否正确以及计算开销是否下降。三个部分使用各自的比较对象和判断标准，共同回答作品的研究问题。</w:t>
      </w:r>
    </w:p>
    <w:p>
      <w:pPr>
        <w:pStyle w:val="RWBody"/>
        <w:widowControl/>
        <w:adjustRightInd w:val="0"/>
        <w:snapToGrid w:val="0"/>
        <w:spacing w:line="480" w:lineRule="exact"/>
      </w:pPr>
      <w:r>
        <w:rPr>
          <w:rFonts w:ascii="楷体_GB2312" w:hAnsi="Times New Roman" w:eastAsia="楷体_GB2312"/>
          <w:bCs/>
          <w:sz w:val="28"/>
          <w:szCs w:val="28"/>
        </w:rPr>
        <w:t>当前结果支持两项范围明确的观察。第一，同机对照中，掩码选择实现对五组预定测试均未再检出原分组差异。第二，八个固定统计任务与SciPy的精确计数和判定一致，预先导入SciPy后，逐次耗时比的中位数为0.001562070。后续同语言比较用于进一步排查语言和启动开销的影响。裸金属测量则补充环境控制、空窗口和完整调用的描述结果，为理解测量能力提供依据。</w:t>
      </w:r>
    </w:p>
    <w:p>
      <w:pPr>
        <w:pStyle w:val="RWSection"/>
        <w:spacing w:before="240" w:after="240" w:line="360" w:lineRule="auto"/>
        <w:keepNext/>
        <w:keepLines/>
        <w:outlineLvl w:val="1"/>
      </w:pPr>
      <w:bookmarkStart w:id="9001" w:name="paper_heading_9001"/>
      <w:bookmarkEnd w:id="9001"/>
      <w:r>
        <w:rPr>
          <w:rFonts w:ascii="Times New Roman" w:hAnsi="Times New Roman" w:eastAsia="黑体" w:cs="Times New Roman"/>
          <w:sz w:val="28"/>
          <w:szCs w:val="28"/>
          <w:b/>
        </w:rPr>
        <w:t>1.4　关键问题与设计思路</w:t>
      </w:r>
    </w:p>
    <w:p>
      <w:pPr>
        <w:pStyle w:val="RWBody"/>
        <w:widowControl/>
        <w:adjustRightInd w:val="0"/>
        <w:snapToGrid w:val="0"/>
        <w:spacing w:line="480" w:lineRule="exact"/>
      </w:pPr>
      <w:r>
        <w:rPr>
          <w:rFonts w:ascii="楷体_GB2312" w:hAnsi="Times New Roman" w:eastAsia="楷体_GB2312"/>
          <w:bCs/>
          <w:sz w:val="28"/>
          <w:szCs w:val="28"/>
        </w:rPr>
        <w:t>题目要求完成时间侧信道检测、定位、防护与验证。实际困难在于，测得的时间差既可能来自实现中的数据依赖，也可能来自输入处理、编译优化或运行环境。我们因此将研究分为相互衔接的两个层面：先确认被测对象和比较条件，再判断数据能够支持何种结论。前者依靠功能测试、实现检查与完整记录，后者依靠对照实验和满足适用条件的统计方法。</w:t>
      </w:r>
    </w:p>
    <w:p>
      <w:pPr>
        <w:pStyle w:val="RWBody"/>
        <w:widowControl/>
        <w:adjustRightInd w:val="0"/>
        <w:snapToGrid w:val="0"/>
        <w:spacing w:line="480" w:lineRule="exact"/>
      </w:pPr>
      <w:r>
        <w:rPr>
          <w:rFonts w:ascii="楷体_GB2312" w:hAnsi="Times New Roman" w:eastAsia="楷体_GB2312"/>
          <w:bCs/>
          <w:sz w:val="28"/>
          <w:szCs w:val="28"/>
        </w:rPr>
        <w:t>比较对象的选择直接影响研究能否回答题目。输入长度不同时，外部检查可能提前返回，较大的时间差未必涉及密码内核。本文将正式比较中的密文长度保持一致，使观测覆盖完整解封装过程。编译设置同样影响可比性：局部关闭优化的对照有助于理解某种实现行为，但其结果还需要与正常优化条件分开解释。</w:t>
      </w:r>
    </w:p>
    <w:p>
      <w:pPr>
        <w:pStyle w:val="RWBody"/>
        <w:widowControl/>
        <w:adjustRightInd w:val="0"/>
        <w:snapToGrid w:val="0"/>
        <w:spacing w:line="480" w:lineRule="exact"/>
      </w:pPr>
      <w:r>
        <w:rPr>
          <w:rFonts w:ascii="楷体_GB2312" w:hAnsi="Times New Roman" w:eastAsia="楷体_GB2312"/>
          <w:bCs/>
          <w:sz w:val="28"/>
          <w:szCs w:val="28"/>
        </w:rPr>
        <w:t>时间差的安全含义还取决于它与秘密数据之间的关系。常数时间研究关注的是，在指定执行模型下，秘密数据是否影响允许观察的执行行为[20]；这并不要求每次读钟得到完全相同的数值。本文据此结合程序检查与实验观察讨论防护效果，并保留从有限测试推广至其他输入和运行环境时的不确定性。</w:t>
      </w:r>
    </w:p>
    <w:p>
      <w:pPr>
        <w:pStyle w:val="RWBody"/>
        <w:widowControl/>
        <w:adjustRightInd w:val="0"/>
        <w:snapToGrid w:val="0"/>
        <w:spacing w:line="480" w:lineRule="exact"/>
      </w:pPr>
      <w:r>
        <w:rPr>
          <w:rFonts w:ascii="楷体_GB2312" w:hAnsi="Times New Roman" w:eastAsia="楷体_GB2312"/>
          <w:bCs/>
          <w:sz w:val="28"/>
          <w:szCs w:val="28"/>
        </w:rPr>
        <w:t>另一个问题是重复核查的计算代价。完整置换计算能够避免随机抽样近似，但随着成对单位数增加，需要处理的状态数按指数增长。本文在限定规模内采用增量更新，减少相邻状态间的重复求和，并先核对结果一致性再比较耗时。这样，效率改进有明确的数学对象，也能够与密码防护效果分别评价。</w:t>
      </w:r>
    </w:p>
    <w:bookmarkEnd w:id="11"/>
    <w:bookmarkEnd w:id="12"/>
    <w:bookmarkStart w:id="27" w:name="第2章-ml-kem实现审计的理论基础"/>
    <w:p>
      <w:pPr>
        <w:pStyle w:val="RWChapter"/>
        <w:spacing w:before="240" w:after="240" w:line="360" w:lineRule="auto"/>
        <w:keepNext/>
        <w:keepLines/>
        <w:outlineLvl w:val="0"/>
      </w:pPr>
      <w:bookmarkStart w:id="504" w:name="rw_heading_4"/>
      <w:r>
        <w:rPr>
          <w:rFonts w:hint="eastAsia" w:ascii="华文楷体" w:hAnsi="华文楷体" w:eastAsia="华文楷体"/>
          <w:sz w:val="30"/>
          <w:szCs w:val="30"/>
          <w:b/>
        </w:rPr>
        <w:t xml:space="preserve">第2章</w:t>
      </w:r>
      <w:r>
        <w:rPr>
          <w:rFonts w:hint="eastAsia" w:ascii="华文楷体" w:hAnsi="华文楷体" w:eastAsia="华文楷体"/>
          <w:sz w:val="30"/>
          <w:szCs w:val="30"/>
          <w:b/>
        </w:rPr>
        <w:t xml:space="preserve">　</w:t>
      </w:r>
      <w:r>
        <w:rPr>
          <w:rFonts w:hint="eastAsia" w:ascii="华文楷体" w:hAnsi="华文楷体" w:eastAsia="华文楷体"/>
          <w:sz w:val="30"/>
          <w:szCs w:val="30"/>
          <w:b/>
        </w:rPr>
        <w:t xml:space="preserve">ML-KEM实现审计的理论基础</w:t>
      </w:r>
      <w:bookmarkEnd w:id="504"/>
    </w:p>
    <w:bookmarkStart w:id="16" w:name="ml-kem-768的接口与功能正确性"/>
    <w:p>
      <w:pPr>
        <w:pStyle w:val="RWSection"/>
        <w:spacing w:before="240" w:after="240" w:line="360" w:lineRule="auto"/>
        <w:keepNext/>
        <w:keepLines/>
        <w:outlineLvl w:val="1"/>
      </w:pPr>
      <w:bookmarkStart w:id="505" w:name="rw_heading_5"/>
      <w:r>
        <w:rPr>
          <w:rFonts w:ascii="Times New Roman" w:hAnsi="Times New Roman" w:eastAsia="黑体" w:cs="Times New Roman"/>
          <w:sz w:val="28"/>
          <w:szCs w:val="28"/>
          <w:b/>
        </w:rPr>
        <w:t xml:space="preserve">2.1　</w:t>
      </w:r>
      <w:r>
        <w:rPr>
          <w:rFonts w:ascii="Times New Roman" w:hAnsi="Times New Roman" w:eastAsia="黑体" w:cs="Times New Roman"/>
          <w:sz w:val="28"/>
          <w:szCs w:val="28"/>
          <w:b/>
        </w:rPr>
        <w:t xml:space="preserve">ML-KEM-768的接口与功能正确性</w:t>
      </w:r>
      <w:bookmarkEnd w:id="505"/>
    </w:p>
    <w:p>
      <w:pPr>
        <w:pStyle w:val="RWBody"/>
        <w:widowControl/>
        <w:adjustRightInd w:val="0"/>
        <w:snapToGrid w:val="0"/>
        <w:spacing w:line="480" w:lineRule="exact"/>
      </w:pPr>
      <w:r>
        <w:rPr>
          <w:rFonts w:ascii="楷体_GB2312" w:hAnsi="Times New Roman" w:eastAsia="楷体_GB2312"/>
          <w:bCs/>
          <w:sz w:val="28"/>
          <w:szCs w:val="28"/>
        </w:rPr>
        <w:t>密钥封装机制由密钥生成、封装和解封装三个算法组成。分别用数学算子G、E和D表示这三个算法，用ek、dk、K和c表示封装密钥、解封装密钥、共享密钥和密文。它们的关系为</w:t>
      </w:r>
    </w:p>
    <w:p>
      <w:pPr>
        <w:pStyle w:val="RWBody"/>
        <w:keepLines/>
        <w:widowControl/>
        <w:tabs>
          <w:tab w:pos="4819" w:val="center"/>
          <w:tab w:pos="9638" w:val="right"/>
        </w:tabs>
        <w:spacing w:line="360" w:lineRule="auto" w:before="140" w:after="160"/>
        <w:ind w:firstLine="0"/>
        <w:snapToGrid w:val="0"/>
      </w:pPr>
      <w:r>
        <w:tab/>
      </w:r>
      <m:oMath>
        <m:r>
          <m:rPr>
            <m:sty m:val="p"/>
          </m:rPr>
          <w:rPr>
            <w:sz w:val="28"/>
          </w:rPr>
          <m:t>(</m:t>
        </m:r>
        <m:r>
          <w:rPr>
            <w:sz w:val="28"/>
          </w:rPr>
          <m:t>ek</m:t>
        </m:r>
        <m:r>
          <m:rPr>
            <m:sty m:val="p"/>
          </m:rPr>
          <w:rPr>
            <w:sz w:val="28"/>
          </w:rPr>
          <m:t>,</m:t>
        </m:r>
        <m:r>
          <w:rPr>
            <w:sz w:val="28"/>
          </w:rPr>
          <m:t>dk</m:t>
        </m:r>
        <m:r>
          <m:rPr>
            <m:sty m:val="p"/>
          </m:rPr>
          <w:rPr>
            <w:sz w:val="28"/>
          </w:rPr>
          <m:t>)←G,</m:t>
        </m:r>
        <m:r>
          <w:rPr>
            <w:sz w:val="28"/>
          </w:rPr>
          <m:t>  </m:t>
        </m:r>
        <m:r>
          <m:rPr>
            <m:sty m:val="p"/>
          </m:rPr>
          <w:rPr>
            <w:sz w:val="28"/>
          </w:rPr>
          <m:t>(</m:t>
        </m:r>
        <m:r>
          <w:rPr>
            <w:sz w:val="28"/>
          </w:rPr>
          <m:t>K</m:t>
        </m:r>
        <m:r>
          <m:rPr>
            <m:sty m:val="p"/>
          </m:rPr>
          <w:rPr>
            <w:sz w:val="28"/>
          </w:rPr>
          <m:t>,</m:t>
        </m:r>
        <m:r>
          <w:rPr>
            <w:sz w:val="28"/>
          </w:rPr>
          <m:t>c</m:t>
        </m:r>
        <m:r>
          <m:rPr>
            <m:sty m:val="p"/>
          </m:rPr>
          <w:rPr>
            <w:sz w:val="28"/>
          </w:rPr>
          <m:t>)←E(</m:t>
        </m:r>
        <m:r>
          <w:rPr>
            <w:sz w:val="28"/>
          </w:rPr>
          <m:t>ek</m:t>
        </m:r>
        <m:r>
          <m:rPr>
            <m:sty m:val="p"/>
          </m:rPr>
          <w:rPr>
            <w:sz w:val="28"/>
          </w:rPr>
          <m:t>).</m:t>
        </m:r>
      </m:oMath>
      <w:r>
        <w:rPr>
          <w:rFonts w:ascii="Times New Roman" w:hAnsi="Times New Roman" w:eastAsia="SimSun"/>
          <w:sz w:val="22"/>
        </w:rPr>
        <w:tab/>
        <w:t>(2-1)</w:t>
      </w:r>
    </w:p>
    <w:p>
      <w:pPr>
        <w:pStyle w:val="RWBody"/>
        <w:widowControl/>
        <w:adjustRightInd w:val="0"/>
        <w:snapToGrid w:val="0"/>
        <w:spacing w:line="480" w:lineRule="exact"/>
      </w:pPr>
      <w:r>
        <w:rPr>
          <w:rFonts w:ascii="楷体_GB2312" w:hAnsi="Times New Roman" w:eastAsia="楷体_GB2312"/>
          <w:bCs/>
          <w:sz w:val="28"/>
          <w:szCs w:val="28"/>
        </w:rPr>
        <w:t xml:space="preserve">接收方使用解封装密钥处理密文，得到对应的共享密钥：</w:t>
      </w:r>
    </w:p>
    <w:p>
      <w:pPr>
        <w:pStyle w:val="RWBody"/>
        <w:keepLines/>
        <w:widowControl/>
        <w:tabs>
          <w:tab w:pos="4819" w:val="center"/>
          <w:tab w:pos="9638" w:val="right"/>
        </w:tabs>
        <w:spacing w:line="360" w:lineRule="auto" w:before="140" w:after="160"/>
        <w:ind w:firstLine="0"/>
        <w:snapToGrid w:val="0"/>
      </w:pPr>
      <w:r>
        <w:tab/>
      </w:r>
      <m:oMath>
        <m:sSup>
          <m:e>
            <m:r>
              <w:rPr>
                <w:sz w:val="28"/>
              </w:rPr>
              <m:t>K</m:t>
            </m:r>
          </m:e>
          <m:sup>
            <m:r>
              <m:rPr>
                <m:sty m:val="p"/>
              </m:rPr>
              <w:rPr>
                <w:sz w:val="28"/>
              </w:rPr>
              <m:t>′</m:t>
            </m:r>
          </m:sup>
        </m:sSup>
        <m:r>
          <m:rPr>
            <m:sty m:val="p"/>
          </m:rPr>
          <w:rPr>
            <w:sz w:val="28"/>
          </w:rPr>
          <m:t>←D(</m:t>
        </m:r>
        <m:r>
          <w:rPr>
            <w:sz w:val="28"/>
          </w:rPr>
          <m:t>dk</m:t>
        </m:r>
        <m:r>
          <m:rPr>
            <m:sty m:val="p"/>
          </m:rPr>
          <w:rPr>
            <w:sz w:val="28"/>
          </w:rPr>
          <m:t>,</m:t>
        </m:r>
        <m:r>
          <w:rPr>
            <w:sz w:val="28"/>
          </w:rPr>
          <m:t>c</m:t>
        </m:r>
        <m:r>
          <m:rPr>
            <m:sty m:val="p"/>
          </m:rPr>
          <w:rPr>
            <w:sz w:val="28"/>
          </w:rPr>
          <m:t>).</m:t>
        </m:r>
      </m:oMath>
      <w:r>
        <w:rPr>
          <w:rFonts w:ascii="Times New Roman" w:hAnsi="Times New Roman" w:eastAsia="SimSun"/>
          <w:sz w:val="22"/>
        </w:rPr>
        <w:tab/>
        <w:t>(2-2)</w:t>
      </w:r>
    </w:p>
    <w:p>
      <w:pPr>
        <w:pStyle w:val="RWBody"/>
        <w:widowControl/>
        <w:adjustRightInd w:val="0"/>
        <w:snapToGrid w:val="0"/>
        <w:spacing w:line="480" w:lineRule="exact"/>
      </w:pPr>
      <w:r>
        <w:rPr>
          <w:rFonts w:ascii="楷体_GB2312" w:hAnsi="Times New Roman" w:eastAsia="楷体_GB2312"/>
          <w:bCs/>
          <w:sz w:val="28"/>
          <w:szCs w:val="28"/>
        </w:rPr>
        <w:t xml:space="preserve">对于按标准生成的有效密文，正确性要求输出具有标准规定的一致性。功能测试据此核对封装和解封装的结果；独立已知答案测试进一步核对具体字节值，避免仅由被测实现自行生成预期答案。图2.1给出了三个算法的功能关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787825"/>
            <wp:effectExtent b="0" l="0" r="0" t="0"/>
            <wp:docPr descr="figure-2-1" title="" id="14" name="Picture"/>
            <a:graphic>
              <a:graphicData uri="http://schemas.openxmlformats.org/drawingml/2006/picture">
                <pic:pic>
                  <pic:nvPicPr>
                    <pic:cNvPr descr="ppt-render/figure-02.png" id="15" name="Picture"/>
                    <pic:cNvPicPr>
                      <a:picLocks noChangeArrowheads="1" noChangeAspect="1"/>
                    </pic:cNvPicPr>
                  </pic:nvPicPr>
                  <pic:blipFill>
                    <a:blip r:embed="rId12"/>
                    <a:stretch>
                      <a:fillRect/>
                    </a:stretch>
                  </pic:blipFill>
                  <pic:spPr bwMode="auto">
                    <a:xfrm>
                      <a:off x="0" y="0"/>
                      <a:ext cx="5688000" cy="2787825"/>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 xml:space="preserve">图2.1</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密钥封装机制的功能关系</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表2.1</w:t>
      </w:r>
      <w:r>
        <w:rPr>
          <w:rFonts w:ascii="Calibri" w:hAnsi="Calibri" w:eastAsia="宋体" w:cs="Times New Roman"/>
          <w:kern w:val="2"/>
          <w:sz w:val="21"/>
          <w:szCs w:val="22"/>
          <w:lang w:val="en-US" w:eastAsia="zh-CN" w:bidi="ar-SA"/>
        </w:rPr>
        <w:t xml:space="preserve">　ML-KEM-768 </w:t>
      </w:r>
      <w:r>
        <w:rPr>
          <w:rFonts w:ascii="Calibri" w:hAnsi="Calibri" w:eastAsia="宋体" w:cs="Times New Roman"/>
          <w:kern w:val="2"/>
          <w:sz w:val="21"/>
          <w:szCs w:val="22"/>
          <w:lang w:val="en-US" w:eastAsia="zh-CN" w:bidi="ar-SA"/>
        </w:rPr>
        <w:t xml:space="preserve">的接口对象长度</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4025"/>
        <w:gridCol w:w="2239"/>
        <w:gridCol w:w="2693"/>
      </w:tblGrid>
      <w:tr>
        <w:trPr>
          <w:trHeight w:val="520" w:hRule="atLeast"/>
          <w:tblHeader w:val="on"/>
          <w:cantSplit/>
          <w:tblHeader/>
        </w:trPr>
        <w:tc>
          <w:tcPr>
            <w:tcW w:type="dxa" w:w="4025"/>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接口对象</w:t>
            </w:r>
          </w:p>
        </w:tc>
        <w:tc>
          <w:tcPr>
            <w:tcW w:type="dxa" w:w="2239"/>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本文记号</w:t>
            </w:r>
          </w:p>
        </w:tc>
        <w:tc>
          <w:tcPr>
            <w:tcW w:type="dxa" w:w="2693"/>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长度</w:t>
            </w:r>
            <w:r>
              <w:rPr>
                <w:rFonts w:ascii="Calibri" w:hAnsi="Calibri" w:eastAsia="宋体" w:cs="Times New Roman"/>
                <w:kern w:val="2"/>
                <w:sz w:val="21"/>
                <w:szCs w:val="22"/>
                <w:lang w:val="en-US" w:eastAsia="zh-CN" w:bidi="ar-SA"/>
                <w:b/>
              </w:rPr>
              <w:t xml:space="preserve"> / </w:t>
            </w:r>
            <w:r>
              <w:rPr>
                <w:rFonts w:ascii="Calibri" w:hAnsi="Calibri" w:eastAsia="宋体" w:cs="Times New Roman"/>
                <w:kern w:val="2"/>
                <w:sz w:val="21"/>
                <w:szCs w:val="22"/>
                <w:lang w:val="en-US" w:eastAsia="zh-CN" w:bidi="ar-SA"/>
                <w:b/>
              </w:rPr>
              <w:t xml:space="preserve">字节</w:t>
            </w:r>
          </w:p>
        </w:tc>
      </w:tr>
      <w:tr>
        <w:trPr>
          <w:trHeight w:val="520" w:hRule="atLeast"/>
          <w:cantSplit/>
        </w:trPr>
        <w:tc>
          <w:tcPr>
            <w:tcW w:type="dxa" w:w="402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封装密钥（公钥）</w:t>
            </w:r>
          </w:p>
        </w:tc>
        <w:tc>
          <w:tcPr>
            <w:tcW w:type="dxa" w:w="2239"/>
            <w:tcBorders>
              <w:top w:val="nil" w:sz="10" w:color="000000"/>
              <w:bottom w:val="nil" w:sz="10" w:color="000000"/>
            </w:tcBorders>
          </w:tcPr>
          <w:p>
            <w:pPr>
              <w:pStyle w:val="RWBody"/>
              <w:ind w:firstLine="0"/>
              <w:jc w:val="left"/>
              <w:snapToGrid w:val="0"/>
              <w:keepNext/>
              <w:spacing w:before="0" w:after="0" w:line="240" w:lineRule="auto"/>
            </w:pPr>
            <m:oMath>
              <m:r>
                <m:t>ek</m:t>
              </m:r>
            </m:oMath>
            <w:r>
              <w:rPr>
                <w:rFonts w:ascii="Calibri" w:hAnsi="Calibri" w:eastAsia="宋体" w:cs="Times New Roman"/>
                <w:kern w:val="2"/>
                <w:sz w:val="21"/>
                <w:szCs w:val="22"/>
                <w:lang w:val="en-US" w:eastAsia="zh-CN" w:bidi="ar-SA"/>
              </w:rPr>
              <w:t xml:space="preserve">​</w:t>
            </w:r>
          </w:p>
        </w:tc>
        <w:tc>
          <w:tcPr>
            <w:tcW w:type="dxa" w:w="2693"/>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1184</w:t>
            </w:r>
          </w:p>
        </w:tc>
      </w:tr>
      <w:tr>
        <w:trPr>
          <w:trHeight w:val="520" w:hRule="atLeast"/>
          <w:cantSplit/>
        </w:trPr>
        <w:tc>
          <w:tcPr>
            <w:tcW w:type="dxa" w:w="402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解封装密钥（私钥）</w:t>
            </w:r>
          </w:p>
        </w:tc>
        <w:tc>
          <w:tcPr>
            <w:tcW w:type="dxa" w:w="2239"/>
            <w:tcBorders>
              <w:top w:val="nil" w:sz="10" w:color="000000"/>
              <w:bottom w:val="nil" w:sz="10" w:color="000000"/>
            </w:tcBorders>
          </w:tcPr>
          <w:p>
            <w:pPr>
              <w:pStyle w:val="RWBody"/>
              <w:ind w:firstLine="0"/>
              <w:jc w:val="left"/>
              <w:snapToGrid w:val="0"/>
              <w:keepNext/>
              <w:spacing w:before="0" w:after="0" w:line="240" w:lineRule="auto"/>
            </w:pPr>
            <m:oMath>
              <m:r>
                <m:t>dk</m:t>
              </m:r>
            </m:oMath>
            <w:r>
              <w:rPr>
                <w:rFonts w:ascii="Calibri" w:hAnsi="Calibri" w:eastAsia="宋体" w:cs="Times New Roman"/>
                <w:kern w:val="2"/>
                <w:sz w:val="21"/>
                <w:szCs w:val="22"/>
                <w:lang w:val="en-US" w:eastAsia="zh-CN" w:bidi="ar-SA"/>
              </w:rPr>
              <w:t xml:space="preserve">​</w:t>
            </w:r>
          </w:p>
        </w:tc>
        <w:tc>
          <w:tcPr>
            <w:tcW w:type="dxa" w:w="2693"/>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2400</w:t>
            </w:r>
          </w:p>
        </w:tc>
      </w:tr>
      <w:tr>
        <w:trPr>
          <w:trHeight w:val="520" w:hRule="atLeast"/>
          <w:cantSplit/>
        </w:trPr>
        <w:tc>
          <w:tcPr>
            <w:tcW w:type="dxa" w:w="402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密文</w:t>
            </w:r>
          </w:p>
        </w:tc>
        <w:tc>
          <w:tcPr>
            <w:tcW w:type="dxa" w:w="2239"/>
            <w:tcBorders>
              <w:top w:val="nil" w:sz="10" w:color="000000"/>
              <w:bottom w:val="nil" w:sz="10" w:color="000000"/>
            </w:tcBorders>
          </w:tcPr>
          <w:p>
            <w:pPr>
              <w:pStyle w:val="RWBody"/>
              <w:ind w:firstLine="0"/>
              <w:jc w:val="left"/>
              <w:snapToGrid w:val="0"/>
              <w:keepNext/>
              <w:spacing w:before="0" w:after="0" w:line="240" w:lineRule="auto"/>
            </w:pPr>
            <m:oMath>
              <m:r>
                <m:t>c</m:t>
              </m:r>
            </m:oMath>
            <w:r>
              <w:rPr>
                <w:rFonts w:ascii="Calibri" w:hAnsi="Calibri" w:eastAsia="宋体" w:cs="Times New Roman"/>
                <w:kern w:val="2"/>
                <w:sz w:val="21"/>
                <w:szCs w:val="22"/>
                <w:lang w:val="en-US" w:eastAsia="zh-CN" w:bidi="ar-SA"/>
              </w:rPr>
              <w:t xml:space="preserve">​</w:t>
            </w:r>
          </w:p>
        </w:tc>
        <w:tc>
          <w:tcPr>
            <w:tcW w:type="dxa" w:w="2693"/>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1088</w:t>
            </w:r>
          </w:p>
        </w:tc>
      </w:tr>
      <w:tr>
        <w:trPr>
          <w:trHeight w:val="520" w:hRule="atLeast"/>
          <w:cantSplit/>
        </w:trPr>
        <w:tc>
          <w:tcPr>
            <w:tcW w:type="dxa" w:w="4025"/>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共享密钥</w:t>
            </w:r>
          </w:p>
        </w:tc>
        <w:tc>
          <w:tcPr>
            <w:tcW w:type="dxa" w:w="2239"/>
            <w:tcBorders>
              <w:top w:val="nil" w:sz="10" w:color="000000"/>
              <w:bottom w:val="single" w:sz="10" w:color="000000"/>
            </w:tcBorders>
          </w:tcPr>
          <w:p>
            <w:pPr>
              <w:pStyle w:val="RWBody"/>
              <w:ind w:firstLine="0"/>
              <w:jc w:val="left"/>
              <w:snapToGrid w:val="0"/>
              <w:spacing w:before="0" w:after="0" w:line="240" w:lineRule="auto"/>
            </w:pPr>
            <m:oMath>
              <m:r>
                <m:t>K</m:t>
              </m:r>
            </m:oMath>
            <w:r>
              <w:rPr>
                <w:rFonts w:ascii="Calibri" w:hAnsi="Calibri" w:eastAsia="宋体" w:cs="Times New Roman"/>
                <w:kern w:val="2"/>
                <w:sz w:val="21"/>
                <w:szCs w:val="22"/>
                <w:lang w:val="en-US" w:eastAsia="zh-CN" w:bidi="ar-SA"/>
              </w:rPr>
              <w:t xml:space="preserve">​</w:t>
            </w:r>
          </w:p>
        </w:tc>
        <w:tc>
          <w:tcPr>
            <w:tcW w:type="dxa" w:w="2693"/>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32</w:t>
            </w:r>
          </w:p>
        </w:tc>
      </w:tr>
    </w:tbl>
    <w:p>
      <w:pPr>
        <w:pStyle w:val="RWBody"/>
        <w:widowControl/>
        <w:adjustRightInd w:val="0"/>
        <w:snapToGrid w:val="0"/>
        <w:spacing w:line="480" w:lineRule="exact"/>
      </w:pPr>
      <w:r>
        <w:rPr>
          <w:rFonts w:ascii="楷体_GB2312" w:hAnsi="Times New Roman" w:eastAsia="楷体_GB2312"/>
          <w:bCs/>
          <w:sz w:val="28"/>
          <w:szCs w:val="28"/>
        </w:rPr>
        <w:t>本作品使用固定版本的便携 C 后端。版本号、标准版本和构建配置共同限定了测试对象。旧 Kyber 的研究材料与最终 ML-KEM 标准分别引用，避免将算法演进前的结论直接套用于当前实现。通过已知答案测试也只说明相应测试范围内的功能符合性，不等同于 FIPS 密码模块认证。</w:t>
      </w:r>
    </w:p>
    <w:bookmarkEnd w:id="16"/>
    <w:bookmarkStart w:id="20" w:name="外部输入检查与隐式拒绝语义"/>
    <w:p>
      <w:pPr>
        <w:pStyle w:val="RWSection"/>
        <w:spacing w:before="240" w:after="240" w:line="360" w:lineRule="auto"/>
        <w:keepNext/>
        <w:keepLines/>
        <w:outlineLvl w:val="1"/>
      </w:pPr>
      <w:bookmarkStart w:id="506" w:name="rw_heading_6"/>
      <w:bookmarkEnd w:id="506"/>
      <w:r>
        <w:rPr>
          <w:rFonts w:ascii="Times New Roman" w:hAnsi="Times New Roman" w:eastAsia="黑体" w:cs="Times New Roman"/>
          <w:sz w:val="28"/>
          <w:szCs w:val="28"/>
          <w:b/>
        </w:rPr>
        <w:t>2.2　外部输入检查与隐式拒绝处理规则</w:t>
      </w:r>
    </w:p>
    <w:p>
      <w:pPr>
        <w:pStyle w:val="RWBody"/>
        <w:widowControl/>
        <w:adjustRightInd w:val="0"/>
        <w:snapToGrid w:val="0"/>
        <w:spacing w:line="480" w:lineRule="exact"/>
      </w:pPr>
      <w:r>
        <w:rPr>
          <w:rFonts w:ascii="楷体_GB2312" w:hAnsi="Times New Roman" w:eastAsia="楷体_GB2312"/>
          <w:bCs/>
          <w:sz w:val="28"/>
          <w:szCs w:val="28"/>
        </w:rPr>
        <w:t>外部接口与密码内核承担不同职责。接口首先检查指针和精确长度；只有满足内核输入约束的缓冲区才进入计算。对于长度正确的无效密文，程序继续保留标准规定的隐式拒绝处理规则，且公开错误状态不额外暴露内部验证结果。图2.2说明了这两类边界的区别。</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787825"/>
            <wp:effectExtent b="0" l="0" r="0" t="0"/>
            <wp:docPr descr="figure-2-2" title="" id="18" name="Picture"/>
            <a:graphic>
              <a:graphicData uri="http://schemas.openxmlformats.org/drawingml/2006/picture">
                <pic:pic>
                  <pic:nvPicPr>
                    <pic:cNvPr descr="ppt-render/figure-03.png" id="19" name="Picture"/>
                    <pic:cNvPicPr>
                      <a:picLocks noChangeArrowheads="1" noChangeAspect="1"/>
                    </pic:cNvPicPr>
                  </pic:nvPicPr>
                  <pic:blipFill>
                    <a:blip r:embed="rId13"/>
                    <a:stretch>
                      <a:fillRect/>
                    </a:stretch>
                  </pic:blipFill>
                  <pic:spPr bwMode="auto">
                    <a:xfrm>
                      <a:off x="0" y="0"/>
                      <a:ext cx="5688000" cy="2787825"/>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 xml:space="preserve">图2.2</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封装层输入检查与内核处理边界</w:t>
      </w:r>
    </w:p>
    <w:p>
      <w:pPr>
        <w:pStyle w:val="RWBody"/>
        <w:widowControl/>
        <w:adjustRightInd w:val="0"/>
        <w:snapToGrid w:val="0"/>
        <w:spacing w:line="480" w:lineRule="exact"/>
      </w:pPr>
      <w:r>
        <w:rPr>
          <w:rFonts w:ascii="楷体_GB2312" w:hAnsi="Times New Roman" w:eastAsia="楷体_GB2312"/>
          <w:bCs/>
          <w:sz w:val="28"/>
          <w:szCs w:val="28"/>
        </w:rPr>
        <w:t xml:space="preserve">对接口而言，接收长度为1088字节的输入，只表示它具备进入解封装处理的结构条件，并不表示密文有效。普通记录中的类别也仅表示生成规则：有效封装、单比特修改以及随机字节输入。程序不通过读取内部接受标志为样本重新标注，以免把本应封闭的验证信息引入外部分析。</w:t>
      </w:r>
    </w:p>
    <w:p>
      <w:pPr>
        <w:pStyle w:val="RWBody"/>
        <w:widowControl/>
        <w:adjustRightInd w:val="0"/>
        <w:snapToGrid w:val="0"/>
        <w:spacing w:line="480" w:lineRule="exact"/>
      </w:pPr>
      <w:r>
        <w:rPr>
          <w:rFonts w:ascii="楷体_GB2312" w:hAnsi="Times New Roman" w:eastAsia="楷体_GB2312"/>
          <w:bCs/>
          <w:sz w:val="28"/>
          <w:szCs w:val="28"/>
        </w:rPr>
        <w:t xml:space="preserve">系统随机源用于普通运行，失败必须向调用方传播；公开种子的确定性入口仅服务于明确的测试材料。两者在用途上分开，使复现能力不会改变业务密钥生成所要求的随机性。公开日志只保存运行标识和测量结果，不保存真实私钥及共享密钥。</w:t>
      </w:r>
    </w:p>
    <w:bookmarkEnd w:id="20"/>
    <w:bookmarkStart w:id="21" w:name="执行时间的影响因素与样本单位"/>
    <w:p>
      <w:pPr>
        <w:pStyle w:val="RWSection"/>
        <w:spacing w:before="240" w:after="240" w:line="360" w:lineRule="auto"/>
        <w:keepNext/>
        <w:keepLines/>
        <w:outlineLvl w:val="1"/>
      </w:pPr>
      <w:bookmarkStart w:id="507" w:name="rw_heading_7"/>
      <w:r>
        <w:rPr>
          <w:rFonts w:ascii="Times New Roman" w:hAnsi="Times New Roman" w:eastAsia="黑体" w:cs="Times New Roman"/>
          <w:sz w:val="28"/>
          <w:szCs w:val="28"/>
          <w:b/>
        </w:rPr>
        <w:t xml:space="preserve">2.3　</w:t>
      </w:r>
      <w:r>
        <w:rPr>
          <w:rFonts w:ascii="Times New Roman" w:hAnsi="Times New Roman" w:eastAsia="黑体" w:cs="Times New Roman"/>
          <w:sz w:val="28"/>
          <w:szCs w:val="28"/>
          <w:b/>
        </w:rPr>
        <w:t xml:space="preserve">执行时间的影响因素与样本单位</w:t>
      </w:r>
      <w:bookmarkEnd w:id="507"/>
    </w:p>
    <w:p>
      <w:pPr>
        <w:pStyle w:val="RWBody"/>
        <w:widowControl/>
        <w:adjustRightInd w:val="0"/>
        <w:snapToGrid w:val="0"/>
        <w:spacing w:line="480" w:lineRule="exact"/>
      </w:pPr>
      <w:r>
        <w:rPr>
          <w:rFonts w:ascii="楷体_GB2312" w:hAnsi="Times New Roman" w:eastAsia="楷体_GB2312"/>
          <w:bCs/>
          <w:sz w:val="28"/>
          <w:szCs w:val="28"/>
        </w:rPr>
        <w:t xml:space="preserve">设第</w:t>
      </w:r>
      <w:r>
        <w:rPr>
          <w:rFonts w:ascii="楷体_GB2312" w:hAnsi="Times New Roman" w:eastAsia="楷体_GB2312"/>
          <w:bCs/>
          <w:sz w:val="28"/>
          <w:szCs w:val="28"/>
        </w:rPr>
        <w:t xml:space="preserve"> </w:t>
      </w:r>
      <m:oMath>
        <m:r>
          <w:rPr>
            <w:sz w:val="28"/>
          </w:rPr>
          <m:t>j</m:t>
        </m:r>
      </m:oMath>
      <w:r>
        <w:rPr>
          <w:rFonts w:ascii="楷体_GB2312" w:hAnsi="Times New Roman" w:eastAsia="楷体_GB2312"/>
          <w:bCs/>
          <w:sz w:val="28"/>
          <w:szCs w:val="28"/>
        </w:rPr>
        <w:t xml:space="preserve"> </w:t>
      </w:r>
      <w:r>
        <w:rPr>
          <w:rFonts w:ascii="楷体_GB2312" w:hAnsi="Times New Roman" w:eastAsia="楷体_GB2312"/>
          <w:bCs/>
          <w:sz w:val="28"/>
          <w:szCs w:val="28"/>
        </w:rPr>
        <w:t xml:space="preserve">次完整解封装调用前后的单调时钟读数分别为</w:t>
      </w:r>
      <w:r>
        <w:rPr>
          <w:rFonts w:ascii="楷体_GB2312" w:hAnsi="Times New Roman" w:eastAsia="楷体_GB2312"/>
          <w:bCs/>
          <w:sz w:val="28"/>
          <w:szCs w:val="28"/>
        </w:rPr>
        <w:t xml:space="preserve"> </w:t>
      </w:r>
      <m:oMath>
        <m:sSubSup>
          <m:e>
            <m:r>
              <w:rPr>
                <w:sz w:val="28"/>
              </w:rPr>
              <m:t>t</m:t>
            </m:r>
          </m:e>
          <m:sub>
            <m:r>
              <w:rPr>
                <w:sz w:val="28"/>
              </w:rPr>
              <m:t>j</m:t>
            </m:r>
          </m:sub>
          <m:sup>
            <m:r>
              <m:rPr>
                <m:sty m:val="p"/>
              </m:rPr>
              <w:rPr>
                <w:sz w:val="28"/>
              </w:rPr>
              <m:t>start</m:t>
            </m:r>
          </m:sup>
        </m:sSubSup>
      </m:oMath>
      <w:r>
        <w:rPr>
          <w:rFonts w:ascii="楷体_GB2312" w:hAnsi="Times New Roman" w:eastAsia="楷体_GB2312"/>
          <w:bCs/>
          <w:sz w:val="28"/>
          <w:szCs w:val="28"/>
        </w:rPr>
        <w:t xml:space="preserve"> </w:t>
      </w:r>
      <w:r>
        <w:rPr>
          <w:rFonts w:ascii="楷体_GB2312" w:hAnsi="Times New Roman" w:eastAsia="楷体_GB2312"/>
          <w:bCs/>
          <w:sz w:val="28"/>
          <w:szCs w:val="28"/>
        </w:rPr>
        <w:t xml:space="preserve">和</w:t>
      </w:r>
      <w:r>
        <w:rPr>
          <w:rFonts w:ascii="楷体_GB2312" w:hAnsi="Times New Roman" w:eastAsia="楷体_GB2312"/>
          <w:bCs/>
          <w:sz w:val="28"/>
          <w:szCs w:val="28"/>
        </w:rPr>
        <w:t xml:space="preserve"> </w:t>
      </w:r>
      <m:oMath>
        <m:sSubSup>
          <m:e>
            <m:r>
              <w:rPr>
                <w:sz w:val="28"/>
              </w:rPr>
              <m:t>t</m:t>
            </m:r>
          </m:e>
          <m:sub>
            <m:r>
              <w:rPr>
                <w:sz w:val="28"/>
              </w:rPr>
              <m:t>j</m:t>
            </m:r>
          </m:sub>
          <m:sup>
            <m:r>
              <m:rPr>
                <m:sty m:val="p"/>
              </m:rPr>
              <w:rPr>
                <w:sz w:val="28"/>
              </w:rPr>
              <m:t>end</m:t>
            </m:r>
          </m:sup>
        </m:sSubSup>
      </m:oMath>
      <w:r>
        <w:rPr>
          <w:rFonts w:ascii="楷体_GB2312" w:hAnsi="Times New Roman" w:eastAsia="楷体_GB2312"/>
          <w:bCs/>
          <w:sz w:val="28"/>
          <w:szCs w:val="28"/>
        </w:rPr>
        <w:t xml:space="preserve">，保存的时间差为</w:t>
      </w:r>
    </w:p>
    <w:p>
      <w:pPr>
        <w:pStyle w:val="RWBody"/>
        <w:keepLines/>
        <w:widowControl/>
        <w:tabs>
          <w:tab w:pos="4819" w:val="center"/>
          <w:tab w:pos="9638" w:val="right"/>
        </w:tabs>
        <w:spacing w:line="360" w:lineRule="auto" w:before="140" w:after="160"/>
        <w:ind w:firstLine="0"/>
        <w:snapToGrid w:val="0"/>
      </w:pPr>
      <w:r>
        <w:tab/>
      </w:r>
      <m:oMath>
        <m:sSub>
          <m:e>
            <m:r>
              <w:rPr>
                <w:sz w:val="28"/>
              </w:rPr>
              <m:t>x</m:t>
            </m:r>
          </m:e>
          <m:sub>
            <m:r>
              <w:rPr>
                <w:sz w:val="28"/>
              </w:rPr>
              <m:t>j</m:t>
            </m:r>
          </m:sub>
        </m:sSub>
        <m:r>
          <m:rPr>
            <m:sty m:val="p"/>
          </m:rPr>
          <w:rPr>
            <w:sz w:val="28"/>
          </w:rPr>
          <m:t>=</m:t>
        </m:r>
        <m:sSubSup>
          <m:e>
            <m:r>
              <w:rPr>
                <w:sz w:val="28"/>
              </w:rPr>
              <m:t>t</m:t>
            </m:r>
          </m:e>
          <m:sub>
            <m:r>
              <w:rPr>
                <w:sz w:val="28"/>
              </w:rPr>
              <m:t>j</m:t>
            </m:r>
          </m:sub>
          <m:sup>
            <m:r>
              <m:rPr>
                <m:sty m:val="p"/>
              </m:rPr>
              <w:rPr>
                <w:sz w:val="28"/>
              </w:rPr>
              <m:t>end</m:t>
            </m:r>
          </m:sup>
        </m:sSubSup>
        <m:r>
          <m:rPr>
            <m:sty m:val="p"/>
          </m:rPr>
          <w:rPr>
            <w:sz w:val="28"/>
          </w:rPr>
          <m:t>−</m:t>
        </m:r>
        <m:sSubSup>
          <m:e>
            <m:r>
              <w:rPr>
                <w:sz w:val="28"/>
              </w:rPr>
              <m:t>t</m:t>
            </m:r>
          </m:e>
          <m:sub>
            <m:r>
              <w:rPr>
                <w:sz w:val="28"/>
              </w:rPr>
              <m:t>j</m:t>
            </m:r>
          </m:sub>
          <m:sup>
            <m:r>
              <m:rPr>
                <m:sty m:val="p"/>
              </m:rPr>
              <w:rPr>
                <w:sz w:val="28"/>
              </w:rPr>
              <m:t>start</m:t>
            </m:r>
          </m:sup>
        </m:sSubSup>
        <m:r>
          <m:rPr>
            <m:sty m:val="p"/>
          </m:rPr>
          <w:rPr>
            <w:sz w:val="28"/>
          </w:rPr>
          <m:t>.</m:t>
        </m:r>
      </m:oMath>
      <w:r>
        <w:rPr>
          <w:rFonts w:ascii="Times New Roman" w:hAnsi="Times New Roman" w:eastAsia="SimSun"/>
          <w:sz w:val="22"/>
        </w:rPr>
        <w:tab/>
        <w:t>(2-3)</w:t>
      </w:r>
    </w:p>
    <w:p>
      <w:pPr>
        <w:pStyle w:val="RWBody"/>
        <w:widowControl/>
        <w:adjustRightInd w:val="0"/>
        <w:snapToGrid w:val="0"/>
        <w:spacing w:line="480" w:lineRule="exact"/>
      </w:pPr>
      <w:r>
        <w:rPr>
          <w:rFonts w:ascii="楷体_GB2312" w:hAnsi="Times New Roman" w:eastAsia="楷体_GB2312"/>
          <w:bCs/>
          <w:sz w:val="28"/>
          <w:szCs w:val="28"/>
        </w:rPr>
        <w:t xml:space="preserve">该时间差由多个因素共同影响。为说明测量的解释范围，可将其概念性地表示为</w:t>
      </w:r>
    </w:p>
    <w:p>
      <w:pPr>
        <w:pStyle w:val="RWBody"/>
        <w:keepLines/>
        <w:widowControl/>
        <w:tabs>
          <w:tab w:pos="4819" w:val="center"/>
          <w:tab w:pos="9638" w:val="right"/>
        </w:tabs>
        <w:spacing w:line="360" w:lineRule="auto" w:before="140" w:after="160"/>
        <w:ind w:firstLine="0"/>
        <w:snapToGrid w:val="0"/>
      </w:pPr>
      <w:r>
        <w:tab/>
      </w:r>
      <m:oMath>
        <m:sSub>
          <m:e>
            <m:r>
              <w:rPr>
                <w:sz w:val="28"/>
              </w:rPr>
              <m:t>x</m:t>
            </m:r>
          </m:e>
          <m:sub>
            <m:r>
              <w:rPr>
                <w:sz w:val="28"/>
              </w:rPr>
              <m:t>j</m:t>
            </m:r>
          </m:sub>
        </m:sSub>
        <m:r>
          <m:rPr>
            <m:sty m:val="p"/>
          </m:rPr>
          <w:rPr>
            <w:sz w:val="28"/>
          </w:rPr>
          <m:t>=</m:t>
        </m:r>
        <m:sSubSup>
          <m:e>
            <m:r>
              <w:rPr>
                <w:sz w:val="28"/>
              </w:rPr>
              <m:t>τ</m:t>
            </m:r>
          </m:e>
          <m:sub>
            <m:r>
              <w:rPr>
                <w:sz w:val="28"/>
              </w:rPr>
              <m:t>j</m:t>
            </m:r>
          </m:sub>
          <m:sup>
            <m:r>
              <m:rPr>
                <m:sty m:val="p"/>
              </m:rPr>
              <w:rPr>
                <w:sz w:val="28"/>
              </w:rPr>
              <m:t>impl</m:t>
            </m:r>
          </m:sup>
        </m:sSubSup>
        <m:r>
          <m:rPr>
            <m:sty m:val="p"/>
          </m:rPr>
          <w:rPr>
            <w:sz w:val="28"/>
          </w:rPr>
          <m:t>+</m:t>
        </m:r>
        <m:sSubSup>
          <m:e>
            <m:r>
              <w:rPr>
                <w:sz w:val="28"/>
              </w:rPr>
              <m:t>η</m:t>
            </m:r>
          </m:e>
          <m:sub>
            <m:r>
              <w:rPr>
                <w:sz w:val="28"/>
              </w:rPr>
              <m:t>j</m:t>
            </m:r>
          </m:sub>
          <m:sup>
            <m:r>
              <m:rPr>
                <m:sty m:val="p"/>
              </m:rPr>
              <w:rPr>
                <w:sz w:val="28"/>
              </w:rPr>
              <m:t>env</m:t>
            </m:r>
          </m:sup>
        </m:sSubSup>
        <m:r>
          <m:rPr>
            <m:sty m:val="p"/>
          </m:rPr>
          <w:rPr>
            <w:sz w:val="28"/>
          </w:rPr>
          <m:t>+</m:t>
        </m:r>
        <m:sSubSup>
          <m:e>
            <m:r>
              <w:rPr>
                <w:sz w:val="28"/>
              </w:rPr>
              <m:t>η</m:t>
            </m:r>
          </m:e>
          <m:sub>
            <m:r>
              <w:rPr>
                <w:sz w:val="28"/>
              </w:rPr>
              <m:t>j</m:t>
            </m:r>
          </m:sub>
          <m:sup>
            <m:r>
              <m:rPr>
                <m:sty m:val="p"/>
              </m:rPr>
              <w:rPr>
                <w:sz w:val="28"/>
              </w:rPr>
              <m:t>clock</m:t>
            </m:r>
          </m:sup>
        </m:sSubSup>
        <m:r>
          <m:rPr>
            <m:sty m:val="p"/>
          </m:rPr>
          <w:rPr>
            <w:sz w:val="28"/>
          </w:rPr>
          <m:t>.</m:t>
        </m:r>
      </m:oMath>
      <w:r>
        <w:rPr>
          <w:rFonts w:ascii="Times New Roman" w:hAnsi="Times New Roman" w:eastAsia="SimSun"/>
          <w:sz w:val="22"/>
        </w:rPr>
        <w:tab/>
        <w:t>(2-4)</w:t>
      </w:r>
    </w:p>
    <w:p>
      <w:pPr>
        <w:pStyle w:val="RWBody"/>
        <w:widowControl/>
        <w:adjustRightInd w:val="0"/>
        <w:snapToGrid w:val="0"/>
        <w:spacing w:line="480" w:lineRule="exact"/>
      </w:pPr>
      <w:r>
        <w:rPr>
          <w:rFonts w:ascii="楷体_GB2312" w:hAnsi="Times New Roman" w:eastAsia="楷体_GB2312"/>
          <w:bCs/>
          <w:sz w:val="28"/>
          <w:szCs w:val="28"/>
        </w:rPr>
        <w:t xml:space="preserve">其中，</w:t>
      </w:r>
      <m:oMath>
        <m:sSubSup>
          <m:e>
            <m:r>
              <w:rPr>
                <w:sz w:val="28"/>
              </w:rPr>
              <m:t>τ</m:t>
            </m:r>
          </m:e>
          <m:sub>
            <m:r>
              <w:rPr>
                <w:sz w:val="28"/>
              </w:rPr>
              <m:t>j</m:t>
            </m:r>
          </m:sub>
          <m:sup>
            <m:r>
              <m:rPr>
                <m:sty m:val="p"/>
              </m:rPr>
              <w:rPr>
                <w:sz w:val="28"/>
              </w:rPr>
              <m:t>impl</m:t>
            </m:r>
          </m:sup>
        </m:sSubSup>
      </m:oMath>
      <w:r>
        <w:rPr>
          <w:rFonts w:ascii="楷体_GB2312" w:hAnsi="Times New Roman" w:eastAsia="楷体_GB2312"/>
          <w:bCs/>
          <w:sz w:val="28"/>
          <w:szCs w:val="28"/>
        </w:rPr>
        <w:t xml:space="preserve"> </w:t>
      </w:r>
      <w:r>
        <w:rPr>
          <w:rFonts w:ascii="楷体_GB2312" w:hAnsi="Times New Roman" w:eastAsia="楷体_GB2312"/>
          <w:bCs/>
          <w:sz w:val="28"/>
          <w:szCs w:val="28"/>
        </w:rPr>
        <w:t xml:space="preserve">表示实现相关耗时，另外两项概括运行环境和读钟带来的影响。式（2-4）是解释测量来源的示意分解，不是已经识别各分量的拟合模型，也不预设噪声服从正态分布或彼此独立。观察到总时间不同，仍需进一步核对影响因素，才能讨论差异来源。</w:t>
      </w:r>
    </w:p>
    <w:p>
      <w:pPr>
        <w:pStyle w:val="RWBody"/>
        <w:widowControl/>
        <w:adjustRightInd w:val="0"/>
        <w:snapToGrid w:val="0"/>
        <w:spacing w:line="480" w:lineRule="exact"/>
      </w:pPr>
      <w:r>
        <w:rPr>
          <w:rFonts w:ascii="楷体_GB2312" w:hAnsi="Times New Roman" w:eastAsia="楷体_GB2312"/>
          <w:bCs/>
          <w:sz w:val="28"/>
          <w:szCs w:val="28"/>
        </w:rPr>
        <w:t>实验重复具有不同层次：同一进程中的多次调用、同一程序的不同进程，以及重新构建后的运行。性能评估研究指出，不同层次的变异需要分别考虑[18]。因此，本文保留逐次时间，同时按运行块或进程汇总。例如，54000条调用记录不能直接当成54000个独立实验；八个任务各重复三次，也不能说成二十四个不同任务。六进程实验中的300000条计时记录包含150000条预热和150000条主阶段记录，两次连接批次仍来自同一机器及同一次系统启动。</w:t>
      </w:r>
    </w:p>
    <w:bookmarkEnd w:id="21"/>
    <w:bookmarkStart w:id="25" w:name="成对随机化与整数精确检验"/>
    <w:p>
      <w:pPr>
        <w:pStyle w:val="RWSection"/>
        <w:spacing w:before="240" w:after="240" w:line="360" w:lineRule="auto"/>
        <w:keepNext/>
        <w:keepLines/>
        <w:outlineLvl w:val="1"/>
      </w:pPr>
      <w:bookmarkStart w:id="508" w:name="rw_heading_8"/>
      <w:r>
        <w:rPr>
          <w:rFonts w:ascii="Times New Roman" w:hAnsi="Times New Roman" w:eastAsia="黑体" w:cs="Times New Roman"/>
          <w:sz w:val="28"/>
          <w:szCs w:val="28"/>
          <w:b/>
        </w:rPr>
        <w:t xml:space="preserve">2.4　</w:t>
      </w:r>
      <w:r>
        <w:rPr>
          <w:rFonts w:ascii="Times New Roman" w:hAnsi="Times New Roman" w:eastAsia="黑体" w:cs="Times New Roman"/>
          <w:sz w:val="28"/>
          <w:szCs w:val="28"/>
          <w:b/>
        </w:rPr>
        <w:t xml:space="preserve">成对随机化与整数精确检验</w:t>
      </w:r>
      <w:bookmarkEnd w:id="508"/>
    </w:p>
    <w:p>
      <w:pPr>
        <w:pStyle w:val="RWBody"/>
        <w:widowControl/>
        <w:adjustRightInd w:val="0"/>
        <w:snapToGrid w:val="0"/>
        <w:spacing w:line="480" w:lineRule="exact"/>
      </w:pPr>
      <w:r>
        <w:rPr>
          <w:rFonts w:ascii="楷体_GB2312" w:hAnsi="Times New Roman" w:eastAsia="楷体_GB2312"/>
          <w:bCs/>
          <w:sz w:val="28"/>
          <w:szCs w:val="28"/>
        </w:rPr>
        <w:t xml:space="preserve">对于已经满足成对分析要求的数据，每对两侧须具有相同调用次数和时间单位，差值及累计值须满足整数范围约束。设第</w:t>
      </w:r>
      <w:r>
        <w:rPr>
          <w:rFonts w:ascii="楷体_GB2312" w:hAnsi="Times New Roman" w:eastAsia="楷体_GB2312"/>
          <w:bCs/>
          <w:sz w:val="28"/>
          <w:szCs w:val="28"/>
        </w:rPr>
        <w:t xml:space="preserve"> </w:t>
      </w:r>
      <m:oMath>
        <m:r>
          <w:rPr>
            <w:sz w:val="28"/>
          </w:rPr>
          <m:t>k</m:t>
        </m:r>
      </m:oMath>
      <w:r>
        <w:rPr>
          <w:rFonts w:ascii="楷体_GB2312" w:hAnsi="Times New Roman" w:eastAsia="楷体_GB2312"/>
          <w:bCs/>
          <w:sz w:val="28"/>
          <w:szCs w:val="28"/>
        </w:rPr>
        <w:t xml:space="preserve"> </w:t>
      </w:r>
      <w:r>
        <w:rPr>
          <w:rFonts w:ascii="楷体_GB2312" w:hAnsi="Times New Roman" w:eastAsia="楷体_GB2312"/>
          <w:bCs/>
          <w:sz w:val="28"/>
          <w:szCs w:val="28"/>
        </w:rPr>
        <w:t xml:space="preserve">对的两个总耗时为</w:t>
      </w:r>
      <w:r>
        <w:rPr>
          <w:rFonts w:ascii="楷体_GB2312" w:hAnsi="Times New Roman" w:eastAsia="楷体_GB2312"/>
          <w:bCs/>
          <w:sz w:val="28"/>
          <w:szCs w:val="28"/>
        </w:rPr>
        <w:t xml:space="preserve"> </w:t>
      </w:r>
      <m:oMath>
        <m:sSub>
          <m:e>
            <m:r>
              <w:rPr>
                <w:sz w:val="28"/>
              </w:rPr>
              <m:t>A</m:t>
            </m:r>
          </m:e>
          <m:sub>
            <m:r>
              <w:rPr>
                <w:sz w:val="28"/>
              </w:rPr>
              <m:t>k</m:t>
            </m:r>
          </m:sub>
        </m:sSub>
      </m:oMath>
      <w:r>
        <w:rPr>
          <w:rFonts w:ascii="楷体_GB2312" w:hAnsi="Times New Roman" w:eastAsia="楷体_GB2312"/>
          <w:bCs/>
          <w:sz w:val="28"/>
          <w:szCs w:val="28"/>
        </w:rPr>
        <w:t xml:space="preserve">、</w:t>
      </w:r>
      <m:oMath>
        <m:sSub>
          <m:e>
            <m:r>
              <w:rPr>
                <w:sz w:val="28"/>
              </w:rPr>
              <m:t>B</m:t>
            </m:r>
          </m:e>
          <m:sub>
            <m:r>
              <w:rPr>
                <w:sz w:val="28"/>
              </w:rPr>
              <m:t>k</m:t>
            </m:r>
          </m:sub>
        </m:sSub>
      </m:oMath>
      <w:r>
        <w:rPr>
          <w:rFonts w:ascii="楷体_GB2312" w:hAnsi="Times New Roman" w:eastAsia="楷体_GB2312"/>
          <w:bCs/>
          <w:sz w:val="28"/>
          <w:szCs w:val="28"/>
        </w:rPr>
        <w:t xml:space="preserve">，成对差及其观测统计量定义为</w:t>
      </w:r>
    </w:p>
    <w:p>
      <w:pPr>
        <w:pStyle w:val="RWBody"/>
        <w:keepLines/>
        <w:widowControl/>
        <w:tabs>
          <w:tab w:pos="4819" w:val="center"/>
          <w:tab w:pos="9638" w:val="right"/>
        </w:tabs>
        <w:spacing w:line="360" w:lineRule="auto" w:before="140" w:after="160"/>
        <w:ind w:firstLine="0"/>
        <w:snapToGrid w:val="0"/>
      </w:pPr>
      <w:r>
        <w:tab/>
      </w:r>
      <m:oMath>
        <m:sSub>
          <m:e>
            <m:r>
              <w:rPr>
                <w:sz w:val="28"/>
              </w:rPr>
              <m:t>d</m:t>
            </m:r>
          </m:e>
          <m:sub>
            <m:r>
              <w:rPr>
                <w:sz w:val="28"/>
              </w:rPr>
              <m:t>k</m:t>
            </m:r>
          </m:sub>
        </m:sSub>
        <m:r>
          <m:rPr>
            <m:sty m:val="p"/>
          </m:rPr>
          <w:rPr>
            <w:sz w:val="28"/>
          </w:rPr>
          <m:t>=</m:t>
        </m:r>
        <m:sSub>
          <m:e>
            <m:r>
              <w:rPr>
                <w:sz w:val="28"/>
              </w:rPr>
              <m:t>A</m:t>
            </m:r>
          </m:e>
          <m:sub>
            <m:r>
              <w:rPr>
                <w:sz w:val="28"/>
              </w:rPr>
              <m:t>k</m:t>
            </m:r>
          </m:sub>
        </m:sSub>
        <m:r>
          <m:rPr>
            <m:sty m:val="p"/>
          </m:rPr>
          <w:rPr>
            <w:sz w:val="28"/>
          </w:rPr>
          <m:t>−</m:t>
        </m:r>
        <m:sSub>
          <m:e>
            <m:r>
              <w:rPr>
                <w:sz w:val="28"/>
              </w:rPr>
              <m:t>B</m:t>
            </m:r>
          </m:e>
          <m:sub>
            <m:r>
              <w:rPr>
                <w:sz w:val="28"/>
              </w:rPr>
              <m:t>k</m:t>
            </m:r>
          </m:sub>
        </m:sSub>
        <m:r>
          <m:rPr>
            <m:sty m:val="p"/>
          </m:rPr>
          <w:rPr>
            <w:sz w:val="28"/>
          </w:rPr>
          <m:t>,</m:t>
        </m:r>
        <m:r>
          <w:rPr>
            <w:sz w:val="28"/>
          </w:rPr>
          <m:t>  </m:t>
        </m:r>
        <m:sSub>
          <m:e>
            <m:r>
              <w:rPr>
                <w:sz w:val="28"/>
              </w:rPr>
              <m:t>T</m:t>
            </m:r>
          </m:e>
          <m:sub>
            <m:r>
              <m:rPr>
                <m:sty m:val="p"/>
              </m:rPr>
              <w:rPr>
                <w:sz w:val="28"/>
              </w:rPr>
              <m:t>obs</m:t>
            </m:r>
          </m:sub>
        </m:sSub>
        <m:r>
          <m:rPr>
            <m:sty m:val="p"/>
          </m:rPr>
          <w:rPr>
            <w:sz w:val="28"/>
          </w:rPr>
          <m:t>=</m:t>
        </m:r>
        <m:d>
          <m:dPr>
            <m:begChr m:val="|"/>
            <m:sepChr m:val=""/>
            <m:endChr m:val="|"/>
            <m:grow/>
          </m:dPr>
          <m:e>
            <m:nary>
              <m:naryPr>
                <m:chr m:val="∑"/>
                <m:limLoc m:val="undOvr"/>
                <m:subHide m:val="off"/>
                <m:supHide m:val="off"/>
              </m:naryPr>
              <m:sub>
                <m:r>
                  <w:rPr>
                    <w:sz w:val="28"/>
                  </w:rPr>
                  <m:t>k</m:t>
                </m:r>
                <m:r>
                  <m:rPr>
                    <m:sty m:val="p"/>
                  </m:rPr>
                  <w:rPr>
                    <w:sz w:val="28"/>
                  </w:rPr>
                  <m:t>=</m:t>
                </m:r>
                <m:r>
                  <w:rPr>
                    <w:sz w:val="28"/>
                  </w:rPr>
                  <m:t>1</m:t>
                </m:r>
              </m:sub>
              <m:sup>
                <m:r>
                  <w:rPr>
                    <w:sz w:val="28"/>
                  </w:rPr>
                  <m:t>m</m:t>
                </m:r>
              </m:sup>
              <m:e>
                <m:sSub>
                  <m:e>
                    <m:r>
                      <w:rPr>
                        <w:sz w:val="28"/>
                      </w:rPr>
                      <m:t>d</m:t>
                    </m:r>
                  </m:e>
                  <m:sub>
                    <m:r>
                      <w:rPr>
                        <w:sz w:val="28"/>
                      </w:rPr>
                      <m:t>k</m:t>
                    </m:r>
                  </m:sub>
                </m:sSub>
              </m:e>
            </m:nary>
          </m:e>
        </m:d>
        <m:r>
          <m:rPr>
            <m:sty m:val="p"/>
          </m:rPr>
          <w:rPr>
            <w:sz w:val="28"/>
          </w:rPr>
          <m:t>.</m:t>
        </m:r>
      </m:oMath>
      <w:r>
        <w:rPr>
          <w:rFonts w:ascii="Times New Roman" w:hAnsi="Times New Roman" w:eastAsia="SimSun"/>
          <w:sz w:val="22"/>
        </w:rPr>
        <w:tab/>
        <w:t>(2-5)</w:t>
      </w:r>
    </w:p>
    <w:p>
      <w:pPr>
        <w:pStyle w:val="RWBody"/>
        <w:widowControl/>
        <w:adjustRightInd w:val="0"/>
        <w:snapToGrid w:val="0"/>
        <w:spacing w:line="480" w:lineRule="exact"/>
      </w:pPr>
      <w:r>
        <w:rPr>
          <w:rFonts w:ascii="楷体_GB2312" w:hAnsi="Times New Roman" w:eastAsia="楷体_GB2312"/>
          <w:bCs/>
          <w:sz w:val="28"/>
          <w:szCs w:val="28"/>
        </w:rPr>
        <w:t xml:space="preserve">对内交换两个标签等价于改变该对差值的符号。记所有交换状态构成集合</w:t>
      </w:r>
      <w:r>
        <w:rPr>
          <w:rFonts w:ascii="楷体_GB2312" w:hAnsi="Times New Roman" w:eastAsia="楷体_GB2312"/>
          <w:bCs/>
          <w:sz w:val="28"/>
          <w:szCs w:val="28"/>
        </w:rPr>
        <w:t xml:space="preserve"> </w:t>
      </w:r>
      <m:oMath>
        <m:r>
          <m:rPr>
            <m:sty m:val="p"/>
          </m:rPr>
          <w:rPr>
            <w:sz w:val="28"/>
          </w:rPr>
          <m:t>Ω={−</m:t>
        </m:r>
        <m:r>
          <w:rPr>
            <w:sz w:val="28"/>
          </w:rPr>
          <m:t>1</m:t>
        </m:r>
        <m:r>
          <m:rPr>
            <m:sty m:val="p"/>
          </m:rPr>
          <w:rPr>
            <w:sz w:val="28"/>
          </w:rPr>
          <m:t>,+</m:t>
        </m:r>
        <m:r>
          <w:rPr>
            <w:sz w:val="28"/>
          </w:rPr>
          <m:t>1</m:t>
        </m:r>
        <m:sSup>
          <m:e>
            <m:r>
              <m:rPr>
                <m:sty m:val="p"/>
              </m:rPr>
              <w:rPr>
                <w:sz w:val="28"/>
              </w:rPr>
              <m:t>}</m:t>
            </m:r>
          </m:e>
          <m:sup>
            <m:r>
              <w:rPr>
                <w:sz w:val="28"/>
              </w:rPr>
              <m:t>m</m:t>
            </m:r>
          </m:sup>
        </m:sSup>
      </m:oMath>
      <w:r>
        <w:rPr>
          <w:rFonts w:ascii="楷体_GB2312" w:hAnsi="Times New Roman" w:eastAsia="楷体_GB2312"/>
          <w:bCs/>
          <w:sz w:val="28"/>
          <w:szCs w:val="28"/>
        </w:rPr>
        <w:t xml:space="preserve">，则每个状态</w:t>
      </w:r>
      <w:r>
        <w:rPr>
          <w:rFonts w:ascii="楷体_GB2312" w:hAnsi="Times New Roman" w:eastAsia="楷体_GB2312"/>
          <w:bCs/>
          <w:sz w:val="28"/>
          <w:szCs w:val="28"/>
        </w:rPr>
        <w:t xml:space="preserve"> </w:t>
      </w:r>
      <m:oMath>
        <m:r>
          <m:rPr>
            <m:sty m:val="bi"/>
          </m:rPr>
          <w:rPr>
            <w:sz w:val="28"/>
          </w:rPr>
          <m:t>ε</m:t>
        </m:r>
      </m:oMath>
      <w:r>
        <w:rPr>
          <w:rFonts w:ascii="楷体_GB2312" w:hAnsi="Times New Roman" w:eastAsia="楷体_GB2312"/>
          <w:bCs/>
          <w:sz w:val="28"/>
          <w:szCs w:val="28"/>
        </w:rPr>
        <w:t xml:space="preserve"> </w:t>
      </w:r>
      <w:r>
        <w:rPr>
          <w:rFonts w:ascii="楷体_GB2312" w:hAnsi="Times New Roman" w:eastAsia="楷体_GB2312"/>
          <w:bCs/>
          <w:sz w:val="28"/>
          <w:szCs w:val="28"/>
        </w:rPr>
        <w:t xml:space="preserve">对应的统计量为</w:t>
      </w:r>
    </w:p>
    <w:p>
      <w:pPr>
        <w:pStyle w:val="RWBody"/>
        <w:keepLines/>
        <w:widowControl/>
        <w:tabs>
          <w:tab w:pos="4819" w:val="center"/>
          <w:tab w:pos="9638" w:val="right"/>
        </w:tabs>
        <w:spacing w:line="360" w:lineRule="auto" w:before="140" w:after="160"/>
        <w:ind w:firstLine="0"/>
        <w:snapToGrid w:val="0"/>
      </w:pPr>
      <w:r>
        <w:tab/>
      </w:r>
      <m:oMath>
        <m:r>
          <w:rPr>
            <w:sz w:val="28"/>
          </w:rPr>
          <m:t>T</m:t>
        </m:r>
        <m:r>
          <m:rPr>
            <m:sty m:val="p"/>
          </m:rPr>
          <w:rPr>
            <w:sz w:val="28"/>
          </w:rPr>
          <m:t>(</m:t>
        </m:r>
        <m:r>
          <m:rPr>
            <m:sty m:val="bi"/>
          </m:rPr>
          <w:rPr>
            <w:sz w:val="28"/>
          </w:rPr>
          <m:t>ε</m:t>
        </m:r>
        <m:r>
          <m:rPr>
            <m:sty m:val="p"/>
          </m:rPr>
          <w:rPr>
            <w:sz w:val="28"/>
          </w:rPr>
          <m:t>)=</m:t>
        </m:r>
        <m:d>
          <m:dPr>
            <m:begChr m:val="|"/>
            <m:sepChr m:val=""/>
            <m:endChr m:val="|"/>
            <m:grow/>
          </m:dPr>
          <m:e>
            <m:nary>
              <m:naryPr>
                <m:chr m:val="∑"/>
                <m:limLoc m:val="undOvr"/>
                <m:subHide m:val="off"/>
                <m:supHide m:val="off"/>
              </m:naryPr>
              <m:sub>
                <m:r>
                  <w:rPr>
                    <w:sz w:val="28"/>
                  </w:rPr>
                  <m:t>k</m:t>
                </m:r>
                <m:r>
                  <m:rPr>
                    <m:sty m:val="p"/>
                  </m:rPr>
                  <w:rPr>
                    <w:sz w:val="28"/>
                  </w:rPr>
                  <m:t>=</m:t>
                </m:r>
                <m:r>
                  <w:rPr>
                    <w:sz w:val="28"/>
                  </w:rPr>
                  <m:t>1</m:t>
                </m:r>
              </m:sub>
              <m:sup>
                <m:r>
                  <w:rPr>
                    <w:sz w:val="28"/>
                  </w:rPr>
                  <m:t>m</m:t>
                </m:r>
              </m:sup>
              <m:e>
                <m:sSub>
                  <m:e>
                    <m:r>
                      <w:rPr>
                        <w:sz w:val="28"/>
                      </w:rPr>
                      <m:t>ε</m:t>
                    </m:r>
                  </m:e>
                  <m:sub>
                    <m:r>
                      <w:rPr>
                        <w:sz w:val="28"/>
                      </w:rPr>
                      <m:t>k</m:t>
                    </m:r>
                  </m:sub>
                </m:sSub>
              </m:e>
            </m:nary>
            <m:sSub>
              <m:e>
                <m:r>
                  <w:rPr>
                    <w:sz w:val="28"/>
                  </w:rPr>
                  <m:t>d</m:t>
                </m:r>
              </m:e>
              <m:sub>
                <m:r>
                  <w:rPr>
                    <w:sz w:val="28"/>
                  </w:rPr>
                  <m:t>k</m:t>
                </m:r>
              </m:sub>
            </m:sSub>
          </m:e>
        </m:d>
        <m:r>
          <m:rPr>
            <m:sty m:val="p"/>
          </m:rPr>
          <w:rPr>
            <w:sz w:val="28"/>
          </w:rPr>
          <m:t>,</m:t>
        </m:r>
        <m:r>
          <w:rPr>
            <w:sz w:val="28"/>
          </w:rPr>
          <m:t>  </m:t>
        </m:r>
        <m:r>
          <m:rPr>
            <m:sty m:val="p"/>
          </m:rPr>
          <w:rPr>
            <w:sz w:val="28"/>
          </w:rPr>
          <m:t>|Ω|=</m:t>
        </m:r>
        <m:sSup>
          <m:e>
            <m:r>
              <w:rPr>
                <w:sz w:val="28"/>
              </w:rPr>
              <m:t>2</m:t>
            </m:r>
          </m:e>
          <m:sup>
            <m:r>
              <w:rPr>
                <w:sz w:val="28"/>
              </w:rPr>
              <m:t>m</m:t>
            </m:r>
          </m:sup>
        </m:sSup>
        <m:r>
          <m:rPr>
            <m:sty m:val="p"/>
          </m:rPr>
          <w:rPr>
            <w:sz w:val="28"/>
          </w:rPr>
          <m:t>.</m:t>
        </m:r>
      </m:oMath>
      <w:r>
        <w:rPr>
          <w:rFonts w:ascii="Times New Roman" w:hAnsi="Times New Roman" w:eastAsia="SimSun"/>
          <w:sz w:val="22"/>
        </w:rPr>
        <w:tab/>
        <w:t>(2-6)</w:t>
      </w:r>
    </w:p>
    <w:p>
      <w:pPr>
        <w:pStyle w:val="RWBody"/>
        <w:widowControl/>
        <w:adjustRightInd w:val="0"/>
        <w:snapToGrid w:val="0"/>
        <w:spacing w:line="480" w:lineRule="exact"/>
      </w:pPr>
      <w:r>
        <w:rPr>
          <w:rFonts w:ascii="楷体_GB2312" w:hAnsi="Times New Roman" w:eastAsia="楷体_GB2312"/>
          <w:bCs/>
          <w:sz w:val="28"/>
          <w:szCs w:val="28"/>
        </w:rPr>
        <w:t xml:space="preserve">完整枚举后，采用包含等值的上尾计数，精确概率为</w:t>
      </w:r>
    </w:p>
    <w:p>
      <w:pPr>
        <w:pStyle w:val="RWBody"/>
        <w:keepLines/>
        <w:widowControl/>
        <w:tabs>
          <w:tab w:pos="4819" w:val="center"/>
          <w:tab w:pos="9638" w:val="right"/>
        </w:tabs>
        <w:spacing w:line="360" w:lineRule="auto" w:before="140" w:after="160"/>
        <w:ind w:firstLine="0"/>
        <w:snapToGrid w:val="0"/>
      </w:pPr>
      <w:r>
        <w:tab/>
      </w:r>
      <m:oMath>
        <m:sSub>
          <m:e>
            <m:r>
              <w:rPr>
                <w:sz w:val="28"/>
              </w:rPr>
              <m:t>p</m:t>
            </m:r>
          </m:e>
          <m:sub>
            <m:r>
              <m:rPr>
                <m:sty m:val="p"/>
              </m:rPr>
              <w:rPr>
                <w:sz w:val="28"/>
              </w:rPr>
              <m:t>exact</m:t>
            </m:r>
          </m:sub>
        </m:sSub>
        <m:r>
          <m:rPr>
            <m:sty m:val="p"/>
          </m:rPr>
          <w:rPr>
            <w:sz w:val="28"/>
          </w:rPr>
          <m:t>=</m:t>
        </m:r>
        <m:f>
          <m:fPr>
            <m:type m:val="bar"/>
          </m:fPr>
          <m:num>
            <m:nary>
              <m:naryPr>
                <m:chr m:val="∑"/>
                <m:limLoc m:val="undOvr"/>
                <m:subHide m:val="off"/>
                <m:supHide m:val="on"/>
              </m:naryPr>
              <m:sub>
                <m:r>
                  <m:rPr>
                    <m:sty m:val="bi"/>
                  </m:rPr>
                  <w:rPr>
                    <w:sz w:val="28"/>
                  </w:rPr>
                  <m:t>ε</m:t>
                </m:r>
                <m:r>
                  <m:rPr>
                    <m:sty m:val="p"/>
                  </m:rPr>
                  <w:rPr>
                    <w:sz w:val="28"/>
                  </w:rPr>
                  <m:t>∈Ω</m:t>
                </m:r>
              </m:sub>
              <m:sup>
                <m:r>
                  <w:rPr>
                    <w:sz w:val="28"/>
                  </w:rPr>
                  <m:t>​</m:t>
                </m:r>
              </m:sup>
              <m:e>
                <m:r>
                  <m:rPr>
                    <m:sty m:val="b"/>
                  </m:rPr>
                  <w:rPr>
                    <w:sz w:val="28"/>
                  </w:rPr>
                  <m:t>1</m:t>
                </m:r>
              </m:e>
            </m:nary>
            <m:r>
              <w:rPr>
                <w:sz w:val="28"/>
              </w:rPr>
              <m:t>​</m:t>
            </m:r>
            <m:d>
              <m:dPr>
                <m:begChr m:val="["/>
                <m:sepChr m:val=""/>
                <m:endChr m:val="]"/>
                <m:grow/>
              </m:dPr>
              <m:e>
                <m:r>
                  <w:rPr>
                    <w:sz w:val="28"/>
                  </w:rPr>
                  <m:t>T</m:t>
                </m:r>
                <m:r>
                  <m:rPr>
                    <m:sty m:val="p"/>
                  </m:rPr>
                  <w:rPr>
                    <w:sz w:val="28"/>
                  </w:rPr>
                  <m:t>(</m:t>
                </m:r>
                <m:r>
                  <m:rPr>
                    <m:sty m:val="bi"/>
                  </m:rPr>
                  <w:rPr>
                    <w:sz w:val="28"/>
                  </w:rPr>
                  <m:t>ε</m:t>
                </m:r>
                <m:r>
                  <m:rPr>
                    <m:sty m:val="p"/>
                  </m:rPr>
                  <w:rPr>
                    <w:sz w:val="28"/>
                  </w:rPr>
                  <m:t>)≥</m:t>
                </m:r>
                <m:sSub>
                  <m:e>
                    <m:r>
                      <w:rPr>
                        <w:sz w:val="28"/>
                      </w:rPr>
                      <m:t>T</m:t>
                    </m:r>
                  </m:e>
                  <m:sub>
                    <m:r>
                      <m:rPr>
                        <m:sty m:val="p"/>
                      </m:rPr>
                      <w:rPr>
                        <w:sz w:val="28"/>
                      </w:rPr>
                      <m:t>obs</m:t>
                    </m:r>
                  </m:sub>
                </m:sSub>
              </m:e>
            </m:d>
          </m:num>
          <m:den>
            <m:sSup>
              <m:e>
                <m:r>
                  <w:rPr>
                    <w:sz w:val="28"/>
                  </w:rPr>
                  <m:t>2</m:t>
                </m:r>
              </m:e>
              <m:sup>
                <m:r>
                  <w:rPr>
                    <w:sz w:val="28"/>
                  </w:rPr>
                  <m:t>m</m:t>
                </m:r>
              </m:sup>
            </m:sSup>
          </m:den>
        </m:f>
        <m:r>
          <m:rPr>
            <m:sty m:val="p"/>
          </m:rPr>
          <w:rPr>
            <w:sz w:val="28"/>
          </w:rPr>
          <m:t>.</m:t>
        </m:r>
      </m:oMath>
      <w:r>
        <w:rPr>
          <w:rFonts w:ascii="Times New Roman" w:hAnsi="Times New Roman" w:eastAsia="SimSun"/>
          <w:sz w:val="22"/>
        </w:rPr>
        <w:tab/>
        <w:t>(2-7)</w:t>
      </w:r>
    </w:p>
    <w:p>
      <w:pPr>
        <w:pStyle w:val="RWBody"/>
        <w:widowControl/>
        <w:adjustRightInd w:val="0"/>
        <w:snapToGrid w:val="0"/>
        <w:spacing w:line="480" w:lineRule="exact"/>
      </w:pPr>
      <w:r>
        <w:rPr>
          <w:rFonts w:ascii="楷体_GB2312" w:hAnsi="Times New Roman" w:eastAsia="楷体_GB2312"/>
          <w:bCs/>
          <w:sz w:val="28"/>
          <w:szCs w:val="28"/>
        </w:rPr>
        <w:t xml:space="preserve">该定义保留观测统计量对应的交换状态，不通过随机抽样估计分母，也不对等值边界作浮点近似。本作品将成对单位数限制在4至20之间，并使用固定阈值</w:t>
      </w:r>
      <w:r>
        <w:rPr>
          <w:rFonts w:ascii="楷体_GB2312" w:hAnsi="Times New Roman" w:eastAsia="楷体_GB2312"/>
          <w:bCs/>
          <w:sz w:val="28"/>
          <w:szCs w:val="28"/>
        </w:rPr>
        <w:t xml:space="preserve"> </w:t>
      </w:r>
      <m:oMath>
        <m:r>
          <w:rPr>
            <w:sz w:val="28"/>
          </w:rPr>
          <m:t>α</m:t>
        </m:r>
        <m:r>
          <m:rPr>
            <m:sty m:val="p"/>
          </m:rPr>
          <w:rPr>
            <w:sz w:val="28"/>
          </w:rPr>
          <m:t>=</m:t>
        </m:r>
        <m:r>
          <w:rPr>
            <w:sz w:val="28"/>
          </w:rPr>
          <m:t>0.01</m:t>
        </m:r>
      </m:oMath>
      <w:r>
        <w:rPr>
          <w:rFonts w:ascii="楷体_GB2312" w:hAnsi="Times New Roman" w:eastAsia="楷体_GB2312"/>
          <w:bCs/>
          <w:sz w:val="28"/>
          <w:szCs w:val="28"/>
        </w:rPr>
        <w:t xml:space="preserve">。在这个范围内，最大交换空间为</w:t>
      </w:r>
      <w:r>
        <w:rPr>
          <w:rFonts w:ascii="楷体_GB2312" w:hAnsi="Times New Roman" w:eastAsia="楷体_GB2312"/>
          <w:bCs/>
          <w:sz w:val="28"/>
          <w:szCs w:val="28"/>
        </w:rPr>
        <w:t xml:space="preserve"> </w:t>
      </w:r>
      <m:oMath>
        <m:sSup>
          <m:e>
            <m:r>
              <w:rPr>
                <w:sz w:val="28"/>
              </w:rPr>
              <m:t>2</m:t>
            </m:r>
          </m:e>
          <m:sup>
            <m:r>
              <w:rPr>
                <w:sz w:val="28"/>
              </w:rPr>
              <m:t>20</m:t>
            </m:r>
          </m:sup>
        </m:sSup>
        <m:r>
          <m:rPr>
            <m:sty m:val="p"/>
          </m:rPr>
          <w:rPr>
            <w:sz w:val="28"/>
          </w:rPr>
          <m:t>=</m:t>
        </m:r>
        <m:r>
          <w:rPr>
            <w:sz w:val="28"/>
          </w:rPr>
          <m:t>1048576</m:t>
        </m:r>
      </m:oMath>
      <w:r>
        <w:rPr>
          <w:rFonts w:ascii="楷体_GB2312" w:hAnsi="Times New Roman" w:eastAsia="楷体_GB2312"/>
          <w:bCs/>
          <w:sz w:val="28"/>
          <w:szCs w:val="28"/>
        </w:rPr>
        <w:t xml:space="preserve">，能够完整计数。图2.3给出了从成对数据到交换状态的关系。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787825"/>
            <wp:effectExtent b="0" l="0" r="0" t="0"/>
            <wp:docPr descr="figure-2-3" title="" id="23" name="Picture"/>
            <a:graphic>
              <a:graphicData uri="http://schemas.openxmlformats.org/drawingml/2006/picture">
                <pic:pic>
                  <pic:nvPicPr>
                    <pic:cNvPr descr="ppt-render/figure-07.png" id="24" name="Picture"/>
                    <pic:cNvPicPr>
                      <a:picLocks noChangeArrowheads="1" noChangeAspect="1"/>
                    </pic:cNvPicPr>
                  </pic:nvPicPr>
                  <pic:blipFill>
                    <a:blip r:embed="rId14"/>
                    <a:stretch>
                      <a:fillRect/>
                    </a:stretch>
                  </pic:blipFill>
                  <pic:spPr bwMode="auto">
                    <a:xfrm>
                      <a:off x="0" y="0"/>
                      <a:ext cx="5688000" cy="2787825"/>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图2.3　公开成对数据的精确置换计算原理</w:t>
      </w:r>
    </w:p>
    <w:p>
      <w:pPr>
        <w:pStyle w:val="RWBody"/>
        <w:widowControl/>
        <w:adjustRightInd w:val="0"/>
        <w:snapToGrid w:val="0"/>
        <w:spacing w:line="480" w:lineRule="exact"/>
      </w:pPr>
      <w:r>
        <w:rPr>
          <w:rFonts w:ascii="楷体_GB2312" w:hAnsi="Times New Roman" w:eastAsia="楷体_GB2312"/>
          <w:bCs/>
          <w:sz w:val="28"/>
          <w:szCs w:val="28"/>
        </w:rPr>
        <w:t>完整枚举避免了随机抽取少量置换所带来的计算近似，但检验成立仍依赖数据在所用变换下的分布不变性[10]。若将真实运行顺序作为随机化依据，还需要事前随机分配以及无前次运行残留影响等条件。历史自助法区间采用运行对独立同分布的模型；第4.4、4.5节进一步讨论平均时间差的推断。文件记录可以核对这些安排是否被声明和执行，却不能单凭字段证明全部统计假设成立。</w:t>
      </w:r>
    </w:p>
    <w:p>
      <w:pPr>
        <w:pStyle w:val="RWBody"/>
        <w:widowControl/>
        <w:adjustRightInd w:val="0"/>
        <w:snapToGrid w:val="0"/>
        <w:spacing w:line="480" w:lineRule="exact"/>
      </w:pPr>
      <w:r>
        <w:rPr>
          <w:rFonts w:ascii="楷体_GB2312" w:hAnsi="Times New Roman" w:eastAsia="楷体_GB2312"/>
          <w:bCs/>
          <w:sz w:val="28"/>
          <w:szCs w:val="28"/>
        </w:rPr>
        <w:t>完整枚举与增量更新的计算思想已有相关研究。Diaconis 与 Holmes 在1994年研究 Gray 编码用于随机化完整遍历及局部更新加速。[9] 本作品的贡献是将既有原理落实为固定任务的 C11 有界整数实现，核对尾计数、并列与溢出边界，并保留相同工作量下的实际成本。</w:t>
      </w:r>
    </w:p>
    <w:bookmarkEnd w:id="25"/>
    <w:bookmarkStart w:id="26" w:name="运行分位数与相对性能开销"/>
    <w:p>
      <w:pPr>
        <w:pStyle w:val="RWSection"/>
        <w:spacing w:before="240" w:after="240" w:line="360" w:lineRule="auto"/>
        <w:keepNext/>
        <w:keepLines/>
        <w:outlineLvl w:val="1"/>
      </w:pPr>
      <w:bookmarkStart w:id="509" w:name="rw_heading_9"/>
      <w:r>
        <w:rPr>
          <w:rFonts w:ascii="Times New Roman" w:hAnsi="Times New Roman" w:eastAsia="黑体" w:cs="Times New Roman"/>
          <w:sz w:val="28"/>
          <w:szCs w:val="28"/>
          <w:b/>
        </w:rPr>
        <w:t xml:space="preserve">2.5　</w:t>
      </w:r>
      <w:r>
        <w:rPr>
          <w:rFonts w:ascii="Times New Roman" w:hAnsi="Times New Roman" w:eastAsia="黑体" w:cs="Times New Roman"/>
          <w:sz w:val="28"/>
          <w:szCs w:val="28"/>
          <w:b/>
        </w:rPr>
        <w:t xml:space="preserve">运行分位数与相对性能开销</w:t>
      </w:r>
      <w:bookmarkEnd w:id="509"/>
    </w:p>
    <w:p>
      <w:pPr>
        <w:pStyle w:val="RWBody"/>
        <w:widowControl/>
        <w:adjustRightInd w:val="0"/>
        <w:snapToGrid w:val="0"/>
        <w:spacing w:line="480" w:lineRule="exact"/>
      </w:pPr>
      <w:r>
        <w:rPr>
          <w:rFonts w:ascii="楷体_GB2312" w:hAnsi="Times New Roman" w:eastAsia="楷体_GB2312"/>
          <w:bCs/>
          <w:sz w:val="28"/>
          <w:szCs w:val="28"/>
        </w:rPr>
        <w:t xml:space="preserve">对一份包含</w:t>
      </w:r>
      <w:r>
        <w:rPr>
          <w:rFonts w:ascii="楷体_GB2312" w:hAnsi="Times New Roman" w:eastAsia="楷体_GB2312"/>
          <w:bCs/>
          <w:sz w:val="28"/>
          <w:szCs w:val="28"/>
        </w:rPr>
        <w:t xml:space="preserve"> </w:t>
      </w:r>
      <m:oMath>
        <m:r>
          <w:rPr>
            <w:sz w:val="28"/>
          </w:rPr>
          <m:t>n</m:t>
        </m:r>
      </m:oMath>
      <w:r>
        <w:rPr>
          <w:rFonts w:ascii="楷体_GB2312" w:hAnsi="Times New Roman" w:eastAsia="楷体_GB2312"/>
          <w:bCs/>
          <w:sz w:val="28"/>
          <w:szCs w:val="28"/>
        </w:rPr>
        <w:t xml:space="preserve"> </w:t>
      </w:r>
      <w:r>
        <w:rPr>
          <w:rFonts w:ascii="楷体_GB2312" w:hAnsi="Times New Roman" w:eastAsia="楷体_GB2312"/>
          <w:bCs/>
          <w:sz w:val="28"/>
          <w:szCs w:val="28"/>
        </w:rPr>
        <w:t xml:space="preserve">个逐次时间的运行记录，均值采用全部正式样本计算：</w:t>
      </w:r>
    </w:p>
    <w:p>
      <w:pPr>
        <w:pStyle w:val="RWBody"/>
        <w:keepLines/>
        <w:widowControl/>
        <w:tabs>
          <w:tab w:pos="4819" w:val="center"/>
          <w:tab w:pos="9638" w:val="right"/>
        </w:tabs>
        <w:spacing w:line="360" w:lineRule="auto" w:before="140" w:after="160"/>
        <w:ind w:firstLine="0"/>
        <w:snapToGrid w:val="0"/>
      </w:pPr>
      <w:r>
        <w:tab/>
      </w:r>
      <m:oMath>
        <m:bar>
          <m:barPr>
            <m:pos m:val="top"/>
          </m:barPr>
          <m:e>
            <m:r>
              <w:rPr>
                <w:sz w:val="28"/>
              </w:rPr>
              <m:t>x</m:t>
            </m:r>
          </m:e>
        </m:bar>
        <m:r>
          <m:rPr>
            <m:sty m:val="p"/>
          </m:rPr>
          <w:rPr>
            <w:sz w:val="28"/>
          </w:rPr>
          <m:t>=</m:t>
        </m:r>
        <m:f>
          <m:fPr>
            <m:type m:val="bar"/>
          </m:fPr>
          <m:num>
            <m:r>
              <w:rPr>
                <w:sz w:val="28"/>
              </w:rPr>
              <m:t>1</m:t>
            </m:r>
          </m:num>
          <m:den>
            <m:r>
              <w:rPr>
                <w:sz w:val="28"/>
              </w:rPr>
              <m:t>n</m:t>
            </m:r>
          </m:den>
        </m:f>
        <m:nary>
          <m:naryPr>
            <m:chr m:val="∑"/>
            <m:limLoc m:val="undOvr"/>
            <m:subHide m:val="off"/>
            <m:supHide m:val="off"/>
          </m:naryPr>
          <m:sub>
            <m:r>
              <w:rPr>
                <w:sz w:val="28"/>
              </w:rPr>
              <m:t>j</m:t>
            </m:r>
            <m:r>
              <m:rPr>
                <m:sty m:val="p"/>
              </m:rPr>
              <w:rPr>
                <w:sz w:val="28"/>
              </w:rPr>
              <m:t>=</m:t>
            </m:r>
            <m:r>
              <w:rPr>
                <w:sz w:val="28"/>
              </w:rPr>
              <m:t>1</m:t>
            </m:r>
          </m:sub>
          <m:sup>
            <m:r>
              <w:rPr>
                <w:sz w:val="28"/>
              </w:rPr>
              <m:t>n</m:t>
            </m:r>
          </m:sup>
          <m:e>
            <m:sSub>
              <m:e>
                <m:r>
                  <w:rPr>
                    <w:sz w:val="28"/>
                  </w:rPr>
                  <m:t>x</m:t>
                </m:r>
              </m:e>
              <m:sub>
                <m:r>
                  <w:rPr>
                    <w:sz w:val="28"/>
                  </w:rPr>
                  <m:t>j</m:t>
                </m:r>
              </m:sub>
            </m:sSub>
          </m:e>
        </m:nary>
        <m:r>
          <m:rPr>
            <m:sty m:val="p"/>
          </m:rPr>
          <w:rPr>
            <w:sz w:val="28"/>
          </w:rPr>
          <m:t>.</m:t>
        </m:r>
      </m:oMath>
      <w:r>
        <w:rPr>
          <w:rFonts w:ascii="Times New Roman" w:hAnsi="Times New Roman" w:eastAsia="SimSun"/>
          <w:sz w:val="22"/>
        </w:rPr>
        <w:tab/>
        <w:t>(2-8)</w:t>
      </w:r>
    </w:p>
    <w:p>
      <w:pPr>
        <w:pStyle w:val="RWBody"/>
        <w:widowControl/>
        <w:adjustRightInd w:val="0"/>
        <w:snapToGrid w:val="0"/>
        <w:spacing w:line="480" w:lineRule="exact"/>
      </w:pPr>
      <w:r>
        <w:rPr>
          <w:rFonts w:ascii="楷体_GB2312" w:hAnsi="Times New Roman" w:eastAsia="楷体_GB2312"/>
          <w:bCs/>
          <w:sz w:val="28"/>
          <w:szCs w:val="28"/>
        </w:rPr>
        <w:t xml:space="preserve">将数据从小到大排序为</w:t>
      </w:r>
      <w:r>
        <w:rPr>
          <w:rFonts w:ascii="楷体_GB2312" w:hAnsi="Times New Roman" w:eastAsia="楷体_GB2312"/>
          <w:bCs/>
          <w:sz w:val="28"/>
          <w:szCs w:val="28"/>
        </w:rPr>
        <w:t xml:space="preserve"> </w:t>
      </w:r>
      <m:oMath>
        <m:sSub>
          <m:e>
            <m:r>
              <w:rPr>
                <w:sz w:val="28"/>
              </w:rPr>
              <m:t>x</m:t>
            </m:r>
          </m:e>
          <m:sub>
            <m:r>
              <m:rPr>
                <m:sty m:val="p"/>
              </m:rPr>
              <w:rPr>
                <w:sz w:val="28"/>
              </w:rPr>
              <m:t>(</m:t>
            </m:r>
            <m:r>
              <w:rPr>
                <w:sz w:val="28"/>
              </w:rPr>
              <m:t>0</m:t>
            </m:r>
            <m:r>
              <m:rPr>
                <m:sty m:val="p"/>
              </m:rPr>
              <w:rPr>
                <w:sz w:val="28"/>
              </w:rPr>
              <m:t>)</m:t>
            </m:r>
          </m:sub>
        </m:sSub>
        <m:r>
          <m:rPr>
            <m:sty m:val="p"/>
          </m:rPr>
          <w:rPr>
            <w:sz w:val="28"/>
          </w:rPr>
          <m:t>,…,</m:t>
        </m:r>
        <m:sSub>
          <m:e>
            <m:r>
              <w:rPr>
                <w:sz w:val="28"/>
              </w:rPr>
              <m:t>x</m:t>
            </m:r>
          </m:e>
          <m:sub>
            <m:r>
              <m:rPr>
                <m:sty m:val="p"/>
              </m:rPr>
              <w:rPr>
                <w:sz w:val="28"/>
              </w:rPr>
              <m:t>(</m:t>
            </m:r>
            <m:r>
              <w:rPr>
                <w:sz w:val="28"/>
              </w:rPr>
              <m:t>n</m:t>
            </m:r>
            <m:r>
              <m:rPr>
                <m:sty m:val="p"/>
              </m:rPr>
              <w:rPr>
                <w:sz w:val="28"/>
              </w:rPr>
              <m:t>−</m:t>
            </m:r>
            <m:r>
              <w:rPr>
                <w:sz w:val="28"/>
              </w:rPr>
              <m:t>1</m:t>
            </m:r>
            <m:r>
              <m:rPr>
                <m:sty m:val="p"/>
              </m:rPr>
              <w:rPr>
                <w:sz w:val="28"/>
              </w:rPr>
              <m:t>)</m:t>
            </m:r>
          </m:sub>
        </m:sSub>
      </m:oMath>
      <w:r>
        <w:rPr>
          <w:rFonts w:ascii="楷体_GB2312" w:hAnsi="Times New Roman" w:eastAsia="楷体_GB2312"/>
          <w:bCs/>
          <w:sz w:val="28"/>
          <w:szCs w:val="28"/>
        </w:rPr>
        <w:t xml:space="preserve">，描述分位数采用固定零基下标，不作插值：</w:t>
      </w:r>
    </w:p>
    <w:p>
      <w:pPr>
        <w:pStyle w:val="RWBody"/>
        <w:keepLines/>
        <w:widowControl/>
        <w:tabs>
          <w:tab w:pos="4819" w:val="center"/>
          <w:tab w:pos="9638" w:val="right"/>
        </w:tabs>
        <w:spacing w:line="360" w:lineRule="auto" w:before="140" w:after="160"/>
        <w:ind w:firstLine="0"/>
        <w:snapToGrid w:val="0"/>
      </w:pPr>
      <w:r>
        <w:tab/>
      </w:r>
      <m:oMath>
        <m:sSub>
          <m:e>
            <m:r>
              <w:rPr>
                <w:sz w:val="28"/>
              </w:rPr>
              <m:t>Q</m:t>
            </m:r>
          </m:e>
          <m:sub>
            <m:r>
              <w:rPr>
                <w:sz w:val="28"/>
              </w:rPr>
              <m:t>p</m:t>
            </m:r>
          </m:sub>
        </m:sSub>
        <m:r>
          <m:rPr>
            <m:sty m:val="p"/>
          </m:rPr>
          <w:rPr>
            <w:sz w:val="28"/>
          </w:rPr>
          <m:t>=</m:t>
        </m:r>
        <m:sSub>
          <m:e>
            <m:r>
              <w:rPr>
                <w:sz w:val="28"/>
              </w:rPr>
              <m:t>x</m:t>
            </m:r>
          </m:e>
          <m:sub>
            <m:r>
              <m:rPr>
                <m:sty m:val="p"/>
              </m:rPr>
              <w:rPr>
                <w:sz w:val="28"/>
              </w:rPr>
              <m:t>(</m:t>
            </m:r>
            <m:r>
              <w:rPr>
                <w:sz w:val="28"/>
              </w:rPr>
              <m:t>r</m:t>
            </m:r>
            <m:r>
              <m:rPr>
                <m:sty m:val="p"/>
              </m:rPr>
              <w:rPr>
                <w:sz w:val="28"/>
              </w:rPr>
              <m:t>)</m:t>
            </m:r>
          </m:sub>
        </m:sSub>
        <m:r>
          <m:rPr>
            <m:sty m:val="p"/>
          </m:rPr>
          <w:rPr>
            <w:sz w:val="28"/>
          </w:rPr>
          <m:t>,</m:t>
        </m:r>
        <m:r>
          <w:rPr>
            <w:sz w:val="28"/>
          </w:rPr>
          <m:t>  r</m:t>
        </m:r>
        <m:r>
          <m:rPr>
            <m:sty m:val="p"/>
          </m:rPr>
          <w:rPr>
            <w:sz w:val="28"/>
          </w:rPr>
          <m:t>=</m:t>
        </m:r>
        <m:d>
          <m:dPr>
            <m:begChr m:val="⌊"/>
            <m:sepChr m:val=""/>
            <m:endChr m:val="⌋"/>
            <m:grow/>
          </m:dPr>
          <m:e>
            <m:r>
              <w:rPr>
                <w:sz w:val="28"/>
              </w:rPr>
              <m:t>p</m:t>
            </m:r>
            <m:r>
              <m:rPr>
                <m:sty m:val="p"/>
              </m:rPr>
              <w:rPr>
                <w:sz w:val="28"/>
              </w:rPr>
              <m:t>(</m:t>
            </m:r>
            <m:r>
              <w:rPr>
                <w:sz w:val="28"/>
              </w:rPr>
              <m:t>n</m:t>
            </m:r>
            <m:r>
              <m:rPr>
                <m:sty m:val="p"/>
              </m:rPr>
              <w:rPr>
                <w:sz w:val="28"/>
              </w:rPr>
              <m:t>−</m:t>
            </m:r>
            <m:r>
              <w:rPr>
                <w:sz w:val="28"/>
              </w:rPr>
              <m:t>1</m:t>
            </m:r>
            <m:r>
              <m:rPr>
                <m:sty m:val="p"/>
              </m:rPr>
              <w:rPr>
                <w:sz w:val="28"/>
              </w:rPr>
              <m:t>)+</m:t>
            </m:r>
            <m:r>
              <w:rPr>
                <w:sz w:val="28"/>
              </w:rPr>
              <m:t>0.5</m:t>
            </m:r>
          </m:e>
        </m:d>
        <m:r>
          <m:rPr>
            <m:sty m:val="p"/>
          </m:rPr>
          <w:rPr>
            <w:sz w:val="28"/>
          </w:rPr>
          <m:t>.</m:t>
        </m:r>
      </m:oMath>
      <w:r>
        <w:rPr>
          <w:rFonts w:ascii="Times New Roman" w:hAnsi="Times New Roman" w:eastAsia="SimSun"/>
          <w:sz w:val="22"/>
        </w:rPr>
        <w:tab/>
        <w:t>(2-9)</w:t>
      </w:r>
    </w:p>
    <w:p>
      <w:pPr>
        <w:pStyle w:val="RWBody"/>
        <w:widowControl/>
        <w:adjustRightInd w:val="0"/>
        <w:snapToGrid w:val="0"/>
        <w:spacing w:line="480" w:lineRule="exact"/>
      </w:pPr>
      <w:r>
        <w:rPr>
          <w:rFonts w:ascii="楷体_GB2312" w:hAnsi="Times New Roman" w:eastAsia="楷体_GB2312"/>
          <w:bCs/>
          <w:sz w:val="28"/>
          <w:szCs w:val="28"/>
        </w:rPr>
        <w:t>P50、P90和P99分别描述分布中部及较高分位的耗时，帮助读者同时了解典型运行与较慢调用。本文沿用式（2-9）的样本分位数定义，不对相邻值插值。离散程度另报告未缩放的中位数绝对偏差，即观测值相对样本中位数的绝对偏差的中位数[21]；偶数样本按本文规则取上中位数，不乘正态一致性系数。该指标较小或为零，只说明样本较集中，不能据此认定测量没有误差。</w:t>
      </w:r>
    </w:p>
    <w:p>
      <w:pPr>
        <w:pStyle w:val="RWBody"/>
        <w:widowControl/>
        <w:adjustRightInd w:val="0"/>
        <w:snapToGrid w:val="0"/>
        <w:spacing w:line="480" w:lineRule="exact"/>
      </w:pPr>
      <w:r>
        <w:rPr>
          <w:rFonts w:ascii="楷体_GB2312" w:hAnsi="Times New Roman" w:eastAsia="楷体_GB2312"/>
          <w:bCs/>
          <w:sz w:val="28"/>
          <w:szCs w:val="28"/>
        </w:rPr>
        <w:t xml:space="preserve">设参考实现与比较实现分别有</w:t>
      </w:r>
      <w:r>
        <w:rPr>
          <w:rFonts w:ascii="楷体_GB2312" w:hAnsi="Times New Roman" w:eastAsia="楷体_GB2312"/>
          <w:bCs/>
          <w:sz w:val="28"/>
          <w:szCs w:val="28"/>
        </w:rPr>
        <w:t xml:space="preserve"> </w:t>
      </w:r>
      <m:oMath>
        <m:r>
          <w:rPr>
            <w:sz w:val="28"/>
          </w:rPr>
          <m:t>B</m:t>
        </m:r>
      </m:oMath>
      <w:r>
        <w:rPr>
          <w:rFonts w:ascii="楷体_GB2312" w:hAnsi="Times New Roman" w:eastAsia="楷体_GB2312"/>
          <w:bCs/>
          <w:sz w:val="28"/>
          <w:szCs w:val="28"/>
        </w:rPr>
        <w:t xml:space="preserve"> </w:t>
      </w:r>
      <w:r>
        <w:rPr>
          <w:rFonts w:ascii="楷体_GB2312" w:hAnsi="Times New Roman" w:eastAsia="楷体_GB2312"/>
          <w:bCs/>
          <w:sz w:val="28"/>
          <w:szCs w:val="28"/>
        </w:rPr>
        <w:t xml:space="preserve">个对应运行块，平均差及相对开销定义为</w:t>
      </w:r>
    </w:p>
    <w:p>
      <w:pPr>
        <w:pStyle w:val="RWBody"/>
        <w:keepLines/>
        <w:widowControl/>
        <w:tabs>
          <w:tab w:pos="4819" w:val="center"/>
          <w:tab w:pos="9638" w:val="right"/>
        </w:tabs>
        <w:spacing w:line="360" w:lineRule="auto" w:before="140" w:after="160"/>
        <w:ind w:firstLine="0"/>
        <w:snapToGrid w:val="0"/>
      </w:pPr>
      <w:r>
        <w:tab/>
      </w:r>
      <m:oMath>
        <m:bar>
          <m:barPr>
            <m:pos m:val="top"/>
          </m:barPr>
          <m:e>
            <m:r>
              <m:rPr>
                <m:sty m:val="p"/>
              </m:rPr>
              <w:rPr>
                <w:sz w:val="28"/>
              </w:rPr>
              <m:t>Δ</m:t>
            </m:r>
          </m:e>
        </m:bar>
        <m:r>
          <m:rPr>
            <m:sty m:val="p"/>
          </m:rPr>
          <w:rPr>
            <w:sz w:val="28"/>
          </w:rPr>
          <m:t>=</m:t>
        </m:r>
        <m:f>
          <m:fPr>
            <m:type m:val="bar"/>
          </m:fPr>
          <m:num>
            <m:r>
              <w:rPr>
                <w:sz w:val="28"/>
              </w:rPr>
              <m:t>1</m:t>
            </m:r>
          </m:num>
          <m:den>
            <m:r>
              <w:rPr>
                <w:sz w:val="28"/>
              </w:rPr>
              <m:t>B</m:t>
            </m:r>
          </m:den>
        </m:f>
        <m:nary>
          <m:naryPr>
            <m:chr m:val="∑"/>
            <m:limLoc m:val="undOvr"/>
            <m:subHide m:val="off"/>
            <m:supHide m:val="off"/>
          </m:naryPr>
          <m:sub>
            <m:r>
              <w:rPr>
                <w:sz w:val="28"/>
              </w:rPr>
              <m:t>b</m:t>
            </m:r>
            <m:r>
              <m:rPr>
                <m:sty m:val="p"/>
              </m:rPr>
              <w:rPr>
                <w:sz w:val="28"/>
              </w:rPr>
              <m:t>=</m:t>
            </m:r>
            <m:r>
              <w:rPr>
                <w:sz w:val="28"/>
              </w:rPr>
              <m:t>1</m:t>
            </m:r>
          </m:sub>
          <m:sup>
            <m:r>
              <w:rPr>
                <w:sz w:val="28"/>
              </w:rPr>
              <m:t>B</m:t>
            </m:r>
          </m:sup>
          <m:e>
            <m:r>
              <m:rPr>
                <m:sty m:val="p"/>
              </m:rPr>
              <w:rPr>
                <w:sz w:val="28"/>
              </w:rPr>
              <m:t>(</m:t>
            </m:r>
          </m:e>
        </m:nary>
        <m:sSub>
          <m:e>
            <m:bar>
              <m:barPr>
                <m:pos m:val="top"/>
              </m:barPr>
              <m:e>
                <m:r>
                  <w:rPr>
                    <w:sz w:val="28"/>
                  </w:rPr>
                  <m:t>x</m:t>
                </m:r>
              </m:e>
            </m:bar>
          </m:e>
          <m:sub>
            <m:r>
              <w:rPr>
                <w:sz w:val="28"/>
              </w:rPr>
              <m:t>b</m:t>
            </m:r>
            <m:r>
              <m:rPr>
                <m:sty m:val="p"/>
              </m:rPr>
              <w:rPr>
                <w:sz w:val="28"/>
              </w:rPr>
              <m:t>,cmp</m:t>
            </m:r>
          </m:sub>
        </m:sSub>
        <m:r>
          <m:rPr>
            <m:sty m:val="p"/>
          </m:rPr>
          <w:rPr>
            <w:sz w:val="28"/>
          </w:rPr>
          <m:t>−</m:t>
        </m:r>
        <m:sSub>
          <m:e>
            <m:bar>
              <m:barPr>
                <m:pos m:val="top"/>
              </m:barPr>
              <m:e>
                <m:r>
                  <w:rPr>
                    <w:sz w:val="28"/>
                  </w:rPr>
                  <m:t>x</m:t>
                </m:r>
              </m:e>
            </m:bar>
          </m:e>
          <m:sub>
            <m:r>
              <w:rPr>
                <w:sz w:val="28"/>
              </w:rPr>
              <m:t>b</m:t>
            </m:r>
            <m:r>
              <m:rPr>
                <m:sty m:val="p"/>
              </m:rPr>
              <w:rPr>
                <w:sz w:val="28"/>
              </w:rPr>
              <m:t>,ref</m:t>
            </m:r>
          </m:sub>
        </m:sSub>
        <m:r>
          <m:rPr>
            <m:sty m:val="p"/>
          </m:rPr>
          <w:rPr>
            <w:sz w:val="28"/>
          </w:rPr>
          <m:t>),</m:t>
        </m:r>
        <m:r>
          <w:rPr>
            <w:sz w:val="28"/>
          </w:rPr>
          <m:t>  R</m:t>
        </m:r>
        <m:r>
          <m:rPr>
            <m:sty m:val="p"/>
          </m:rPr>
          <w:rPr>
            <w:sz w:val="28"/>
          </w:rPr>
          <m:t>=</m:t>
        </m:r>
        <m:f>
          <m:fPr>
            <m:type m:val="bar"/>
          </m:fPr>
          <m:num>
            <m:bar>
              <m:barPr>
                <m:pos m:val="top"/>
              </m:barPr>
              <m:e>
                <m:r>
                  <m:rPr>
                    <m:sty m:val="p"/>
                  </m:rPr>
                  <w:rPr>
                    <w:sz w:val="28"/>
                  </w:rPr>
                  <m:t>Δ</m:t>
                </m:r>
              </m:e>
            </m:bar>
          </m:num>
          <m:den>
            <m:sSup>
              <m:e>
                <m:r>
                  <w:rPr>
                    <w:sz w:val="28"/>
                  </w:rPr>
                  <m:t>B</m:t>
                </m:r>
              </m:e>
              <m:sup>
                <m:r>
                  <m:rPr>
                    <m:sty m:val="p"/>
                  </m:rPr>
                  <w:rPr>
                    <w:sz w:val="28"/>
                  </w:rPr>
                  <m:t>−</m:t>
                </m:r>
                <m:r>
                  <w:rPr>
                    <w:sz w:val="28"/>
                  </w:rPr>
                  <m:t>1</m:t>
                </m:r>
              </m:sup>
            </m:sSup>
            <m:nary>
              <m:naryPr>
                <m:chr m:val="∑"/>
                <m:limLoc m:val="undOvr"/>
                <m:subHide m:val="off"/>
                <m:supHide m:val="off"/>
              </m:naryPr>
              <m:sub>
                <m:r>
                  <w:rPr>
                    <w:sz w:val="28"/>
                  </w:rPr>
                  <m:t>b</m:t>
                </m:r>
                <m:r>
                  <m:rPr>
                    <m:sty m:val="p"/>
                  </m:rPr>
                  <w:rPr>
                    <w:sz w:val="28"/>
                  </w:rPr>
                  <m:t>=</m:t>
                </m:r>
                <m:r>
                  <w:rPr>
                    <w:sz w:val="28"/>
                  </w:rPr>
                  <m:t>1</m:t>
                </m:r>
              </m:sub>
              <m:sup>
                <m:r>
                  <w:rPr>
                    <w:sz w:val="28"/>
                  </w:rPr>
                  <m:t>B</m:t>
                </m:r>
              </m:sup>
              <m:e>
                <m:sSub>
                  <m:e>
                    <m:bar>
                      <m:barPr>
                        <m:pos m:val="top"/>
                      </m:barPr>
                      <m:e>
                        <m:r>
                          <w:rPr>
                            <w:sz w:val="28"/>
                          </w:rPr>
                          <m:t>x</m:t>
                        </m:r>
                      </m:e>
                    </m:bar>
                  </m:e>
                  <m:sub>
                    <m:r>
                      <w:rPr>
                        <w:sz w:val="28"/>
                      </w:rPr>
                      <m:t>b</m:t>
                    </m:r>
                    <m:r>
                      <m:rPr>
                        <m:sty m:val="p"/>
                      </m:rPr>
                      <w:rPr>
                        <w:sz w:val="28"/>
                      </w:rPr>
                      <m:t>,ref</m:t>
                    </m:r>
                  </m:sub>
                </m:sSub>
              </m:e>
            </m:nary>
          </m:den>
        </m:f>
        <m:r>
          <m:rPr>
            <m:sty m:val="p"/>
          </m:rPr>
          <w:rPr>
            <w:sz w:val="28"/>
          </w:rPr>
          <m:t>.</m:t>
        </m:r>
      </m:oMath>
      <w:r>
        <w:rPr>
          <w:rFonts w:ascii="Times New Roman" w:hAnsi="Times New Roman" w:eastAsia="SimSun"/>
          <w:sz w:val="22"/>
        </w:rPr>
        <w:tab/>
        <w:t>(2-10)</w:t>
      </w:r>
    </w:p>
    <w:p>
      <w:pPr>
        <w:pStyle w:val="RWBody"/>
        <w:widowControl/>
        <w:adjustRightInd w:val="0"/>
        <w:snapToGrid w:val="0"/>
        <w:spacing w:line="480" w:lineRule="exact"/>
      </w:pPr>
      <w:r>
        <w:rPr>
          <w:rFonts w:ascii="楷体_GB2312" w:hAnsi="Times New Roman" w:eastAsia="楷体_GB2312"/>
          <w:bCs/>
          <w:sz w:val="28"/>
          <w:szCs w:val="28"/>
        </w:rPr>
        <w:t xml:space="preserve">相对开销可以为负。负值仅表示在当前记录中的平均时间更短，不意味着比较实现更安全，也不保证换一台机器仍会得到相同结果。本作品保留所有运行块，使用与采集记录对应的描述指标，并明确探索性区间的适用模型。</w:t>
      </w:r>
    </w:p>
    <w:bookmarkEnd w:id="26"/>
    <w:bookmarkEnd w:id="27"/>
    <w:bookmarkStart w:id="49" w:name="第3章-本地审计与精确复算系统设计"/>
    <w:p>
      <w:pPr>
        <w:pStyle w:val="RWChapter"/>
        <w:spacing w:before="240" w:after="240" w:line="360" w:lineRule="auto"/>
        <w:keepNext/>
        <w:keepLines/>
        <w:outlineLvl w:val="0"/>
      </w:pPr>
      <w:bookmarkStart w:id="9006" w:name="paper_heading_9006"/>
      <w:r>
        <w:rPr>
          <w:rFonts w:hint="eastAsia" w:ascii="华文楷体" w:hAnsi="华文楷体" w:eastAsia="华文楷体"/>
          <w:sz w:val="30"/>
          <w:szCs w:val="30"/>
          <w:b/>
        </w:rPr>
        <w:t>第3章　系统设计与实验方法</w:t>
      </w:r>
      <w:bookmarkEnd w:id="9006"/>
    </w:p>
    <w:bookmarkStart w:id="31" w:name="系统架构与模块协同"/>
    <w:p>
      <w:pPr>
        <w:pStyle w:val="RWSection"/>
        <w:spacing w:before="240" w:after="240" w:line="360" w:lineRule="auto"/>
        <w:keepNext/>
        <w:keepLines/>
        <w:outlineLvl w:val="1"/>
      </w:pPr>
      <w:bookmarkStart w:id="9007" w:name="paper_heading_9007"/>
      <w:r>
        <w:rPr>
          <w:rFonts w:ascii="Times New Roman" w:hAnsi="Times New Roman" w:eastAsia="黑体" w:cs="Times New Roman"/>
          <w:sz w:val="28"/>
          <w:szCs w:val="28"/>
          <w:b/>
        </w:rPr>
        <w:t>3.1　系统总体设计</w:t>
      </w:r>
      <w:bookmarkEnd w:id="9007"/>
    </w:p>
    <w:p>
      <w:pPr>
        <w:pStyle w:val="RWBody"/>
        <w:widowControl/>
        <w:adjustRightInd w:val="0"/>
        <w:snapToGrid w:val="0"/>
        <w:spacing w:line="480" w:lineRule="exact"/>
      </w:pPr>
      <w:r>
        <w:rPr>
          <w:rFonts w:ascii="楷体_GB2312" w:hAnsi="Times New Roman" w:eastAsia="楷体_GB2312"/>
          <w:bCs/>
          <w:sz w:val="28"/>
          <w:szCs w:val="28"/>
        </w:rPr>
        <w:t>系统设计围绕评估过程中最容易混淆的三个问题展开：被测程序是否正确，时间记录来自哪个程序，以及所用分析是否适合这份数据。为此，系统将功能验证、时间采集、记录检查和统计分析分开组织，再通过共同的运行标识关联。主要计算采用C11实现，以减少跨语言调用和依赖环境对实验流程的影响；构建及测试设置统一管理。总体关系见图3.1。</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787825"/>
            <wp:effectExtent b="0" l="0" r="0" t="0"/>
            <wp:docPr descr="figure-3-1" title="" id="29" name="Picture"/>
            <a:graphic>
              <a:graphicData uri="http://schemas.openxmlformats.org/drawingml/2006/picture">
                <pic:pic>
                  <pic:nvPicPr>
                    <pic:cNvPr descr="ppt-render/figure-01.png" id="30" name="Picture"/>
                    <pic:cNvPicPr>
                      <a:picLocks noChangeArrowheads="1" noChangeAspect="1"/>
                    </pic:cNvPicPr>
                  </pic:nvPicPr>
                  <pic:blipFill>
                    <a:blip r:embed="rId15"/>
                    <a:stretch>
                      <a:fillRect/>
                    </a:stretch>
                  </pic:blipFill>
                  <pic:spPr bwMode="auto">
                    <a:xfrm>
                      <a:off x="0" y="0"/>
                      <a:ext cx="5688000" cy="2787825"/>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 xml:space="preserve">图3.1</w:t>
      </w:r>
      <w:r>
        <w:rPr>
          <w:rFonts w:ascii="Calibri" w:hAnsi="Calibri" w:eastAsia="宋体" w:cs="Times New Roman"/>
          <w:kern w:val="2"/>
          <w:sz w:val="21"/>
          <w:szCs w:val="22"/>
          <w:lang w:val="en-US" w:eastAsia="zh-CN" w:bidi="ar-SA"/>
        </w:rPr>
        <w:t xml:space="preserve">　ML-KEM </w:t>
      </w:r>
      <w:r>
        <w:rPr>
          <w:rFonts w:ascii="Calibri" w:hAnsi="Calibri" w:eastAsia="宋体" w:cs="Times New Roman"/>
          <w:kern w:val="2"/>
          <w:sz w:val="21"/>
          <w:szCs w:val="22"/>
          <w:lang w:val="en-US" w:eastAsia="zh-CN" w:bidi="ar-SA"/>
        </w:rPr>
        <w:t xml:space="preserve">本地审计系统总体架构</w:t>
      </w:r>
    </w:p>
    <w:p>
      <w:pPr>
        <w:pStyle w:val="RWBody"/>
        <w:widowControl/>
        <w:adjustRightInd w:val="0"/>
        <w:snapToGrid w:val="0"/>
        <w:spacing w:line="480" w:lineRule="exact"/>
      </w:pPr>
      <w:r>
        <w:rPr>
          <w:rFonts w:ascii="楷体_GB2312" w:hAnsi="Times New Roman" w:eastAsia="楷体_GB2312"/>
          <w:bCs/>
          <w:sz w:val="28"/>
          <w:szCs w:val="28"/>
        </w:rPr>
        <w:t>使用者从统一操作入口开始，先完成公开向量和接口检查，再进行普通时间采集。分析阶段首先核对数据是否完整、单位是否一致和程序版本是否对应，随后输出描述统计或符合条件的置换计算结果。离线展示保留结果与来源材料的对应关系，使评审者能够从一项图表返回原始记录，检查它的形成过程。</w:t>
      </w:r>
    </w:p>
    <w:p>
      <w:pPr>
        <w:pStyle w:val="RWBody"/>
        <w:widowControl/>
        <w:adjustRightInd w:val="0"/>
        <w:snapToGrid w:val="0"/>
        <w:spacing w:line="480" w:lineRule="exact"/>
      </w:pPr>
      <w:r>
        <w:rPr>
          <w:rFonts w:ascii="楷体_GB2312" w:hAnsi="Times New Roman" w:eastAsia="楷体_GB2312"/>
          <w:bCs/>
          <w:sz w:val="28"/>
          <w:szCs w:val="28"/>
        </w:rPr>
        <w:t>历史案例使用已经归档的材料重分析。普通使用流程不重复执行历史案例的专用测量，避免历史材料与当前运行记录混用。所有功能围绕单机 ML-KEM-768 的审查任务组织，没有将作品扩展为通用云服务或多算法框架。</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表3.1</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主要模块及其交付内容</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模块</w:t>
            </w:r>
          </w:p>
        </w:tc>
        <w:tc>
          <w:tcPr>
            <w:tcW w:type="dxa" w:w="3969"/>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核心职责</w:t>
            </w:r>
          </w:p>
        </w:tc>
        <w:tc>
          <w:tcPr>
            <w:tcW w:type="dxa" w:w="3175"/>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主要输出</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功能验证</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独立向量、接口边界与结果等价</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检查日志及通过状态</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普通采集</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生成普通输入并计时</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逐次</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CSV、元数据及成本</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数据校验</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核对来源、结构与完成声明</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完整性及适用条件检查结果</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统计复算</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描述指标及限定成对分析</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计数、概率和适用范围</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历史审计</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重建既有规则下的输出</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原报告一致性记录</w:t>
            </w:r>
          </w:p>
        </w:tc>
      </w:tr>
      <w:tr>
        <w:trPr>
          <w:trHeight w:val="520" w:hRule="atLeast"/>
          <w:cantSplit/>
        </w:trPr>
        <w:tc>
          <w:tcPr>
            <w:tcW w:type="dxa" w:w="1814"/>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离线交付</w:t>
            </w:r>
          </w:p>
        </w:tc>
        <w:tc>
          <w:tcPr>
            <w:tcW w:type="dxa" w:w="3969"/>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汇总报告和来源</w:t>
            </w:r>
          </w:p>
        </w:tc>
        <w:tc>
          <w:tcPr>
            <w:tcW w:type="dxa" w:w="3175"/>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离线页面、清单及图源</w:t>
            </w:r>
          </w:p>
        </w:tc>
      </w:tr>
    </w:tbl>
    <w:bookmarkEnd w:id="31"/>
    <w:bookmarkStart w:id="32" w:name="固定快照管理与多实现构建隔离"/>
    <w:p>
      <w:pPr>
        <w:pStyle w:val="RWSection"/>
        <w:spacing w:before="240" w:after="240" w:line="360" w:lineRule="auto"/>
        <w:keepNext/>
        <w:keepLines/>
        <w:outlineLvl w:val="1"/>
      </w:pPr>
      <w:bookmarkStart w:id="9008" w:name="paper_heading_9008"/>
      <w:r>
        <w:rPr>
          <w:rFonts w:ascii="Times New Roman" w:hAnsi="Times New Roman" w:eastAsia="黑体" w:cs="Times New Roman"/>
          <w:sz w:val="28"/>
          <w:szCs w:val="28"/>
          <w:b/>
        </w:rPr>
        <w:t>3.2　版本固定与对照实现</w:t>
      </w:r>
      <w:bookmarkEnd w:id="9008"/>
    </w:p>
    <w:p>
      <w:pPr>
        <w:pStyle w:val="RWBody"/>
        <w:widowControl/>
        <w:adjustRightInd w:val="0"/>
        <w:snapToGrid w:val="0"/>
        <w:spacing w:line="480" w:lineRule="exact"/>
      </w:pPr>
      <w:r>
        <w:rPr>
          <w:rFonts w:ascii="楷体_GB2312" w:hAnsi="Times New Roman" w:eastAsia="楷体_GB2312"/>
          <w:bCs/>
          <w:sz w:val="28"/>
          <w:szCs w:val="28"/>
        </w:rPr>
        <w:t>密码实现选用固定版本的mlkem-native便携后端。上游源码与许可证保留原样，自有接口和研究改动单独管理，具体版本见附录A及参考文献[2]。固定版本的意义在于明确比较对象：如果两个结果来自不同后端或编译设置，耗时变化就不能直接归因于所讨论的防护措施。系统因此同时检查源码配置与实际生成的程序。</w:t>
      </w:r>
    </w:p>
    <w:p w14:paraId="CA140002">
      <w:pPr>
        <w:pStyle w:val="RWBody"/>
        <w:widowControl/>
        <w:adjustRightInd w:val="0"/>
        <w:snapToGrid w:val="0"/>
        <w:spacing w:line="480" w:lineRule="exact"/>
      </w:pPr>
      <w:r>
        <w:rPr>
          <w:rFonts w:ascii="楷体_GB2312" w:hAnsi="Times New Roman" w:eastAsia="楷体_GB2312"/>
          <w:bCs/>
          <w:sz w:val="28"/>
          <w:szCs w:val="28"/>
        </w:rPr>
        <w:t xml:space="preserve">2026年10月9日已完整读取NIST官方潜在修正工作簿的两项条目：附录A补充索引0的说明，算法15第7步注释中的v改为w。固定便携C的读取索引及原地相减后的解码数据流已逐项静态核对，未发现这两项条目要求当前路径补丁。[1] 它们不增加技术要求，也不是已生效的出版物修改；本次核对不覆盖全部后端、编译产物或标准条款。</w:t>
      </w:r>
    </w:p>
    <w:p>
      <w:pPr>
        <w:pStyle w:val="RWBody"/>
        <w:widowControl/>
        <w:adjustRightInd w:val="0"/>
        <w:snapToGrid w:val="0"/>
        <w:spacing w:line="480" w:lineRule="exact"/>
      </w:pPr>
      <w:r>
        <w:rPr>
          <w:rFonts w:ascii="楷体_GB2312" w:hAnsi="Times New Roman" w:eastAsia="楷体_GB2312"/>
          <w:bCs/>
          <w:sz w:val="28"/>
          <w:szCs w:val="28"/>
        </w:rPr>
        <w:t>为便于说明历史对照，本文统一使用参考实现、人工分支对照、掩码对照和正常优化对照四个名称。人工分支对照仅用于已经归档的机制研究；掩码对照保留原有的局部优化限制；正常优化对照则取消该限制。四者对应不同的研究用途，不能仅凭名称判断哪一个已经适合实际部署。其原始程序标签保留在附录，正文按照实现作用表述。</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表3.2　四种对照实现及其用途</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对照实现</w:t>
            </w:r>
          </w:p>
        </w:tc>
        <w:tc>
          <w:tcPr>
            <w:tcW w:type="dxa" w:w="3969"/>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主要用途</w:t>
            </w:r>
          </w:p>
        </w:tc>
        <w:tc>
          <w:tcPr>
            <w:tcW w:type="dxa" w:w="3175"/>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必须保留的限定</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参考实现</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固定版本参考对象</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仅对应所记录的后端和编译条件</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人工分支对照</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已归档的分支实现比较</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不是新发现的部署漏洞</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掩码对照</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相同优化控制下的编码对照</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不是完整加固交付件</w:t>
            </w:r>
          </w:p>
        </w:tc>
      </w:tr>
      <w:tr>
        <w:trPr>
          <w:trHeight w:val="520" w:hRule="atLeast"/>
          <w:cantSplit/>
        </w:trPr>
        <w:tc>
          <w:tcPr>
            <w:tcW w:type="dxa" w:w="1814"/>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正常优化对照</w:t>
            </w:r>
          </w:p>
        </w:tc>
        <w:tc>
          <w:tcPr>
            <w:tcW w:type="dxa" w:w="3969"/>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正常优化下的编码形态对照</w:t>
            </w:r>
          </w:p>
        </w:tc>
        <w:tc>
          <w:tcPr>
            <w:tcW w:type="dxa" w:w="3175"/>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历史名称不构成部署安全结论</w:t>
            </w:r>
          </w:p>
        </w:tc>
      </w:tr>
    </w:tbl>
    <w:p>
      <w:pPr>
        <w:pStyle w:val="RWBody"/>
        <w:widowControl/>
        <w:adjustRightInd w:val="0"/>
        <w:snapToGrid w:val="0"/>
        <w:spacing w:line="480" w:lineRule="exact"/>
      </w:pPr>
      <w:r>
        <w:rPr>
          <w:rFonts w:ascii="楷体_GB2312" w:hAnsi="Times New Roman" w:eastAsia="楷体_GB2312"/>
          <w:bCs/>
          <w:sz w:val="28"/>
          <w:szCs w:val="28"/>
        </w:rPr>
        <w:t>用于动态检查的程序与用于性能测量的程序分别构建、分别运行。动态检查可帮助发现内存访问和未定义行为问题，但它会改变执行过程，因此其耗时不进入正式性能比较。正式构建固定编译选项，并检查实际链接的后端。构建记录中发现过的路径记录错误已单独修正；该问题影响来源记录，不改变密码运算，也不计作密码防护改进。</w:t>
      </w:r>
    </w:p>
    <w:bookmarkEnd w:id="32"/>
    <w:bookmarkStart w:id="36" w:name="普通输入组织与完整解封装计时"/>
    <w:p>
      <w:pPr>
        <w:pStyle w:val="RWSection"/>
        <w:spacing w:before="240" w:after="240" w:line="360" w:lineRule="auto"/>
        <w:keepNext/>
        <w:keepLines/>
        <w:outlineLvl w:val="1"/>
      </w:pPr>
      <w:bookmarkStart w:id="513" w:name="rw_heading_13"/>
      <w:r>
        <w:rPr>
          <w:rFonts w:ascii="Times New Roman" w:hAnsi="Times New Roman" w:eastAsia="黑体" w:cs="Times New Roman"/>
          <w:sz w:val="28"/>
          <w:szCs w:val="28"/>
          <w:b/>
        </w:rPr>
        <w:t xml:space="preserve">3.3　</w:t>
      </w:r>
      <w:r>
        <w:rPr>
          <w:rFonts w:ascii="Times New Roman" w:hAnsi="Times New Roman" w:eastAsia="黑体" w:cs="Times New Roman"/>
          <w:sz w:val="28"/>
          <w:szCs w:val="28"/>
          <w:b/>
        </w:rPr>
        <w:t xml:space="preserve">普通输入组织与完整解封装计时</w:t>
      </w:r>
      <w:bookmarkEnd w:id="513"/>
    </w:p>
    <w:p>
      <w:pPr>
        <w:pStyle w:val="RWBody"/>
        <w:widowControl/>
        <w:adjustRightInd w:val="0"/>
        <w:snapToGrid w:val="0"/>
        <w:spacing w:line="480" w:lineRule="exact"/>
      </w:pPr>
      <w:r>
        <w:rPr>
          <w:rFonts w:ascii="楷体_GB2312" w:hAnsi="Times New Roman" w:eastAsia="楷体_GB2312"/>
          <w:bCs/>
          <w:sz w:val="28"/>
          <w:szCs w:val="28"/>
        </w:rPr>
        <w:t>普通采集采用有效密文、单比特修改密文和随机字节密文三类输入，数量比为1:1:1，长度均为1088字节。三类名称描述的是生成方式，不依赖程序内部的验证结果。公开种子用于重建测试输入和顺序。正式采集前执行预热；输入生成、内存分配、结果检查和文件写入均在计时之外，计时范围包含外部接口检查与密码内核的完整解封装过程。</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787825"/>
            <wp:effectExtent b="0" l="0" r="0" t="0"/>
            <wp:docPr descr="figure-3-2" title="" id="34" name="Picture"/>
            <a:graphic>
              <a:graphicData uri="http://schemas.openxmlformats.org/drawingml/2006/picture">
                <pic:pic>
                  <pic:nvPicPr>
                    <pic:cNvPr descr="ppt-render/figure-04.png" id="35" name="Picture"/>
                    <pic:cNvPicPr>
                      <a:picLocks noChangeArrowheads="1" noChangeAspect="1"/>
                    </pic:cNvPicPr>
                  </pic:nvPicPr>
                  <pic:blipFill>
                    <a:blip r:embed="rId16"/>
                    <a:stretch>
                      <a:fillRect/>
                    </a:stretch>
                  </pic:blipFill>
                  <pic:spPr bwMode="auto">
                    <a:xfrm>
                      <a:off x="0" y="0"/>
                      <a:ext cx="5688000" cy="2787825"/>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 xml:space="preserve">图3.2</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完整解封装的计时窗口</w:t>
      </w:r>
    </w:p>
    <w:p>
      <w:pPr>
        <w:pStyle w:val="RWBody"/>
        <w:widowControl/>
        <w:adjustRightInd w:val="0"/>
        <w:snapToGrid w:val="0"/>
        <w:spacing w:line="480" w:lineRule="exact"/>
      </w:pPr>
      <w:r>
        <w:rPr>
          <w:rFonts w:ascii="楷体_GB2312" w:hAnsi="Times New Roman" w:eastAsia="楷体_GB2312"/>
          <w:bCs/>
          <w:sz w:val="28"/>
          <w:szCs w:val="28"/>
        </w:rPr>
        <w:t>早期普通采集使用系统单调时钟，以纳秒记录时间；后续裸金属实验使用不经时间校正的原始单调时钟，具体接口名称见附录。早期参考测量的标称分辨率为1 ns，观察到的最小正读钟增量为19 ns，另保存10000个读钟增量及1000个空窗口值。新空窗口程序观察到的最小正增量为10 ns。两次结果来自不同测量程序，分别解释；本文保留原始耗时，不将空窗口中位数直接从密码调用时间中扣除。</w:t>
      </w:r>
    </w:p>
    <w:p>
      <w:pPr>
        <w:pStyle w:val="RWBody"/>
        <w:widowControl/>
        <w:adjustRightInd w:val="0"/>
        <w:snapToGrid w:val="0"/>
        <w:spacing w:line="480" w:lineRule="exact"/>
      </w:pPr>
      <w:r>
        <w:rPr>
          <w:rFonts w:ascii="楷体_GB2312" w:hAnsi="Times New Roman" w:eastAsia="楷体_GB2312"/>
          <w:bCs/>
          <w:sz w:val="28"/>
          <w:szCs w:val="28"/>
        </w:rPr>
        <w:t xml:space="preserve">为保留运行环境的影响，本作品保存普通长尾，不按结果大小删除观测。较大的</w:t>
      </w:r>
      <w:r>
        <w:rPr>
          <w:rFonts w:ascii="楷体_GB2312" w:hAnsi="Times New Roman" w:eastAsia="楷体_GB2312"/>
          <w:bCs/>
          <w:sz w:val="28"/>
          <w:szCs w:val="28"/>
        </w:rPr>
        <w:t xml:space="preserve"> P99 </w:t>
      </w:r>
      <w:r>
        <w:rPr>
          <w:rFonts w:ascii="楷体_GB2312" w:hAnsi="Times New Roman" w:eastAsia="楷体_GB2312"/>
          <w:bCs/>
          <w:sz w:val="28"/>
          <w:szCs w:val="28"/>
        </w:rPr>
        <w:t xml:space="preserve">与均值偏移都可能反映调度、缓存状态或其他系统因素。只有在明确的数据处理规则下，才对这些观测作描述性解释；“删除异常后更稳定”并不是本作品的默认做法。</w:t>
      </w:r>
    </w:p>
    <w:bookmarkEnd w:id="36"/>
    <w:bookmarkStart w:id="40" w:name="运行记录组织与来源一致性校验"/>
    <w:p>
      <w:pPr>
        <w:pStyle w:val="RWSection"/>
        <w:spacing w:before="240" w:after="240" w:line="360" w:lineRule="auto"/>
        <w:keepNext/>
        <w:keepLines/>
        <w:outlineLvl w:val="1"/>
      </w:pPr>
      <w:bookmarkStart w:id="9009" w:name="paper_heading_9009"/>
      <w:r>
        <w:rPr>
          <w:rFonts w:ascii="Times New Roman" w:hAnsi="Times New Roman" w:eastAsia="黑体" w:cs="Times New Roman"/>
          <w:sz w:val="28"/>
          <w:szCs w:val="28"/>
          <w:b/>
        </w:rPr>
        <w:t>3.4　运行记录与数据核对</w:t>
      </w:r>
      <w:bookmarkEnd w:id="9009"/>
    </w:p>
    <w:p>
      <w:pPr>
        <w:pStyle w:val="RWBody"/>
        <w:widowControl/>
        <w:adjustRightInd w:val="0"/>
        <w:snapToGrid w:val="0"/>
        <w:spacing w:line="480" w:lineRule="exact"/>
      </w:pPr>
      <w:r>
        <w:rPr>
          <w:rFonts w:ascii="楷体_GB2312" w:hAnsi="Times New Roman" w:eastAsia="楷体_GB2312"/>
          <w:bCs/>
          <w:sz w:val="28"/>
          <w:szCs w:val="28"/>
        </w:rPr>
        <w:t xml:space="preserve">一次运行关联保存逐次数据、元数据和成本记录。逐次</w:t>
      </w:r>
      <w:r>
        <w:rPr>
          <w:rFonts w:ascii="楷体_GB2312" w:hAnsi="Times New Roman" w:eastAsia="楷体_GB2312"/>
          <w:bCs/>
          <w:sz w:val="28"/>
          <w:szCs w:val="28"/>
        </w:rPr>
        <w:t xml:space="preserve"> CSV </w:t>
      </w:r>
      <w:r>
        <w:rPr>
          <w:rFonts w:ascii="楷体_GB2312" w:hAnsi="Times New Roman" w:eastAsia="楷体_GB2312"/>
          <w:bCs/>
          <w:sz w:val="28"/>
          <w:szCs w:val="28"/>
        </w:rPr>
        <w:t xml:space="preserve">提供运行标识、实现标签、输入类别、样本序号、时间值和单位；元数据描述源码、构建、环境、时钟及可执行文件摘要；成本记录区分预热、正式调用和外层执行窗口。三者共同决定一份数据能否进入完整分析。</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787825"/>
            <wp:effectExtent b="0" l="0" r="0" t="0"/>
            <wp:docPr descr="figure-3-3" title="" id="38" name="Picture"/>
            <a:graphic>
              <a:graphicData uri="http://schemas.openxmlformats.org/drawingml/2006/picture">
                <pic:pic>
                  <pic:nvPicPr>
                    <pic:cNvPr descr="ppt-render/figure-05.png" id="39" name="Picture"/>
                    <pic:cNvPicPr>
                      <a:picLocks noChangeArrowheads="1" noChangeAspect="1"/>
                    </pic:cNvPicPr>
                  </pic:nvPicPr>
                  <pic:blipFill>
                    <a:blip r:embed="rId17"/>
                    <a:stretch>
                      <a:fillRect/>
                    </a:stretch>
                  </pic:blipFill>
                  <pic:spPr bwMode="auto">
                    <a:xfrm>
                      <a:off x="0" y="0"/>
                      <a:ext cx="5688000" cy="2787825"/>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 xml:space="preserve">图3.3</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运行记录与来源信息的关联</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表3.3　运行记录及检查目的</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记录类别</w:t>
            </w:r>
          </w:p>
        </w:tc>
        <w:tc>
          <w:tcPr>
            <w:tcW w:type="dxa" w:w="3969"/>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关键内容</w:t>
            </w:r>
          </w:p>
        </w:tc>
        <w:tc>
          <w:tcPr>
            <w:tcW w:type="dxa" w:w="3175"/>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检查目的</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逐次</w:t>
            </w:r>
            <w:r>
              <w:rPr>
                <w:rFonts w:ascii="Calibri" w:hAnsi="Calibri" w:eastAsia="宋体" w:cs="Times New Roman"/>
                <w:kern w:val="2"/>
                <w:sz w:val="21"/>
                <w:szCs w:val="22"/>
                <w:lang w:val="en-US" w:eastAsia="zh-CN" w:bidi="ar-SA"/>
              </w:rPr>
              <w:t xml:space="preserve"> CSV</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运行、实现、类别、序号、时间、单位</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恢复每次观测与原始顺序</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元数据</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源码、产物摘要、编译配置、时钟</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确认实际被测对象</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成本记录</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预热、正式调用、外层计时窗口、完成状态</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防止遗漏成本或误认部分输出</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分析计划</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样本单位、交换依据、阈值、范围</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约束统计解释</w:t>
            </w:r>
          </w:p>
        </w:tc>
      </w:tr>
      <w:tr>
        <w:trPr>
          <w:trHeight w:val="520" w:hRule="atLeast"/>
          <w:cantSplit/>
        </w:trPr>
        <w:tc>
          <w:tcPr>
            <w:tcW w:type="dxa" w:w="1814"/>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清单摘要</w:t>
            </w:r>
          </w:p>
        </w:tc>
        <w:tc>
          <w:tcPr>
            <w:tcW w:type="dxa" w:w="3969"/>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文件来源与分发对应关系</w:t>
            </w:r>
          </w:p>
        </w:tc>
        <w:tc>
          <w:tcPr>
            <w:tcW w:type="dxa" w:w="3175"/>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支持重建与一致性核对</w:t>
            </w:r>
          </w:p>
        </w:tc>
      </w:tr>
    </w:tbl>
    <w:p>
      <w:pPr>
        <w:pStyle w:val="RWBody"/>
        <w:widowControl/>
        <w:adjustRightInd w:val="0"/>
        <w:snapToGrid w:val="0"/>
        <w:spacing w:line="480" w:lineRule="exact"/>
      </w:pPr>
      <w:r>
        <w:rPr>
          <w:rFonts w:ascii="楷体_GB2312" w:hAnsi="Times New Roman" w:eastAsia="楷体_GB2312"/>
          <w:bCs/>
          <w:sz w:val="28"/>
          <w:szCs w:val="28"/>
        </w:rPr>
        <w:t>记录检查包括数据长度、字段含义、计数和来源的一致性。缺少运行开销记录、时钟信息矛盾、调用数量不符或提前结束的数据，不能标记为完整实验。检查的目的并非要求每次运行都成功，而是使成功、失败和未完成三种情况有清楚区别，防止后续分析误用部分输出。</w:t>
      </w:r>
    </w:p>
    <w:p>
      <w:pPr>
        <w:pStyle w:val="RWBody"/>
        <w:widowControl/>
        <w:adjustRightInd w:val="0"/>
        <w:snapToGrid w:val="0"/>
        <w:spacing w:line="480" w:lineRule="exact"/>
      </w:pPr>
      <w:r>
        <w:rPr>
          <w:rFonts w:ascii="楷体_GB2312" w:hAnsi="Times New Roman" w:eastAsia="楷体_GB2312"/>
          <w:bCs/>
          <w:sz w:val="28"/>
          <w:szCs w:val="28"/>
        </w:rPr>
        <w:t>文件摘要用于检查材料是否与给定清单一致，来源和执行记录则帮助读者判断清单对应什么实验。单独一个散列值不能证明来源可信。展示页面只有在完整写入后才作为正式输出，失败时保留未完成状态。这些措施服务于计算结果的可复现性[17]，其本身不证明统计结论正确。</w:t>
      </w:r>
    </w:p>
    <w:bookmarkEnd w:id="40"/>
    <w:bookmarkStart w:id="44" w:name="数据资格控制与精确复算实现"/>
    <w:p>
      <w:pPr>
        <w:pStyle w:val="RWSection"/>
        <w:spacing w:before="240" w:after="240" w:line="360" w:lineRule="auto"/>
        <w:keepNext/>
        <w:keepLines/>
        <w:outlineLvl w:val="1"/>
      </w:pPr>
      <w:bookmarkStart w:id="9010" w:name="paper_heading_9010"/>
      <w:r>
        <w:rPr>
          <w:rFonts w:ascii="Times New Roman" w:hAnsi="Times New Roman" w:eastAsia="黑体" w:cs="Times New Roman"/>
          <w:sz w:val="28"/>
          <w:szCs w:val="28"/>
          <w:b/>
        </w:rPr>
        <w:t>3.5　数据完整性检查与精确置换计算</w:t>
      </w:r>
      <w:bookmarkEnd w:id="9010"/>
    </w:p>
    <w:p>
      <w:pPr>
        <w:pStyle w:val="RWBody"/>
        <w:widowControl/>
        <w:adjustRightInd w:val="0"/>
        <w:snapToGrid w:val="0"/>
        <w:spacing w:line="480" w:lineRule="exact"/>
      </w:pPr>
      <w:r>
        <w:rPr>
          <w:rFonts w:ascii="楷体_GB2312" w:hAnsi="Times New Roman" w:eastAsia="楷体_GB2312"/>
          <w:bCs/>
          <w:sz w:val="28"/>
          <w:szCs w:val="28"/>
        </w:rPr>
        <w:t>分析前先核对原始记录的完整性和数值范围，再检查拟采用方法的适用条件。普通数据可直接用于均值、分位数等描述；4至20个合格的成对单位可进入第2章定义的完整置换计算。这里的程序检查只能排除已知的记录问题和不满足输入限制的情形。第4.5节的均值区间理论还需要真实实验设计满足相应假设，当前计算模块并未把这些假设自动转化为保证。</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787825"/>
            <wp:effectExtent b="0" l="0" r="0" t="0"/>
            <wp:docPr descr="figure-3-4" title="" id="42" name="Picture"/>
            <a:graphic>
              <a:graphicData uri="http://schemas.openxmlformats.org/drawingml/2006/picture">
                <pic:pic>
                  <pic:nvPicPr>
                    <pic:cNvPr descr="ppt-render/figure-06.png" id="43" name="Picture"/>
                    <pic:cNvPicPr>
                      <a:picLocks noChangeArrowheads="1" noChangeAspect="1"/>
                    </pic:cNvPicPr>
                  </pic:nvPicPr>
                  <pic:blipFill>
                    <a:blip r:embed="rId18"/>
                    <a:stretch>
                      <a:fillRect/>
                    </a:stretch>
                  </pic:blipFill>
                  <pic:spPr bwMode="auto">
                    <a:xfrm>
                      <a:off x="0" y="0"/>
                      <a:ext cx="5688000" cy="2787825"/>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图3.4　数据完整性检查与统计分析的关系</w:t>
      </w:r>
    </w:p>
    <w:p>
      <w:pPr>
        <w:pStyle w:val="RWBody"/>
        <w:widowControl/>
        <w:adjustRightInd w:val="0"/>
        <w:snapToGrid w:val="0"/>
        <w:spacing w:line="480" w:lineRule="exact"/>
      </w:pPr>
      <w:r>
        <w:rPr>
          <w:rFonts w:ascii="楷体_GB2312" w:hAnsi="Times New Roman" w:eastAsia="楷体_GB2312"/>
          <w:bCs/>
          <w:sz w:val="28"/>
          <w:szCs w:val="28"/>
        </w:rPr>
        <w:t xml:space="preserve">精确置换计算采用整数差值与整数尾计数。其主要意义是保证与既定数学定义一致，尤其在全并列、零总和和等值上尾等边界上，不因浮点误差改变计数。实现利用相邻交换状态只改变一项符号的性质更新求和，减少固定规模枚举中的重复工作；这属于既有方法的专用工程实现，不作算法首创声明。</w:t>
      </w:r>
    </w:p>
    <w:p>
      <w:pPr>
        <w:pStyle w:val="RWBody"/>
        <w:widowControl/>
        <w:adjustRightInd w:val="0"/>
        <w:snapToGrid w:val="0"/>
        <w:spacing w:line="480" w:lineRule="exact"/>
      </w:pPr>
      <w:r>
        <w:rPr>
          <w:rFonts w:ascii="楷体_GB2312" w:hAnsi="Times New Roman" w:eastAsia="楷体_GB2312"/>
          <w:bCs/>
          <w:sz w:val="28"/>
          <w:szCs w:val="28"/>
        </w:rPr>
        <w:t xml:space="preserve">对于单个符号改变的状态更新，设变化位置为</w:t>
      </w:r>
      <w:r>
        <w:rPr>
          <w:rFonts w:ascii="楷体_GB2312" w:hAnsi="Times New Roman" w:eastAsia="楷体_GB2312"/>
          <w:bCs/>
          <w:sz w:val="28"/>
          <w:szCs w:val="28"/>
        </w:rPr>
        <w:t xml:space="preserve"> </w:t>
      </w:r>
      <m:oMath>
        <m:r>
          <w:rPr>
            <w:sz w:val="28"/>
          </w:rPr>
          <m:t>r</m:t>
        </m:r>
      </m:oMath>
      <w:r>
        <w:rPr>
          <w:rFonts w:ascii="楷体_GB2312" w:hAnsi="Times New Roman" w:eastAsia="楷体_GB2312"/>
          <w:bCs/>
          <w:sz w:val="28"/>
          <w:szCs w:val="28"/>
        </w:rPr>
        <w:t xml:space="preserve">，原符号为</w:t>
      </w:r>
      <w:r>
        <w:rPr>
          <w:rFonts w:ascii="楷体_GB2312" w:hAnsi="Times New Roman" w:eastAsia="楷体_GB2312"/>
          <w:bCs/>
          <w:sz w:val="28"/>
          <w:szCs w:val="28"/>
        </w:rPr>
        <w:t xml:space="preserve"> </w:t>
      </w:r>
      <m:oMath>
        <m:sSub>
          <m:e>
            <m:r>
              <w:rPr>
                <w:sz w:val="28"/>
              </w:rPr>
              <m:t>ε</m:t>
            </m:r>
          </m:e>
          <m:sub>
            <m:r>
              <w:rPr>
                <w:sz w:val="28"/>
              </w:rPr>
              <m:t>r</m:t>
            </m:r>
          </m:sub>
        </m:sSub>
      </m:oMath>
      <w:r>
        <w:rPr>
          <w:rFonts w:ascii="楷体_GB2312" w:hAnsi="Times New Roman" w:eastAsia="楷体_GB2312"/>
          <w:bCs/>
          <w:sz w:val="28"/>
          <w:szCs w:val="28"/>
        </w:rPr>
        <w:t xml:space="preserve">，原有符号和为</w:t>
      </w:r>
      <w:r>
        <w:rPr>
          <w:rFonts w:ascii="楷体_GB2312" w:hAnsi="Times New Roman" w:eastAsia="楷体_GB2312"/>
          <w:bCs/>
          <w:sz w:val="28"/>
          <w:szCs w:val="28"/>
        </w:rPr>
        <w:t xml:space="preserve"> </w:t>
      </w:r>
      <m:oMath>
        <m:r>
          <w:rPr>
            <w:sz w:val="28"/>
          </w:rPr>
          <m:t>S</m:t>
        </m:r>
      </m:oMath>
      <w:r>
        <w:rPr>
          <w:rFonts w:ascii="楷体_GB2312" w:hAnsi="Times New Roman" w:eastAsia="楷体_GB2312"/>
          <w:bCs/>
          <w:sz w:val="28"/>
          <w:szCs w:val="28"/>
        </w:rPr>
        <w:t xml:space="preserve">，则新的和满足</w:t>
      </w:r>
    </w:p>
    <w:p>
      <w:pPr>
        <w:pStyle w:val="RWBody"/>
        <w:keepLines/>
        <w:widowControl/>
        <w:tabs>
          <w:tab w:pos="4819" w:val="center"/>
          <w:tab w:pos="9638" w:val="right"/>
        </w:tabs>
        <w:spacing w:line="360" w:lineRule="auto" w:before="140" w:after="160"/>
        <w:ind w:firstLine="0"/>
        <w:snapToGrid w:val="0"/>
      </w:pPr>
      <w:r>
        <w:tab/>
      </w:r>
      <m:oMath>
        <m:sSup>
          <m:e>
            <m:r>
              <w:rPr>
                <w:sz w:val="28"/>
              </w:rPr>
              <m:t>S</m:t>
            </m:r>
          </m:e>
          <m:sup>
            <m:r>
              <m:rPr>
                <m:sty m:val="p"/>
              </m:rPr>
              <w:rPr>
                <w:sz w:val="28"/>
              </w:rPr>
              <m:t>′</m:t>
            </m:r>
          </m:sup>
        </m:sSup>
        <m:r>
          <m:rPr>
            <m:sty m:val="p"/>
          </m:rPr>
          <w:rPr>
            <w:sz w:val="28"/>
          </w:rPr>
          <m:t>=</m:t>
        </m:r>
        <m:r>
          <w:rPr>
            <w:sz w:val="28"/>
          </w:rPr>
          <m:t>S</m:t>
        </m:r>
        <m:r>
          <m:rPr>
            <m:sty m:val="p"/>
          </m:rPr>
          <w:rPr>
            <w:sz w:val="28"/>
          </w:rPr>
          <m:t>−</m:t>
        </m:r>
        <m:r>
          <w:rPr>
            <w:sz w:val="28"/>
          </w:rPr>
          <m:t>2</m:t>
        </m:r>
        <m:sSub>
          <m:e>
            <m:r>
              <w:rPr>
                <w:sz w:val="28"/>
              </w:rPr>
              <m:t>ε</m:t>
            </m:r>
          </m:e>
          <m:sub>
            <m:r>
              <w:rPr>
                <w:sz w:val="28"/>
              </w:rPr>
              <m:t>r</m:t>
            </m:r>
          </m:sub>
        </m:sSub>
        <m:sSub>
          <m:e>
            <m:r>
              <w:rPr>
                <w:sz w:val="28"/>
              </w:rPr>
              <m:t>d</m:t>
            </m:r>
          </m:e>
          <m:sub>
            <m:r>
              <w:rPr>
                <w:sz w:val="28"/>
              </w:rPr>
              <m:t>r</m:t>
            </m:r>
          </m:sub>
        </m:sSub>
        <m:r>
          <m:rPr>
            <m:sty m:val="p"/>
          </m:rPr>
          <w:rPr>
            <w:sz w:val="28"/>
          </w:rPr>
          <m:t>.</m:t>
        </m:r>
      </m:oMath>
      <w:r>
        <w:rPr>
          <w:rFonts w:ascii="Times New Roman" w:hAnsi="Times New Roman" w:eastAsia="SimSun"/>
          <w:sz w:val="22"/>
        </w:rPr>
        <w:tab/>
        <w:t>(3-1)</w:t>
      </w:r>
    </w:p>
    <w:p>
      <w:pPr>
        <w:pStyle w:val="RWBody"/>
        <w:widowControl/>
        <w:adjustRightInd w:val="0"/>
        <w:snapToGrid w:val="0"/>
        <w:spacing w:line="480" w:lineRule="exact"/>
      </w:pPr>
      <w:r>
        <w:rPr>
          <w:rFonts w:ascii="楷体_GB2312" w:hAnsi="Times New Roman" w:eastAsia="楷体_GB2312"/>
          <w:bCs/>
          <w:sz w:val="28"/>
          <w:szCs w:val="28"/>
        </w:rPr>
        <w:t xml:space="preserve">式（3-1）仅描述通用整数求和关系。实现仍须检查整数范围、输入结构和枚举边界，其结果由手算用例、独立分布卷积及</w:t>
      </w:r>
      <w:r>
        <w:rPr>
          <w:rFonts w:ascii="楷体_GB2312" w:hAnsi="Times New Roman" w:eastAsia="楷体_GB2312"/>
          <w:bCs/>
          <w:sz w:val="28"/>
          <w:szCs w:val="28"/>
        </w:rPr>
        <w:t xml:space="preserve"> SciPy </w:t>
      </w:r>
      <w:r>
        <w:rPr>
          <w:rFonts w:ascii="楷体_GB2312" w:hAnsi="Times New Roman" w:eastAsia="楷体_GB2312"/>
          <w:bCs/>
          <w:sz w:val="28"/>
          <w:szCs w:val="28"/>
        </w:rPr>
        <w:t xml:space="preserve">对照共同核对。提高枚举速度不能改变交换空间，也不能放宽数据的适用条件。</w:t>
      </w:r>
    </w:p>
    <w:bookmarkEnd w:id="44"/>
    <w:bookmarkStart w:id="48" w:name="材料复现流程与离线结果展示"/>
    <w:p>
      <w:pPr>
        <w:pStyle w:val="RWSection"/>
        <w:spacing w:before="240" w:after="240" w:line="360" w:lineRule="auto"/>
        <w:keepNext/>
        <w:keepLines/>
        <w:outlineLvl w:val="1"/>
      </w:pPr>
      <w:bookmarkStart w:id="516" w:name="rw_heading_16"/>
      <w:r>
        <w:rPr>
          <w:rFonts w:ascii="Times New Roman" w:hAnsi="Times New Roman" w:eastAsia="黑体" w:cs="Times New Roman"/>
          <w:sz w:val="28"/>
          <w:szCs w:val="28"/>
          <w:b/>
        </w:rPr>
        <w:t xml:space="preserve">3.6　</w:t>
      </w:r>
      <w:r>
        <w:rPr>
          <w:rFonts w:ascii="Times New Roman" w:hAnsi="Times New Roman" w:eastAsia="黑体" w:cs="Times New Roman"/>
          <w:sz w:val="28"/>
          <w:szCs w:val="28"/>
          <w:b/>
        </w:rPr>
        <w:t xml:space="preserve">材料复现流程与离线结果展示</w:t>
      </w:r>
      <w:bookmarkEnd w:id="516"/>
    </w:p>
    <w:p>
      <w:pPr>
        <w:pStyle w:val="RWBody"/>
        <w:widowControl/>
        <w:adjustRightInd w:val="0"/>
        <w:snapToGrid w:val="0"/>
        <w:spacing w:line="480" w:lineRule="exact"/>
      </w:pPr>
      <w:r>
        <w:rPr>
          <w:rFonts w:ascii="楷体_GB2312" w:hAnsi="Times New Roman" w:eastAsia="楷体_GB2312"/>
          <w:bCs/>
          <w:sz w:val="28"/>
          <w:szCs w:val="28"/>
        </w:rPr>
        <w:t>复现从固定材料和分析规则开始。复核者首先核对源码及数据清单，在新目录构建并完成检查，再读取归档数据计算结果，最后逐项比较新旧输出。执行环境、操作过程和结果差异一并保存。图3.5说明这一流程。复现材料应使读者既能得到结果，也能理解结果如何产生，这与计算研究中的可复现性要求一致[17]。</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787825"/>
            <wp:effectExtent b="0" l="0" r="0" t="0"/>
            <wp:docPr descr="figure-3-5" title="" id="46" name="Picture"/>
            <a:graphic>
              <a:graphicData uri="http://schemas.openxmlformats.org/drawingml/2006/picture">
                <pic:pic>
                  <pic:nvPicPr>
                    <pic:cNvPr descr="ppt-render/figure-15.png" id="47" name="Picture"/>
                    <pic:cNvPicPr>
                      <a:picLocks noChangeArrowheads="1" noChangeAspect="1"/>
                    </pic:cNvPicPr>
                  </pic:nvPicPr>
                  <pic:blipFill>
                    <a:blip r:embed="rId19"/>
                    <a:stretch>
                      <a:fillRect/>
                    </a:stretch>
                  </pic:blipFill>
                  <pic:spPr bwMode="auto">
                    <a:xfrm>
                      <a:off x="0" y="0"/>
                      <a:ext cx="5688000" cy="2787825"/>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 xml:space="preserve">图3.5</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结果复算与离线交付流程</w:t>
      </w:r>
    </w:p>
    <w:p>
      <w:pPr>
        <w:pStyle w:val="RWBody"/>
        <w:widowControl/>
        <w:adjustRightInd w:val="0"/>
        <w:snapToGrid w:val="0"/>
        <w:spacing w:line="480" w:lineRule="exact"/>
      </w:pPr>
      <w:r>
        <w:rPr>
          <w:rFonts w:ascii="楷体_GB2312" w:hAnsi="Times New Roman" w:eastAsia="楷体_GB2312"/>
          <w:bCs/>
          <w:sz w:val="28"/>
          <w:szCs w:val="28"/>
        </w:rPr>
        <w:t xml:space="preserve">离线展示按证据类别组织入口，使普通记录、历史案例和不含秘密数据的统计任务能够分别查看。短演示用于说明软件流程，不能替代正式样本；文中结构图用于解释模块关系，也不充当软件实际界面截图。报告、图源和实验原始材料各自保存，便于后续调整文字与排版时核对数值来源。</w:t>
      </w:r>
    </w:p>
    <w:p>
      <w:pPr>
        <w:pStyle w:val="RWBody"/>
        <w:widowControl/>
        <w:adjustRightInd w:val="0"/>
        <w:snapToGrid w:val="0"/>
        <w:spacing w:line="480" w:lineRule="exact"/>
      </w:pPr>
      <w:r>
        <w:rPr>
          <w:rFonts w:ascii="楷体_GB2312" w:hAnsi="Times New Roman" w:eastAsia="楷体_GB2312"/>
          <w:bCs/>
          <w:sz w:val="28"/>
          <w:szCs w:val="28"/>
        </w:rPr>
        <w:t xml:space="preserve">2026年10月8日，封存</w:t>
      </w:r>
      <w:r>
        <w:rPr>
          <w:rFonts w:ascii="楷体_GB2312" w:hAnsi="Times New Roman" w:eastAsia="楷体_GB2312"/>
          <w:bCs/>
          <w:sz w:val="28"/>
          <w:szCs w:val="28"/>
        </w:rPr>
        <w:t xml:space="preserve"> v3 </w:t>
      </w:r>
      <w:r>
        <w:rPr>
          <w:rFonts w:ascii="楷体_GB2312" w:hAnsi="Times New Roman" w:eastAsia="楷体_GB2312"/>
          <w:bCs/>
          <w:sz w:val="28"/>
          <w:szCs w:val="28"/>
        </w:rPr>
        <w:t xml:space="preserve">包已在授权</w:t>
      </w:r>
      <w:r>
        <w:rPr>
          <w:rFonts w:ascii="楷体_GB2312" w:hAnsi="Times New Roman" w:eastAsia="楷体_GB2312"/>
          <w:bCs/>
          <w:sz w:val="28"/>
          <w:szCs w:val="28"/>
        </w:rPr>
        <w:t xml:space="preserve"> Linux </w:t>
      </w:r>
      <w:r>
        <w:rPr>
          <w:rFonts w:ascii="楷体_GB2312" w:hAnsi="Times New Roman" w:eastAsia="楷体_GB2312"/>
          <w:bCs/>
          <w:sz w:val="28"/>
          <w:szCs w:val="28"/>
        </w:rPr>
        <w:t xml:space="preserve">环境的新目录执行复算，26个步骤全部退出0。执行由授权代理完成，实际命令、环境和结果均留有记录，可供评测人员使用同一材料继续复核。</w:t>
      </w:r>
    </w:p>
    <w:p>
      <w:pPr>
        <w:pStyle w:val="RWSection"/>
        <w:spacing w:before="240" w:after="240" w:line="360" w:lineRule="auto"/>
        <w:keepNext/>
        <w:keepLines/>
        <w:outlineLvl w:val="1"/>
      </w:pPr>
      <w:bookmarkStart w:id="9002" w:name="paper_heading_9002"/>
      <w:r>
        <w:rPr>
          <w:rFonts w:ascii="Times New Roman" w:hAnsi="Times New Roman" w:eastAsia="黑体" w:cs="Times New Roman"/>
          <w:sz w:val="28"/>
          <w:szCs w:val="28"/>
          <w:b/>
        </w:rPr>
        <w:t>3.7　实验设计的取舍与依据</w:t>
      </w:r>
      <w:bookmarkEnd w:id="9002"/>
    </w:p>
    <w:p>
      <w:pPr>
        <w:pStyle w:val="RWBody"/>
        <w:widowControl/>
        <w:adjustRightInd w:val="0"/>
        <w:snapToGrid w:val="0"/>
        <w:spacing w:line="480" w:lineRule="exact"/>
      </w:pPr>
      <w:r>
        <w:rPr>
          <w:rFonts w:ascii="楷体_GB2312" w:hAnsi="Times New Roman" w:eastAsia="楷体_GB2312"/>
          <w:bCs/>
          <w:sz w:val="28"/>
          <w:szCs w:val="28"/>
        </w:rPr>
        <w:t>系统设计首先保证比较具有安全意义。对长度不正确的输入，接口必须拒绝访问固定长度内核；这类检查属于功能与内存安全测试。时间侧信道比较则使用长度一致的密文，避免把明显不同的外部处理路径混入密码内部行为的讨论。两类测试都必要，但它们回答的问题不同。</w:t>
      </w:r>
    </w:p>
    <w:p>
      <w:pPr>
        <w:pStyle w:val="RWBody"/>
        <w:widowControl/>
        <w:adjustRightInd w:val="0"/>
        <w:snapToGrid w:val="0"/>
        <w:spacing w:line="480" w:lineRule="exact"/>
      </w:pPr>
      <w:r>
        <w:rPr>
          <w:rFonts w:ascii="楷体_GB2312" w:hAnsi="Times New Roman" w:eastAsia="楷体_GB2312"/>
          <w:bCs/>
          <w:sz w:val="28"/>
          <w:szCs w:val="28"/>
        </w:rPr>
        <w:t>完整解封装计时与局部处理计时各有作用。局部计时便于研究某个步骤，完整调用则更接近使用者能够观察的处理过程。本作品以完整调用作为正式测量范围，包含外部接口检查与解封装计算；结果核对及文件写入均位于计时窗口之外。相应代价是总时间包含更多环境波动，需要结合实现检查和对照实验解释，不能将全部差异归因于某一条指令。</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787825"/>
            <wp:effectExtent b="0" l="0" r="0" t="0"/>
            <wp:docPr descr="figure-3-6" title="" id="9001" name="Figure 3-6"/>
            <a:graphic>
              <a:graphicData uri="http://schemas.openxmlformats.org/drawingml/2006/picture">
                <pic:pic>
                  <pic:nvPicPr>
                    <pic:cNvPr descr="ppt-render/figure-02.png" id="15" name="Picture"/>
                    <pic:cNvPicPr>
                      <a:picLocks noChangeArrowheads="1" noChangeAspect="1"/>
                    </pic:cNvPicPr>
                  </pic:nvPicPr>
                  <pic:blipFill>
                    <a:blip r:embed="rIdPaper9001"/>
                    <a:stretch>
                      <a:fillRect/>
                    </a:stretch>
                  </pic:blipFill>
                  <pic:spPr bwMode="auto">
                    <a:xfrm>
                      <a:off x="0" y="0"/>
                      <a:ext cx="5688000" cy="2787825"/>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图3.6　研究问题与验证方法的对应关系。三类实验分别评价防护观察、运行开销和统计计算效率，不能相互替代。</w:t>
      </w:r>
    </w:p>
    <w:p>
      <w:pPr>
        <w:pStyle w:val="RWBody"/>
        <w:widowControl/>
        <w:adjustRightInd w:val="0"/>
        <w:snapToGrid w:val="0"/>
        <w:spacing w:line="480" w:lineRule="exact"/>
      </w:pPr>
      <w:r>
        <w:rPr>
          <w:rFonts w:ascii="楷体_GB2312" w:hAnsi="Times New Roman" w:eastAsia="楷体_GB2312"/>
          <w:bCs/>
          <w:sz w:val="28"/>
          <w:szCs w:val="28"/>
        </w:rPr>
        <w:t>对时间长尾，我们选择保留全部原始记录，并同时报告均值与多个分位数。均值反映总运行成本，较高分位数说明较慢调用的程度，中位数绝对偏差补充数据中部的离散性。这些描述相互补充，不能由其中一个值替代全部分布。若后续确需剔除观测，应事先说明依据，并保留未处理结果供比较；本次未采用事后删去较慢记录的做法。</w:t>
      </w:r>
    </w:p>
    <w:p>
      <w:pPr>
        <w:pStyle w:val="RWBody"/>
        <w:widowControl/>
        <w:adjustRightInd w:val="0"/>
        <w:snapToGrid w:val="0"/>
        <w:spacing w:line="480" w:lineRule="exact"/>
      </w:pPr>
      <w:r>
        <w:rPr>
          <w:rFonts w:ascii="楷体_GB2312" w:hAnsi="Times New Roman" w:eastAsia="楷体_GB2312"/>
          <w:bCs/>
          <w:sz w:val="28"/>
          <w:szCs w:val="28"/>
        </w:rPr>
        <w:t>对重复次数，我们区分调用、进程和构建三个层次。系统性能研究强调，应识别变异主要出现在哪一层，再安排相应重复[18]。本文据此分别保存进程内部原始时间和跨进程汇总，并用一次干净重建检查原统计效率观察。这样的安排不能消除全部不确定性，但使“重复了多少次”有明确含义，也为后续选择增加哪一层重复提供依据。</w:t>
      </w:r>
    </w:p>
    <w:p>
      <w:pPr>
        <w:pStyle w:val="RWBody"/>
        <w:widowControl/>
        <w:adjustRightInd w:val="0"/>
        <w:snapToGrid w:val="0"/>
        <w:spacing w:line="480" w:lineRule="exact"/>
      </w:pPr>
      <w:r>
        <w:rPr>
          <w:rFonts w:ascii="楷体_GB2312" w:hAnsi="Times New Roman" w:eastAsia="楷体_GB2312"/>
          <w:bCs/>
          <w:sz w:val="28"/>
          <w:szCs w:val="28"/>
        </w:rPr>
        <w:t>对安全效果与性能代价，我们采用不同的数据和指标。时间分布差异用于讨论防护前后是否仍有可区分现象，普通负载的均值和分位数用于描述性能。统计分析程序本身的加速又是第三个问题。图3.6将三个问题与对应实验并列，避免因某项指标改善而推断其他性质也随之改善。</w:t>
      </w:r>
    </w:p>
    <w:p>
      <w:pPr>
        <w:pStyle w:val="RWBody"/>
        <w:widowControl/>
        <w:adjustRightInd w:val="0"/>
        <w:snapToGrid w:val="0"/>
        <w:spacing w:line="480" w:lineRule="exact"/>
      </w:pPr>
      <w:r>
        <w:rPr>
          <w:rFonts w:ascii="楷体_GB2312" w:hAnsi="Times New Roman" w:eastAsia="楷体_GB2312"/>
          <w:bCs/>
          <w:sz w:val="28"/>
          <w:szCs w:val="28"/>
        </w:rPr>
        <w:t>这些取舍使作品的流程保持可解释。每增加一项检查或测量，都要说明它排除了什么疑问，以及还留下什么疑问。例如，固定程序版本可以排除版本混用，不能排除运行环境偏差；校验数据行数可以发现缺失，不能证明观测独立。将这些关系写清楚，比简单累计通过项目更能说明设计的合理性。</w:t>
      </w:r>
    </w:p>
    <w:bookmarkEnd w:id="48"/>
    <w:bookmarkEnd w:id="49"/>
    <w:bookmarkStart w:id="58" w:name="第4章-实现安全性与审计结论的适用范围"/>
    <w:p>
      <w:pPr>
        <w:pStyle w:val="RWChapter"/>
        <w:spacing w:before="240" w:after="240" w:line="360" w:lineRule="auto"/>
        <w:keepNext/>
        <w:keepLines/>
        <w:outlineLvl w:val="0"/>
      </w:pPr>
      <w:bookmarkStart w:id="517" w:name="rw_heading_17"/>
      <w:r>
        <w:rPr>
          <w:rFonts w:hint="eastAsia" w:ascii="华文楷体" w:hAnsi="华文楷体" w:eastAsia="华文楷体"/>
          <w:sz w:val="30"/>
          <w:szCs w:val="30"/>
          <w:b/>
        </w:rPr>
        <w:t xml:space="preserve">第4章</w:t>
      </w:r>
      <w:r>
        <w:rPr>
          <w:rFonts w:hint="eastAsia" w:ascii="华文楷体" w:hAnsi="华文楷体" w:eastAsia="华文楷体"/>
          <w:sz w:val="30"/>
          <w:szCs w:val="30"/>
          <w:b/>
        </w:rPr>
        <w:t xml:space="preserve">　</w:t>
      </w:r>
      <w:r>
        <w:rPr>
          <w:rFonts w:hint="eastAsia" w:ascii="华文楷体" w:hAnsi="华文楷体" w:eastAsia="华文楷体"/>
          <w:sz w:val="30"/>
          <w:szCs w:val="30"/>
          <w:b/>
        </w:rPr>
        <w:t xml:space="preserve">实现安全性与审计结论的适用范围</w:t>
      </w:r>
      <w:bookmarkEnd w:id="517"/>
    </w:p>
    <w:bookmarkStart w:id="53" w:name="本地审计的对象与可见信息"/>
    <w:p>
      <w:pPr>
        <w:pStyle w:val="RWSection"/>
        <w:spacing w:before="240" w:after="240" w:line="360" w:lineRule="auto"/>
        <w:keepNext/>
        <w:keepLines/>
        <w:outlineLvl w:val="1"/>
      </w:pPr>
      <w:bookmarkStart w:id="518" w:name="rw_heading_18"/>
      <w:r>
        <w:rPr>
          <w:rFonts w:ascii="Times New Roman" w:hAnsi="Times New Roman" w:eastAsia="黑体" w:cs="Times New Roman"/>
          <w:sz w:val="28"/>
          <w:szCs w:val="28"/>
          <w:b/>
        </w:rPr>
        <w:t xml:space="preserve">4.1　</w:t>
      </w:r>
      <w:r>
        <w:rPr>
          <w:rFonts w:ascii="Times New Roman" w:hAnsi="Times New Roman" w:eastAsia="黑体" w:cs="Times New Roman"/>
          <w:sz w:val="28"/>
          <w:szCs w:val="28"/>
          <w:b/>
        </w:rPr>
        <w:t xml:space="preserve">本地审计的对象与可见信息</w:t>
      </w:r>
      <w:bookmarkEnd w:id="518"/>
    </w:p>
    <w:p>
      <w:pPr>
        <w:pStyle w:val="RWBody"/>
        <w:widowControl/>
        <w:adjustRightInd w:val="0"/>
        <w:snapToGrid w:val="0"/>
        <w:spacing w:line="480" w:lineRule="exact"/>
      </w:pPr>
      <w:r>
        <w:rPr>
          <w:rFonts w:ascii="楷体_GB2312" w:hAnsi="Times New Roman" w:eastAsia="楷体_GB2312"/>
          <w:bCs/>
          <w:sz w:val="28"/>
          <w:szCs w:val="28"/>
        </w:rPr>
        <w:t xml:space="preserve">本作品的审计对象是固定</w:t>
      </w:r>
      <w:r>
        <w:rPr>
          <w:rFonts w:ascii="楷体_GB2312" w:hAnsi="Times New Roman" w:eastAsia="楷体_GB2312"/>
          <w:bCs/>
          <w:sz w:val="28"/>
          <w:szCs w:val="28"/>
        </w:rPr>
        <w:t xml:space="preserve"> ML-KEM-768 </w:t>
      </w:r>
      <w:r>
        <w:rPr>
          <w:rFonts w:ascii="楷体_GB2312" w:hAnsi="Times New Roman" w:eastAsia="楷体_GB2312"/>
          <w:bCs/>
          <w:sz w:val="28"/>
          <w:szCs w:val="28"/>
        </w:rPr>
        <w:t xml:space="preserve">便携</w:t>
      </w:r>
      <w:r>
        <w:rPr>
          <w:rFonts w:ascii="楷体_GB2312" w:hAnsi="Times New Roman" w:eastAsia="楷体_GB2312"/>
          <w:bCs/>
          <w:sz w:val="28"/>
          <w:szCs w:val="28"/>
        </w:rPr>
        <w:t xml:space="preserve"> C </w:t>
      </w:r>
      <w:r>
        <w:rPr>
          <w:rFonts w:ascii="楷体_GB2312" w:hAnsi="Times New Roman" w:eastAsia="楷体_GB2312"/>
          <w:bCs/>
          <w:sz w:val="28"/>
          <w:szCs w:val="28"/>
        </w:rPr>
        <w:t xml:space="preserve">实现及其本地封装，使用公开测试材料研究程序行为。普通流程可见外部输入类别、调用状态与完整执行时间；源码和反汇编用于解释实际产物。历史人工案例采用的白盒信息仅用于已归档材料的审查，不能推广为未知密钥条件下的观察能力。</w:t>
      </w:r>
    </w:p>
    <w:p>
      <w:pPr>
        <w:pStyle w:val="RWBody"/>
        <w:widowControl/>
        <w:adjustRightInd w:val="0"/>
        <w:snapToGrid w:val="0"/>
        <w:spacing w:line="480" w:lineRule="exact"/>
      </w:pPr>
      <w:r>
        <w:rPr>
          <w:rFonts w:ascii="楷体_GB2312" w:hAnsi="Times New Roman" w:eastAsia="楷体_GB2312"/>
          <w:bCs/>
          <w:sz w:val="28"/>
          <w:szCs w:val="28"/>
        </w:rPr>
        <w:t>本地评估能够观察输入类别、公开返回状态和完整调用时间，并利用源码及编译后程序辅助解释。本文没有远程网络测量或密钥恢复结果，因此讨论限于本地时间侧信道评估。常数时间研究要求明确可观察行为及其与秘密数据的关系[20]；仅在一组实验中发现差异或未发现差异，都不能代替这一性质的证明。三类实验材料的用途见图4.1。</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787825"/>
            <wp:effectExtent b="0" l="0" r="0" t="0"/>
            <wp:docPr descr="figure-4-1" title="" id="51" name="Picture"/>
            <a:graphic>
              <a:graphicData uri="http://schemas.openxmlformats.org/drawingml/2006/picture">
                <pic:pic>
                  <pic:nvPicPr>
                    <pic:cNvPr descr="ppt-render/figure-08.png" id="52" name="Picture"/>
                    <pic:cNvPicPr>
                      <a:picLocks noChangeArrowheads="1" noChangeAspect="1"/>
                    </pic:cNvPicPr>
                  </pic:nvPicPr>
                  <pic:blipFill>
                    <a:blip r:embed="rId20"/>
                    <a:stretch>
                      <a:fillRect/>
                    </a:stretch>
                  </pic:blipFill>
                  <pic:spPr bwMode="auto">
                    <a:xfrm>
                      <a:off x="0" y="0"/>
                      <a:ext cx="5688000" cy="2787825"/>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 xml:space="preserve">图4.1</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历史案例、普通运行与统计验证的证据范围</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表4.1</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不同证据能够支持的结论</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证据</w:t>
            </w:r>
          </w:p>
        </w:tc>
        <w:tc>
          <w:tcPr>
            <w:tcW w:type="dxa" w:w="3969"/>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可以支持</w:t>
            </w:r>
          </w:p>
        </w:tc>
        <w:tc>
          <w:tcPr>
            <w:tcW w:type="dxa" w:w="3175"/>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不能单独推出</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独立已知答案及边界测试</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已覆盖用例的功能行为</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全部实现安全性或认证</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源码及实际产物核对</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目标路径和编译机制</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真实泄露强度及可利用性</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逐次普通运行记录</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当前环境下的描述性能</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差异来自秘密数据或防护有效</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满足条件的统计结果</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对应模型下的差异判断</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假设本身自动成立</w:t>
            </w:r>
          </w:p>
        </w:tc>
      </w:tr>
      <w:tr>
        <w:trPr>
          <w:trHeight w:val="520" w:hRule="atLeast"/>
          <w:cantSplit/>
        </w:trPr>
        <w:tc>
          <w:tcPr>
            <w:tcW w:type="dxa" w:w="1814"/>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固定数据逐字复算</w:t>
            </w:r>
          </w:p>
        </w:tc>
        <w:tc>
          <w:tcPr>
            <w:tcW w:type="dxa" w:w="3969"/>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规则与输出能够重建</w:t>
            </w:r>
          </w:p>
        </w:tc>
        <w:tc>
          <w:tcPr>
            <w:tcW w:type="dxa" w:w="3175"/>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原结论不再需要审查</w:t>
            </w:r>
          </w:p>
        </w:tc>
      </w:tr>
    </w:tbl>
    <w:bookmarkEnd w:id="53"/>
    <w:bookmarkStart w:id="54" w:name="标准语义与外部接口保护"/>
    <w:p>
      <w:pPr>
        <w:pStyle w:val="RWSection"/>
        <w:spacing w:before="240" w:after="240" w:line="360" w:lineRule="auto"/>
        <w:keepNext/>
        <w:keepLines/>
        <w:outlineLvl w:val="1"/>
      </w:pPr>
      <w:bookmarkStart w:id="519" w:name="rw_heading_19"/>
      <w:bookmarkEnd w:id="519"/>
      <w:r>
        <w:rPr>
          <w:rFonts w:ascii="Times New Roman" w:hAnsi="Times New Roman" w:eastAsia="黑体" w:cs="Times New Roman"/>
          <w:sz w:val="28"/>
          <w:szCs w:val="28"/>
          <w:b/>
        </w:rPr>
        <w:t>4.2　标准处理规则与外部接口保护</w:t>
      </w:r>
    </w:p>
    <w:p>
      <w:pPr>
        <w:pStyle w:val="RWBody"/>
        <w:widowControl/>
        <w:adjustRightInd w:val="0"/>
        <w:snapToGrid w:val="0"/>
        <w:spacing w:line="480" w:lineRule="exact"/>
      </w:pPr>
      <w:r>
        <w:rPr>
          <w:rFonts w:ascii="楷体_GB2312" w:hAnsi="Times New Roman" w:eastAsia="楷体_GB2312"/>
          <w:bCs/>
          <w:sz w:val="28"/>
          <w:szCs w:val="28"/>
        </w:rPr>
        <w:t>实现审计首先要求保持密码处理规则。长度与空指针检查在封装层进行，防止短缓冲区到达固定长度内核；正确长度的无效密文保留隐式拒绝；普通运行使用系统安全随机源，失败时返回可处理的错误。日志、演示和错误状态不额外泄露私钥、共享密钥或内部验证结果。</w:t>
      </w:r>
    </w:p>
    <w:p>
      <w:pPr>
        <w:pStyle w:val="RWBody"/>
        <w:widowControl/>
        <w:adjustRightInd w:val="0"/>
        <w:snapToGrid w:val="0"/>
        <w:spacing w:line="480" w:lineRule="exact"/>
      </w:pPr>
      <w:r>
        <w:rPr>
          <w:rFonts w:ascii="楷体_GB2312" w:hAnsi="Times New Roman" w:eastAsia="楷体_GB2312"/>
          <w:bCs/>
          <w:sz w:val="28"/>
          <w:szCs w:val="28"/>
        </w:rPr>
        <w:t>独立向量测试与差分检查共同支撑功能核验。独立向量提供实现之外的预期答案；等价检查关注相同输入在不同实现标签下的结果是否一致。两种检查相互补充：前者避免错误实现之间“相互一致”，后者发现改动是否破坏了既有功能处理规则。它们均以已执行的测试范围为限，不能替代对全部程序路径的证明。</w:t>
      </w:r>
    </w:p>
    <w:p>
      <w:pPr>
        <w:pStyle w:val="RWBody"/>
        <w:widowControl/>
        <w:adjustRightInd w:val="0"/>
        <w:snapToGrid w:val="0"/>
        <w:spacing w:line="480" w:lineRule="exact"/>
      </w:pPr>
      <w:r>
        <w:rPr>
          <w:rFonts w:ascii="楷体_GB2312" w:hAnsi="Times New Roman" w:eastAsia="楷体_GB2312"/>
          <w:bCs/>
          <w:sz w:val="28"/>
          <w:szCs w:val="28"/>
        </w:rPr>
        <w:t>固定版本已经包含限制编译器不当优化的相关处理。已有研究中的问题是否适用于当前对象，需要结合版本、架构后端、构建设置及实际程序判断。本文对公开问题进行适用性检查，同时区分密码处理与辅助记录的修正。修复来源记录中的路径问题，有助于复核实验对象，但并未改变密码算法，也不能作为防护效果的依据。</w:t>
      </w:r>
    </w:p>
    <w:bookmarkEnd w:id="54"/>
    <w:bookmarkStart w:id="55" w:name="恒时实现检查与历史案例解释"/>
    <w:p>
      <w:pPr>
        <w:pStyle w:val="RWSection"/>
        <w:spacing w:before="240" w:after="240" w:line="360" w:lineRule="auto"/>
        <w:keepNext/>
        <w:keepLines/>
        <w:outlineLvl w:val="1"/>
      </w:pPr>
      <w:bookmarkStart w:id="520" w:name="rw_heading_20"/>
      <w:r>
        <w:rPr>
          <w:rFonts w:ascii="Times New Roman" w:hAnsi="Times New Roman" w:eastAsia="黑体" w:cs="Times New Roman"/>
          <w:sz w:val="28"/>
          <w:szCs w:val="28"/>
          <w:b/>
        </w:rPr>
        <w:t xml:space="preserve">4.3　</w:t>
      </w:r>
      <w:r>
        <w:rPr>
          <w:rFonts w:ascii="Times New Roman" w:hAnsi="Times New Roman" w:eastAsia="黑体" w:cs="Times New Roman"/>
          <w:sz w:val="28"/>
          <w:szCs w:val="28"/>
          <w:b/>
        </w:rPr>
        <w:t xml:space="preserve">恒时实现检查与历史案例解释</w:t>
      </w:r>
      <w:bookmarkEnd w:id="520"/>
    </w:p>
    <w:p>
      <w:pPr>
        <w:pStyle w:val="RWBody"/>
        <w:widowControl/>
        <w:adjustRightInd w:val="0"/>
        <w:snapToGrid w:val="0"/>
        <w:spacing w:line="480" w:lineRule="exact"/>
      </w:pPr>
      <w:r>
        <w:rPr>
          <w:rFonts w:ascii="楷体_GB2312" w:hAnsi="Times New Roman" w:eastAsia="楷体_GB2312"/>
          <w:bCs/>
          <w:sz w:val="28"/>
          <w:szCs w:val="28"/>
        </w:rPr>
        <w:t>常数时间编程要求秘密数据不影响所限定的可观察执行行为，而不是要求每一次墙钟读数完全相等。已有形式化研究将这一性质与程序的公开输出及执行模型联系起来[20]。因此，源码中没有显式条件分支只是检查的一部分；编译优化、目标指令及硬件假设也需要考虑[11]。本文检查固定实现的相关路径，并将实验观察与形式化证明分开表述。</w:t>
      </w:r>
    </w:p>
    <w:p>
      <w:pPr>
        <w:pStyle w:val="RWBody"/>
        <w:widowControl/>
        <w:adjustRightInd w:val="0"/>
        <w:snapToGrid w:val="0"/>
        <w:spacing w:line="480" w:lineRule="exact"/>
      </w:pPr>
      <w:r>
        <w:rPr>
          <w:rFonts w:ascii="楷体_GB2312" w:hAnsi="Times New Roman" w:eastAsia="楷体_GB2312"/>
          <w:bCs/>
          <w:sz w:val="28"/>
          <w:szCs w:val="28"/>
        </w:rPr>
        <w:t xml:space="preserve">历史人工案例用于说明源码依赖、机器码和统计观察之间的关系。档案中的目标机制来自已有公开研究背景，原对象涉及旧</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Kyber；本工程明确标注为人工分支对照，不将其表述为对当前上游实现的新漏洞发现。[6]</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上游目标编码本已无分支，历史掩码对照不能据此改称“修复了上游漏洞”。</w:t>
      </w:r>
    </w:p>
    <w:p>
      <w:pPr>
        <w:pStyle w:val="RWBody"/>
        <w:widowControl/>
        <w:adjustRightInd w:val="0"/>
        <w:snapToGrid w:val="0"/>
        <w:spacing w:line="480" w:lineRule="exact"/>
      </w:pPr>
      <w:r>
        <w:rPr>
          <w:rFonts w:ascii="楷体_GB2312" w:hAnsi="Times New Roman" w:eastAsia="楷体_GB2312"/>
          <w:bCs/>
          <w:sz w:val="28"/>
          <w:szCs w:val="28"/>
        </w:rPr>
        <w:t>早期五组测试并未得到完全一致的结果：第一项主比较仅四组达到原阈值，第二项分组比较中，掩码对照仍有一组检出差异。固定消息组重复使用少量密文，原检验未校正时间序列依赖。这些材料保留了方法的实际局限。第5.8节另行讨论同机Linux复测，两个环境的结果分别报告，不以新结果覆盖早期未通过的比较。</w:t>
      </w:r>
    </w:p>
    <w:bookmarkEnd w:id="55"/>
    <w:bookmarkStart w:id="56" w:name="统计资格与条件错误控制"/>
    <w:p>
      <w:pPr>
        <w:pStyle w:val="RWSection"/>
        <w:spacing w:before="240" w:after="240" w:line="360" w:lineRule="auto"/>
        <w:keepNext/>
        <w:keepLines/>
        <w:outlineLvl w:val="1"/>
      </w:pPr>
      <w:bookmarkStart w:id="9011" w:name="paper_heading_9011"/>
      <w:r>
        <w:rPr>
          <w:rFonts w:ascii="Times New Roman" w:hAnsi="Times New Roman" w:eastAsia="黑体" w:cs="Times New Roman"/>
          <w:sz w:val="28"/>
          <w:szCs w:val="28"/>
          <w:b/>
        </w:rPr>
        <w:t>4.4　置换检验的假设与第一类错误控制</w:t>
      </w:r>
      <w:bookmarkEnd w:id="9011"/>
    </w:p>
    <w:p>
      <w:pPr>
        <w:pStyle w:val="RWBody"/>
        <w:widowControl/>
        <w:adjustRightInd w:val="0"/>
        <w:snapToGrid w:val="0"/>
        <w:spacing w:line="480" w:lineRule="exact"/>
      </w:pPr>
      <w:r>
        <w:rPr>
          <w:rFonts w:ascii="楷体_GB2312" w:hAnsi="Times New Roman" w:eastAsia="楷体_GB2312"/>
          <w:bCs/>
          <w:sz w:val="28"/>
          <w:szCs w:val="28"/>
        </w:rPr>
        <w:t>置换检验要求零假设下的数据分布对所采用的变换保持不变[10]。在本文的成对符号变换中，需要明确给定观测后，哪些符号组合可以等概率出现；平均差为零并不足以保证全部组合都允许。若检验依据事前随机安排的两种运行次序，还须在尖锐零假设、独立等概率分配以及无前次运行残留影响等条件下解释。尖锐零假设要求每个单位的处理效应均为零，比仅要求平均效应为零的弱零假设更强[13]。将相应前提记为Q，则第一类错误概率应满足</w:t>
      </w:r>
    </w:p>
    <w:p>
      <w:pPr>
        <w:pStyle w:val="RWBody"/>
        <w:keepLines/>
        <w:widowControl/>
        <w:tabs>
          <w:tab w:pos="4819" w:val="center"/>
          <w:tab w:pos="9638" w:val="right"/>
        </w:tabs>
        <w:spacing w:line="360" w:lineRule="auto" w:before="140" w:after="160"/>
        <w:ind w:firstLine="0"/>
        <w:snapToGrid w:val="0"/>
      </w:pPr>
      <w:r>
        <w:tab/>
      </w:r>
      <m:oMath>
        <m:limLow>
          <m:e>
            <m:r>
              <m:rPr>
                <m:sty m:val="p"/>
              </m:rPr>
              <w:rPr>
                <w:sz w:val="28"/>
              </w:rPr>
              <m:t>Pr</m:t>
            </m:r>
          </m:e>
          <m:lim>
            <m:sSub>
              <m:e>
                <m:r>
                  <w:rPr>
                    <w:sz w:val="28"/>
                  </w:rPr>
                  <m:t>H</m:t>
                </m:r>
              </m:e>
              <m:sub>
                <m:r>
                  <w:rPr>
                    <w:sz w:val="28"/>
                  </w:rPr>
                  <m:t>0</m:t>
                </m:r>
              </m:sub>
            </m:sSub>
          </m:lim>
        </m:limLow>
        <m:r>
          <w:rPr>
            <w:sz w:val="28"/>
          </w:rPr>
          <m:t>​</m:t>
        </m:r>
        <m:d>
          <m:dPr>
            <m:begChr m:val="("/>
            <m:sepChr m:val=""/>
            <m:endChr m:val=")"/>
            <m:grow/>
          </m:dPr>
          <m:e>
            <m:sSub>
              <m:e>
                <m:r>
                  <w:rPr>
                    <w:sz w:val="28"/>
                  </w:rPr>
                  <m:t>p</m:t>
                </m:r>
              </m:e>
              <m:sub>
                <m:r>
                  <m:rPr>
                    <m:sty m:val="p"/>
                  </m:rPr>
                  <w:rPr>
                    <w:sz w:val="28"/>
                  </w:rPr>
                  <m:t>exact</m:t>
                </m:r>
              </m:sub>
            </m:sSub>
            <m:r>
              <m:rPr>
                <m:sty m:val="p"/>
              </m:rPr>
              <w:rPr>
                <w:sz w:val="28"/>
              </w:rPr>
              <m:t>≤</m:t>
            </m:r>
            <m:r>
              <w:rPr>
                <w:sz w:val="28"/>
              </w:rPr>
              <m:t>α</m:t>
            </m:r>
            <m:r>
              <m:rPr>
                <m:sty m:val="p"/>
              </m:rPr>
              <w:rPr>
                <w:sz w:val="28"/>
              </w:rPr>
              <m:t>∣</m:t>
            </m:r>
            <m:r>
              <m:rPr>
                <m:scr m:val="script"/>
                <m:sty m:val="p"/>
              </m:rPr>
              <w:rPr>
                <w:sz w:val="28"/>
              </w:rPr>
              <m:t>Q</m:t>
            </m:r>
          </m:e>
        </m:d>
        <m:r>
          <m:rPr>
            <m:sty m:val="p"/>
          </m:rPr>
          <w:rPr>
            <w:sz w:val="28"/>
          </w:rPr>
          <m:t>≤</m:t>
        </m:r>
        <m:r>
          <w:rPr>
            <w:sz w:val="28"/>
          </w:rPr>
          <m:t>α</m:t>
        </m:r>
        <m:r>
          <m:rPr>
            <m:sty m:val="p"/>
          </m:rPr>
          <w:rPr>
            <w:sz w:val="28"/>
          </w:rPr>
          <m:t>.</m:t>
        </m:r>
      </m:oMath>
      <w:r>
        <w:rPr>
          <w:rFonts w:ascii="Times New Roman" w:hAnsi="Times New Roman" w:eastAsia="SimSun"/>
          <w:sz w:val="22"/>
        </w:rPr>
        <w:tab/>
        <w:t>(4-1)</w:t>
      </w:r>
    </w:p>
    <w:p>
      <w:pPr>
        <w:pStyle w:val="RWBody"/>
        <w:widowControl/>
        <w:adjustRightInd w:val="0"/>
        <w:snapToGrid w:val="0"/>
        <w:spacing w:line="480" w:lineRule="exact"/>
      </w:pPr>
      <w:r>
        <w:rPr>
          <w:rFonts w:ascii="楷体_GB2312" w:hAnsi="Times New Roman" w:eastAsia="楷体_GB2312"/>
          <w:bCs/>
          <w:sz w:val="28"/>
          <w:szCs w:val="28"/>
        </w:rPr>
        <w:t xml:space="preserve">式（4-1）是分析所依赖的条件性命题，不是对任意时间序列都成立的保证。完整枚举只保证把给定交换空间数清楚；如果样本仅允许共同改变符号，却按相互独立的符号空间计算，得到的概率就不再对应实际数据模型。</w:t>
      </w:r>
    </w:p>
    <w:p>
      <w:pPr>
        <w:pStyle w:val="RWBody"/>
        <w:widowControl/>
        <w:adjustRightInd w:val="0"/>
        <w:snapToGrid w:val="0"/>
        <w:spacing w:line="480" w:lineRule="exact"/>
      </w:pPr>
      <w:r>
        <w:rPr>
          <w:rFonts w:ascii="楷体_GB2312" w:hAnsi="Times New Roman" w:eastAsia="楷体_GB2312"/>
          <w:bCs/>
          <w:sz w:val="28"/>
          <w:szCs w:val="28"/>
        </w:rPr>
        <w:t xml:space="preserve">条件上界可以直接由有限计数证明。固定任意成对差向量，再在全部标签组合上均匀赋标签。将统计量从大到小按等值分块；一个块的含等值上尾计数是截至该块的累计标签数。所有满足阈值的整块总大小至多为阈值与标签总数乘积的向下取整，因此有</w:t>
      </w:r>
    </w:p>
    <w:p>
      <w:pPr>
        <w:pStyle w:val="RWBody"/>
        <w:keepLines/>
        <w:widowControl/>
        <w:tabs>
          <w:tab w:pos="4819" w:val="center"/>
          <w:tab w:pos="9638" w:val="right"/>
        </w:tabs>
        <w:spacing w:line="360" w:lineRule="auto" w:before="140" w:after="160"/>
        <w:ind w:firstLine="0"/>
        <w:snapToGrid w:val="0"/>
      </w:pPr>
      <w:r>
        <w:tab/>
      </w:r>
      <m:oMath>
        <m:r>
          <w:rPr>
            <w:sz w:val="28"/>
          </w:rPr>
          <m:t>Pr{p(S)≤α | d}≤</m:t>
        </m:r>
        <m:f>
          <m:num>
            <m:r>
              <w:rPr>
                <w:sz w:val="28"/>
              </w:rPr>
              <m:t>⌊αM⌋</m:t>
            </m:r>
          </m:num>
          <m:den>
            <m:r>
              <w:rPr>
                <w:sz w:val="28"/>
              </w:rPr>
              <m:t>M</m:t>
            </m:r>
          </m:den>
        </m:f>
        <m:r>
          <w:rPr>
            <w:sz w:val="28"/>
          </w:rPr>
          <m:t>≤α</m:t>
        </m:r>
      </m:oMath>
      <w:r>
        <w:rPr>
          <w:rFonts w:hint="eastAsia" w:ascii="Times New Roman" w:hAnsi="Times New Roman" w:eastAsia="SimSun"/>
          <w:sz w:val="24"/>
        </w:rPr>
        <w:tab/>
        <w:t>(4-2)</w:t>
      </w:r>
    </w:p>
    <w:p>
      <w:pPr>
        <w:pStyle w:val="RWBody"/>
        <w:widowControl/>
        <w:adjustRightInd w:val="0"/>
        <w:snapToGrid w:val="0"/>
        <w:spacing w:line="480" w:lineRule="exact"/>
      </w:pPr>
      <w:r>
        <w:rPr>
          <w:rFonts w:ascii="楷体_GB2312" w:hAnsi="Times New Roman" w:eastAsia="楷体_GB2312"/>
          <w:bCs/>
          <w:sz w:val="28"/>
          <w:szCs w:val="28"/>
        </w:rPr>
        <w:t xml:space="preserve">其中，M为全部标签数。十二对、4096种标签及0.01阈值对应最多40个拒绝标签。并列或零差保留重数，可能使该界更保守；时间值可以来自相依序列，因为此命题的随机性仅来自固定时间之后的标签。一般变换群还需相应的分布不变性；零均值和边际对称都不够。[10]</w:t>
      </w:r>
    </w:p>
    <w:p>
      <w:pPr>
        <w:pStyle w:val="RWBody"/>
        <w:widowControl/>
        <w:adjustRightInd w:val="0"/>
        <w:snapToGrid w:val="0"/>
        <w:spacing w:line="480" w:lineRule="exact"/>
      </w:pPr>
      <w:r>
        <w:rPr>
          <w:rFonts w:ascii="楷体_GB2312" w:hAnsi="Times New Roman" w:eastAsia="楷体_GB2312"/>
          <w:bCs/>
          <w:sz w:val="28"/>
          <w:szCs w:val="28"/>
        </w:rPr>
        <w:t xml:space="preserve">本作品以共同符号模型检查这一边界。所有正幅度共享一个等概率符号时，各边际与联合全局中心对称均成立，实际随机状态却只有两个。盲用十二个独立符号的4096状态空间，会对两个实际结果均给出2/4096的尾概率，在既定阈值下每次拒绝；使用正确的全局翻转空间，尾概率为1。对本模型中明示共同符号依赖的输入，现有入口报告证据不足。程序只能核查部分声明和记录，不能自动证明真实数据符合交换条件；这不等于已经降低真实密码误报率。</w:t>
      </w:r>
    </w:p>
    <w:p w14:paraId="CA150001">
      <w:pPr>
        <w:pStyle w:val="RWBody"/>
        <w:widowControl/>
        <w:adjustRightInd w:val="0"/>
        <w:snapToGrid w:val="0"/>
        <w:spacing w:line="480" w:lineRule="exact"/>
      </w:pPr>
      <w:r>
        <w:rPr>
          <w:rFonts w:ascii="楷体_GB2312" w:hAnsi="Times New Roman" w:eastAsia="楷体_GB2312"/>
          <w:bCs/>
          <w:sz w:val="28"/>
          <w:szCs w:val="28"/>
        </w:rPr>
        <w:t>平均时间差的估计与尖锐零假设下的检验需要区分。成对随机设计中的平均处理效应及其方差可依据随机分配机制分析[12]；弱零假设和学生化统计量的适用性则见文献[13]。学生化是用估计标准误对统计量进行标准化。即使均值估计无偏、方差估计在期望上保守，也不能直接保证小样本置信区间达到名义覆盖率。第4.5节在原有区间形式下讨论这一问题，并明确哪些条件尚未由现实实验验证。</w:t>
      </w:r>
    </w:p>
    <w:p>
      <w:pPr>
        <w:pStyle w:val="RWBody"/>
        <w:widowControl/>
        <w:adjustRightInd w:val="0"/>
        <w:snapToGrid w:val="0"/>
        <w:spacing w:line="480" w:lineRule="exact"/>
      </w:pPr>
      <w:r>
        <w:rPr>
          <w:rFonts w:ascii="楷体_GB2312" w:hAnsi="Times New Roman" w:eastAsia="楷体_GB2312"/>
          <w:bCs/>
          <w:sz w:val="28"/>
          <w:szCs w:val="28"/>
        </w:rPr>
        <w:t>本文还对固定的真实时间记录进行置换计算校验：先固定时间，再按预定的独立等概率标签规则构造置换分布。这一计算中的随机性来自标签，而不是重新采集时间。因此，它可以核对给定观测下的条件拒绝概率，却不能证明原始密文类别也满足同样的随机化机制。</w:t>
      </w:r>
    </w:p>
    <w:p>
      <w:pPr>
        <w:pStyle w:val="RWBody"/>
        <w:widowControl/>
        <w:adjustRightInd w:val="0"/>
        <w:snapToGrid w:val="0"/>
        <w:spacing w:line="480" w:lineRule="exact"/>
      </w:pPr>
      <w:r>
        <w:rPr>
          <w:rFonts w:ascii="楷体_GB2312" w:hAnsi="Times New Roman" w:eastAsia="楷体_GB2312"/>
          <w:bCs/>
          <w:sz w:val="28"/>
          <w:szCs w:val="28"/>
        </w:rPr>
        <w:t xml:space="preserve">样本数量还约束检验的分辨率。令k为非零成对差的数量；只要k为正，全局符号反转产生相同绝对和值，零差坐标又保留重复标签，因此任何观测状态的尾概率至少满足</w:t>
      </w:r>
    </w:p>
    <w:p>
      <w:pPr>
        <w:pStyle w:val="RWBody"/>
        <w:keepLines/>
        <w:widowControl/>
        <w:tabs>
          <w:tab w:pos="4819" w:val="center"/>
          <w:tab w:pos="9638" w:val="right"/>
        </w:tabs>
        <w:spacing w:line="360" w:lineRule="auto" w:before="140" w:after="160"/>
        <w:ind w:firstLine="0"/>
        <w:snapToGrid w:val="0"/>
      </w:pPr>
      <w:r>
        <w:tab/>
      </w:r>
      <m:oMath>
        <m:sSub>
          <m:e>
            <m:r>
              <w:rPr>
                <w:sz w:val="28"/>
              </w:rPr>
              <m:t>p</m:t>
            </m:r>
          </m:e>
          <m:sub>
            <m:r>
              <w:rPr>
                <w:sz w:val="28"/>
              </w:rPr>
              <m:t>min</m:t>
            </m:r>
          </m:sub>
        </m:sSub>
        <m:r>
          <w:rPr>
            <w:sz w:val="28"/>
          </w:rPr>
          <m:t>≥</m:t>
        </m:r>
        <m:sSup>
          <m:e>
            <m:r>
              <w:rPr>
                <w:sz w:val="28"/>
              </w:rPr>
              <m:t>2</m:t>
            </m:r>
          </m:e>
          <m:sup>
            <m:r>
              <w:rPr>
                <w:sz w:val="28"/>
              </w:rPr>
              <m:t>1−k</m:t>
            </m:r>
          </m:sup>
        </m:sSup>
      </m:oMath>
      <w:r>
        <w:rPr>
          <w:rFonts w:hint="eastAsia" w:ascii="Times New Roman" w:hAnsi="Times New Roman" w:eastAsia="SimSun"/>
          <w:sz w:val="24"/>
        </w:rPr>
        <w:tab/>
        <w:t>(4-3)</w:t>
      </w:r>
    </w:p>
    <w:p>
      <w:pPr>
        <w:pStyle w:val="RWBody"/>
        <w:widowControl/>
        <w:adjustRightInd w:val="0"/>
        <w:snapToGrid w:val="0"/>
        <w:spacing w:line="480" w:lineRule="exact"/>
      </w:pPr>
      <w:r>
        <w:rPr>
          <w:rFonts w:ascii="楷体_GB2312" w:hAnsi="Times New Roman" w:eastAsia="楷体_GB2312"/>
          <w:bCs/>
          <w:sz w:val="28"/>
          <w:szCs w:val="28"/>
        </w:rPr>
        <w:t xml:space="preserve">全零时尾概率为1。在0.01阈值下，七个或更少非零对不可能拒绝；八个非零对仅意味着有拒绝可能。允许4至20对的程序入口包含软件验证规模，不等于每个规模都具备检出能力。零差不能为通过而删除，更多单位也不自动保证真实噪声下的功效。</w:t>
      </w:r>
    </w:p>
    <w:p>
      <w:pPr>
        <w:pStyle w:val="RWBody"/>
        <w:widowControl/>
        <w:adjustRightInd w:val="0"/>
        <w:snapToGrid w:val="0"/>
        <w:spacing w:line="480" w:lineRule="exact"/>
      </w:pPr>
      <w:r>
        <w:rPr>
          <w:rFonts w:ascii="楷体_GB2312" w:hAnsi="Times New Roman" w:eastAsia="楷体_GB2312"/>
          <w:bCs/>
          <w:sz w:val="28"/>
          <w:szCs w:val="28"/>
        </w:rPr>
        <w:t>秩检验对应的效应量也须计入并列值：它等于第一类观测严格较大所占的比例，加上两类观测相等比例的一半[22]。例如，两类观测均为1、1、2、2时，严格较大比例为0.25，相等比例为0.5，因而效应量为0.5。将其解释为严格大于的概率，会忽略并列值的贡献。</w:t>
      </w:r>
    </w:p>
    <w:bookmarkEnd w:id="56"/>
    <w:bookmarkStart w:id="543" w:name="rw_heading_finite_20261010"/>
    <w:p w14:paraId="CA170001">
      <w:pPr>
        <w:pStyle w:val="RWSection"/>
        <w:spacing w:before="240" w:after="240" w:line="360" w:lineRule="auto"/>
        <w:keepNext/>
        <w:keepLines/>
        <w:outlineLvl w:val="1"/>
      </w:pPr>
      <w:bookmarkStart w:id="9012" w:name="paper_heading_9012"/>
      <w:r>
        <w:rPr>
          <w:rFonts w:ascii="Times New Roman" w:hAnsi="Times New Roman" w:eastAsia="黑体" w:cs="Times New Roman"/>
          <w:sz w:val="28"/>
          <w:szCs w:val="28"/>
          <w:b/>
        </w:rPr>
        <w:t>4.5　平均时间差置信区间的有限样本分析</w:t>
      </w:r>
      <w:bookmarkEnd w:id="9012"/>
    </w:p>
    <w:p w14:paraId="CA170002">
      <w:pPr>
        <w:pStyle w:val="RWBody"/>
        <w:widowControl/>
        <w:adjustRightInd w:val="0"/>
        <w:snapToGrid w:val="0"/>
        <w:spacing w:line="480" w:lineRule="exact"/>
      </w:pPr>
      <w:r>
        <w:rPr>
          <w:rFonts w:ascii="楷体_GB2312" w:hAnsi="Times New Roman" w:eastAsia="楷体_GB2312"/>
          <w:bCs/>
          <w:sz w:val="28"/>
          <w:szCs w:val="28"/>
        </w:rPr>
        <w:t>本节采用随机化推断中的潜在结果表示[12][13]：同一个实验单位在两种运行安排下有各自的潜在结果，但实际只能观察其中一种。预先固定U≥2个单位及其潜在结果，独立等概率分配两种运行次序。用R表示取值为±1、概率各为1/2的独立符号。若不存在前次安排对后次运行的残留影响，也不存在跨单位干扰，观测差可写为下式。概率仅针对运行次序的随机分配，U不等于单位内部的密码调用次数：</w:t>
      </w:r>
    </w:p>
    <w:p w14:paraId="CA170003">
      <w:pPr>
        <w:pStyle w:val="RWBody"/>
        <w:keepLines/>
        <w:widowControl/>
        <w:tabs>
          <w:tab w:pos="4819" w:val="center"/>
          <w:tab w:pos="9638" w:val="right"/>
        </w:tabs>
        <w:spacing w:line="360" w:lineRule="auto" w:before="140" w:after="160"/>
        <w:ind w:firstLine="0"/>
        <w:snapToGrid w:val="0"/>
      </w:pPr>
      <w:r>
        <w:tab/>
      </w:r>
      <m:oMath>
        <m:sSub>
          <m:e>
            <m:r>
              <w:rPr>
                <w:sz w:val="28"/>
              </w:rPr>
              <m:t>D</m:t>
            </m:r>
          </m:e>
          <m:sub>
            <m:r>
              <w:rPr>
                <w:sz w:val="28"/>
              </w:rPr>
              <m:t>j</m:t>
            </m:r>
          </m:sub>
        </m:sSub>
        <m:r>
          <w:rPr>
            <w:sz w:val="28"/>
          </w:rPr>
          <m:t>=</m:t>
        </m:r>
        <m:sSub>
          <m:e>
            <m:r>
              <w:rPr>
                <w:sz w:val="28"/>
              </w:rPr>
              <m:t>θ</m:t>
            </m:r>
          </m:e>
          <m:sub>
            <m:r>
              <w:rPr>
                <w:sz w:val="28"/>
              </w:rPr>
              <m:t>j</m:t>
            </m:r>
          </m:sub>
        </m:sSub>
        <m:r>
          <w:rPr>
            <w:sz w:val="28"/>
          </w:rPr>
          <m:t>+</m:t>
        </m:r>
        <m:sSub>
          <m:e>
            <m:r>
              <w:rPr>
                <w:sz w:val="28"/>
              </w:rPr>
              <m:t>R</m:t>
            </m:r>
          </m:e>
          <m:sub>
            <m:r>
              <w:rPr>
                <w:sz w:val="28"/>
              </w:rPr>
              <m:t>j</m:t>
            </m:r>
          </m:sub>
        </m:sSub>
        <m:sSub>
          <m:e>
            <m:r>
              <w:rPr>
                <w:sz w:val="28"/>
              </w:rPr>
              <m:t>γ</m:t>
            </m:r>
          </m:e>
          <m:sub>
            <m:r>
              <w:rPr>
                <w:sz w:val="28"/>
              </w:rPr>
              <m:t>j</m:t>
            </m:r>
          </m:sub>
        </m:sSub>
        <m:r>
          <w:rPr>
            <w:sz w:val="28"/>
          </w:rPr>
          <m:t>,   θ=</m:t>
        </m:r>
        <m:f>
          <m:num>
            <m:r>
              <w:rPr>
                <w:sz w:val="28"/>
              </w:rPr>
              <m:t>Σ</m:t>
            </m:r>
            <m:sSub>
              <m:e>
                <m:r>
                  <w:rPr>
                    <w:sz w:val="28"/>
                  </w:rPr>
                  <m:t>θ</m:t>
                </m:r>
              </m:e>
              <m:sub>
                <m:r>
                  <w:rPr>
                    <w:sz w:val="28"/>
                  </w:rPr>
                  <m:t>j</m:t>
                </m:r>
              </m:sub>
            </m:sSub>
          </m:num>
          <m:den>
            <m:r>
              <w:rPr>
                <w:sz w:val="28"/>
              </w:rPr>
              <m:t>U</m:t>
            </m:r>
          </m:den>
        </m:f>
        <m:r>
          <w:rPr>
            <w:sz w:val="28"/>
          </w:rPr>
          <m:t>,   </m:t>
        </m:r>
        <m:acc>
          <m:accPr>
            <m:chr m:val="̂"/>
          </m:accPr>
          <m:e>
            <m:r>
              <w:rPr>
                <w:sz w:val="28"/>
              </w:rPr>
              <m:t>θ</m:t>
            </m:r>
          </m:e>
        </m:acc>
        <m:r>
          <w:rPr>
            <w:sz w:val="28"/>
          </w:rPr>
          <m:t>=</m:t>
        </m:r>
        <m:acc>
          <m:accPr>
            <m:chr m:val="̄"/>
          </m:accPr>
          <m:e>
            <m:r>
              <w:rPr>
                <w:sz w:val="28"/>
              </w:rPr>
              <m:t>D</m:t>
            </m:r>
          </m:e>
        </m:acc>
      </m:oMath>
      <w:r>
        <w:rPr>
          <w:rFonts w:ascii="Times New Roman" w:hAnsi="Times New Roman" w:eastAsia="SimSun"/>
          <w:sz w:val="22"/>
        </w:rPr>
        <w:tab/>
        <w:t>(4-4)</w:t>
      </w:r>
    </w:p>
    <w:p w14:paraId="CA170004">
      <w:pPr>
        <w:pStyle w:val="RWBody"/>
        <w:keepLines/>
        <w:widowControl/>
        <w:tabs>
          <w:tab w:pos="4819" w:val="center"/>
          <w:tab w:pos="9638" w:val="right"/>
        </w:tabs>
        <w:spacing w:line="360" w:lineRule="auto" w:before="140" w:after="160"/>
        <w:ind w:firstLine="0"/>
        <w:snapToGrid w:val="0"/>
      </w:pPr>
      <w:r>
        <w:tab/>
      </w:r>
      <m:oMath>
        <m:acc>
          <m:accPr>
            <m:chr m:val="̂"/>
          </m:accPr>
          <m:e>
            <m:r>
              <w:rPr>
                <w:sz w:val="28"/>
              </w:rPr>
              <m:t>V</m:t>
            </m:r>
          </m:e>
        </m:acc>
        <m:r>
          <w:rPr>
            <w:sz w:val="28"/>
          </w:rPr>
          <m:t>=</m:t>
        </m:r>
        <m:f>
          <m:num>
            <m:r>
              <w:rPr>
                <w:sz w:val="28"/>
              </w:rPr>
              <m:t>Σ</m:t>
            </m:r>
            <m:sSup>
              <m:e>
                <m:d>
                  <m:dPr>
                    <m:begChr m:val="("/>
                    <m:endChr m:val=")"/>
                  </m:dPr>
                  <m:e>
                    <m:sSub>
                      <m:e>
                        <m:r>
                          <w:rPr>
                            <w:sz w:val="28"/>
                          </w:rPr>
                          <m:t>D</m:t>
                        </m:r>
                      </m:e>
                      <m:sub>
                        <m:r>
                          <w:rPr>
                            <w:sz w:val="28"/>
                          </w:rPr>
                          <m:t>j</m:t>
                        </m:r>
                      </m:sub>
                    </m:sSub>
                    <m:r>
                      <w:rPr>
                        <w:sz w:val="28"/>
                      </w:rPr>
                      <m:t>−</m:t>
                    </m:r>
                    <m:acc>
                      <m:accPr>
                        <m:chr m:val="̄"/>
                      </m:accPr>
                      <m:e>
                        <m:r>
                          <w:rPr>
                            <w:sz w:val="28"/>
                          </w:rPr>
                          <m:t>D</m:t>
                        </m:r>
                      </m:e>
                    </m:acc>
                  </m:e>
                </m:d>
              </m:e>
              <m:sup>
                <m:r>
                  <w:rPr>
                    <w:sz w:val="28"/>
                  </w:rPr>
                  <m:t>2</m:t>
                </m:r>
              </m:sup>
            </m:sSup>
          </m:num>
          <m:den>
            <m:r>
              <w:rPr>
                <w:sz w:val="28"/>
              </w:rPr>
              <m:t>U(U−1)</m:t>
            </m:r>
          </m:den>
        </m:f>
        <m:r>
          <w:rPr>
            <w:sz w:val="28"/>
          </w:rPr>
          <m:t>,   I=</m:t>
        </m:r>
        <m:d>
          <m:dPr>
            <m:begChr m:val="["/>
            <m:endChr m:val="]"/>
          </m:dPr>
          <m:e>
            <m:acc>
              <m:accPr>
                <m:chr m:val="̂"/>
              </m:accPr>
              <m:e>
                <m:r>
                  <w:rPr>
                    <w:sz w:val="28"/>
                  </w:rPr>
                  <m:t>θ</m:t>
                </m:r>
              </m:e>
            </m:acc>
            <m:r>
              <w:rPr>
                <w:sz w:val="28"/>
              </w:rPr>
              <m:t>−z</m:t>
            </m:r>
            <m:rad>
              <m:radPr>
                <m:degHide m:val="1"/>
              </m:radPr>
              <m:deg/>
              <m:e>
                <m:acc>
                  <m:accPr>
                    <m:chr m:val="̂"/>
                  </m:accPr>
                  <m:e>
                    <m:r>
                      <w:rPr>
                        <w:sz w:val="28"/>
                      </w:rPr>
                      <m:t>V</m:t>
                    </m:r>
                  </m:e>
                </m:acc>
              </m:e>
            </m:rad>
            <m:r>
              <w:rPr>
                <w:sz w:val="28"/>
              </w:rPr>
              <m:t>, </m:t>
            </m:r>
            <m:acc>
              <m:accPr>
                <m:chr m:val="̂"/>
              </m:accPr>
              <m:e>
                <m:r>
                  <w:rPr>
                    <w:sz w:val="28"/>
                  </w:rPr>
                  <m:t>θ</m:t>
                </m:r>
              </m:e>
            </m:acc>
            <m:r>
              <w:rPr>
                <w:sz w:val="28"/>
              </w:rPr>
              <m:t>+z</m:t>
            </m:r>
            <m:rad>
              <m:radPr>
                <m:degHide m:val="1"/>
              </m:radPr>
              <m:deg/>
              <m:e>
                <m:acc>
                  <m:accPr>
                    <m:chr m:val="̂"/>
                  </m:accPr>
                  <m:e>
                    <m:r>
                      <w:rPr>
                        <w:sz w:val="28"/>
                      </w:rPr>
                      <m:t>V</m:t>
                    </m:r>
                  </m:e>
                </m:acc>
              </m:e>
            </m:rad>
          </m:e>
        </m:d>
      </m:oMath>
      <w:r>
        <w:rPr>
          <w:rFonts w:ascii="Times New Roman" w:hAnsi="Times New Roman" w:eastAsia="SimSun"/>
          <w:sz w:val="22"/>
        </w:rPr>
        <w:tab/>
        <w:t>(4-5)</w:t>
      </w:r>
    </w:p>
    <w:p w14:paraId="CA170005">
      <w:pPr>
        <w:pStyle w:val="RWBody"/>
        <w:widowControl/>
        <w:adjustRightInd w:val="0"/>
        <w:snapToGrid w:val="0"/>
        <w:spacing w:line="480" w:lineRule="exact"/>
      </w:pPr>
      <w:r>
        <w:rPr>
          <w:rFonts w:ascii="楷体_GB2312" w:hAnsi="Times New Roman" w:eastAsia="楷体_GB2312"/>
          <w:bCs/>
          <w:sz w:val="28"/>
          <w:szCs w:val="28"/>
        </w:rPr>
        <w:t>求和遍历j=1至U，区间中的临界值z&gt;0在观察数据前确定，并保留区间端点。令G为各γ平方之和；当G&gt;0时，η是其中最大一项占总和的比例。这个比值用来描述单个单位对随机变异的最大贡献，来自潜在结果，通常不能直接由实际观测差求得。为表达覆盖概率的下界，对确定的0&lt;ε&lt;1定义</w:t>
      </w:r>
    </w:p>
    <w:p w14:paraId="CA170006">
      <w:pPr>
        <w:pStyle w:val="RWBody"/>
        <w:keepLines/>
        <w:widowControl/>
        <w:tabs>
          <w:tab w:pos="4819" w:val="center"/>
          <w:tab w:pos="9638" w:val="right"/>
        </w:tabs>
        <w:spacing w:line="360" w:lineRule="auto" w:before="140" w:after="160"/>
        <w:ind w:firstLine="0"/>
        <w:snapToGrid w:val="0"/>
      </w:pPr>
      <w:r>
        <w:tab/>
      </w:r>
      <m:oMath>
        <m:sSubSup>
          <m:e>
            <m:r>
              <w:rPr>
                <w:sz w:val="28"/>
              </w:rPr>
              <m:t>a</m:t>
            </m:r>
          </m:e>
          <m:sub>
            <m:r>
              <w:rPr>
                <w:sz w:val="28"/>
              </w:rPr>
              <m:t>ε</m:t>
            </m:r>
          </m:sub>
          <m:sup>
            <m:r>
              <w:rPr>
                <w:sz w:val="28"/>
              </w:rPr>
              <m:t>(0)</m:t>
            </m:r>
          </m:sup>
        </m:sSubSup>
        <m:r>
          <w:rPr>
            <w:sz w:val="28"/>
          </w:rPr>
          <m:t>=z</m:t>
        </m:r>
        <m:rad>
          <m:radPr>
            <m:degHide m:val="1"/>
          </m:radPr>
          <m:deg/>
          <m:e>
            <m:f>
              <m:num>
                <m:r>
                  <w:rPr>
                    <w:sz w:val="28"/>
                  </w:rPr>
                  <m:t>U(1−ε)</m:t>
                </m:r>
              </m:num>
              <m:den>
                <m:r>
                  <w:rPr>
                    <w:sz w:val="28"/>
                  </w:rPr>
                  <m:t>U−1+</m:t>
                </m:r>
                <m:sSup>
                  <m:e>
                    <m:r>
                      <w:rPr>
                        <w:sz w:val="28"/>
                      </w:rPr>
                      <m:t>z</m:t>
                    </m:r>
                  </m:e>
                  <m:sup>
                    <m:r>
                      <w:rPr>
                        <w:sz w:val="28"/>
                      </w:rPr>
                      <m:t>2</m:t>
                    </m:r>
                  </m:sup>
                </m:sSup>
              </m:den>
            </m:f>
          </m:e>
        </m:rad>
      </m:oMath>
      <w:r>
        <w:rPr>
          <w:rFonts w:ascii="Times New Roman" w:hAnsi="Times New Roman" w:eastAsia="SimSun"/>
          <w:sz w:val="22"/>
        </w:rPr>
        <w:tab/>
        <w:t>(4-6)</w:t>
      </w:r>
    </w:p>
    <w:p w14:paraId="CA170007">
      <w:pPr>
        <w:pStyle w:val="RWBody"/>
        <w:keepLines/>
        <w:widowControl/>
        <w:tabs>
          <w:tab w:pos="4819" w:val="center"/>
          <w:tab w:pos="9638" w:val="right"/>
        </w:tabs>
        <w:spacing w:line="360" w:lineRule="auto" w:before="140" w:after="160"/>
        <w:ind w:firstLine="0"/>
        <w:snapToGrid w:val="0"/>
      </w:pPr>
      <w:r>
        <w:tab/>
      </w:r>
      <m:oMath>
        <m:sSub>
          <m:e>
            <m:r>
              <w:rPr>
                <w:sz w:val="28"/>
              </w:rPr>
              <m:t>p</m:t>
            </m:r>
          </m:e>
          <m:sub>
            <m:r>
              <w:rPr>
                <w:sz w:val="28"/>
              </w:rPr>
              <m:t>0</m:t>
            </m:r>
          </m:sub>
        </m:sSub>
        <m:r>
          <w:rPr>
            <w:sz w:val="28"/>
          </w:rPr>
          <m:t>(ε,η)=min</m:t>
        </m:r>
        <m:d>
          <m:dPr>
            <m:begChr m:val="{"/>
            <m:endChr m:val="}"/>
          </m:dPr>
          <m:e>
            <m:r>
              <w:rPr>
                <w:sz w:val="28"/>
              </w:rPr>
              <m:t>1, </m:t>
            </m:r>
            <m:f>
              <m:num>
                <m:r>
                  <w:rPr>
                    <w:sz w:val="28"/>
                  </w:rPr>
                  <m:t>η</m:t>
                </m:r>
              </m:num>
              <m:den>
                <m:sSup>
                  <m:e>
                    <m:r>
                      <w:rPr>
                        <w:sz w:val="28"/>
                      </w:rPr>
                      <m:t>ε</m:t>
                    </m:r>
                  </m:e>
                  <m:sup>
                    <m:r>
                      <w:rPr>
                        <w:sz w:val="28"/>
                      </w:rPr>
                      <m:t>2</m:t>
                    </m:r>
                  </m:sup>
                </m:sSup>
              </m:den>
            </m:f>
            <m:r>
              <w:rPr>
                <w:sz w:val="28"/>
              </w:rPr>
              <m:t>, exp</m:t>
            </m:r>
            <m:d>
              <m:dPr>
                <m:begChr m:val="["/>
                <m:endChr m:val="]"/>
              </m:dPr>
              <m:e>
                <m:r>
                  <w:rPr>
                    <w:sz w:val="28"/>
                  </w:rPr>
                  <m:t>−</m:t>
                </m:r>
                <m:f>
                  <m:num>
                    <m:sSup>
                      <m:e>
                        <m:r>
                          <w:rPr>
                            <w:sz w:val="28"/>
                          </w:rPr>
                          <m:t>ε</m:t>
                        </m:r>
                      </m:e>
                      <m:sup>
                        <m:r>
                          <w:rPr>
                            <w:sz w:val="28"/>
                          </w:rPr>
                          <m:t>2</m:t>
                        </m:r>
                      </m:sup>
                    </m:sSup>
                  </m:num>
                  <m:den>
                    <m:r>
                      <w:rPr>
                        <w:sz w:val="28"/>
                      </w:rPr>
                      <m:t>2η</m:t>
                    </m:r>
                  </m:den>
                </m:f>
              </m:e>
            </m:d>
          </m:e>
        </m:d>
      </m:oMath>
      <w:r>
        <w:rPr>
          <w:rFonts w:ascii="Times New Roman" w:hAnsi="Times New Roman" w:eastAsia="SimSun"/>
          <w:sz w:val="22"/>
        </w:rPr>
        <w:tab/>
        <w:t>(4-7)</w:t>
      </w:r>
    </w:p>
    <w:p w14:paraId="CA170008">
      <w:pPr>
        <w:pStyle w:val="RWBody"/>
        <w:keepLines/>
        <w:widowControl/>
        <w:tabs>
          <w:tab w:pos="4819" w:val="center"/>
          <w:tab w:pos="9638" w:val="right"/>
        </w:tabs>
        <w:spacing w:line="360" w:lineRule="auto" w:before="140" w:after="160"/>
        <w:ind w:firstLine="0"/>
        <w:snapToGrid w:val="0"/>
      </w:pPr>
      <w:r>
        <w:tab/>
      </w:r>
      <m:oMath>
        <m:r>
          <w:rPr>
            <w:sz w:val="28"/>
          </w:rPr>
          <m:t>Pr{θ∈I}≥</m:t>
        </m:r>
        <m:sSub>
          <m:e>
            <m:d>
              <m:dPr>
                <m:begChr m:val="["/>
                <m:endChr m:val="]"/>
              </m:dPr>
              <m:e>
                <m:r>
                  <w:rPr>
                    <w:sz w:val="28"/>
                  </w:rPr>
                  <m:t>2Φ(</m:t>
                </m:r>
                <m:sSubSup>
                  <m:e>
                    <m:r>
                      <w:rPr>
                        <w:sz w:val="28"/>
                      </w:rPr>
                      <m:t>a</m:t>
                    </m:r>
                  </m:e>
                  <m:sub>
                    <m:r>
                      <w:rPr>
                        <w:sz w:val="28"/>
                      </w:rPr>
                      <m:t>ε</m:t>
                    </m:r>
                  </m:sub>
                  <m:sup>
                    <m:r>
                      <w:rPr>
                        <w:sz w:val="28"/>
                      </w:rPr>
                      <m:t>(0)</m:t>
                    </m:r>
                  </m:sup>
                </m:sSubSup>
                <m:r>
                  <w:rPr>
                    <w:sz w:val="28"/>
                  </w:rPr>
                  <m:t>)−1−2</m:t>
                </m:r>
                <m:rad>
                  <m:radPr>
                    <m:degHide m:val="1"/>
                  </m:radPr>
                  <m:deg/>
                  <m:e>
                    <m:r>
                      <w:rPr>
                        <w:sz w:val="28"/>
                      </w:rPr>
                      <m:t>η</m:t>
                    </m:r>
                  </m:e>
                </m:rad>
                <m:r>
                  <w:rPr>
                    <w:sz w:val="28"/>
                  </w:rPr>
                  <m:t>−</m:t>
                </m:r>
                <m:sSub>
                  <m:e>
                    <m:r>
                      <w:rPr>
                        <w:sz w:val="28"/>
                      </w:rPr>
                      <m:t>p</m:t>
                    </m:r>
                  </m:e>
                  <m:sub>
                    <m:r>
                      <w:rPr>
                        <w:sz w:val="28"/>
                      </w:rPr>
                      <m:t>0</m:t>
                    </m:r>
                  </m:sub>
                </m:sSub>
                <m:r>
                  <w:rPr>
                    <w:sz w:val="28"/>
                  </w:rPr>
                  <m:t>(ε,η)</m:t>
                </m:r>
              </m:e>
            </m:d>
          </m:e>
          <m:sub>
            <m:r>
              <w:rPr>
                <w:sz w:val="28"/>
              </w:rPr>
              <m:t>+</m:t>
            </m:r>
          </m:sub>
        </m:sSub>
      </m:oMath>
      <w:r>
        <w:rPr>
          <w:rFonts w:ascii="Times New Roman" w:hAnsi="Times New Roman" w:eastAsia="SimSun"/>
          <w:sz w:val="22"/>
        </w:rPr>
        <w:tab/>
        <w:t>(4-8)</w:t>
      </w:r>
    </w:p>
    <w:p w14:paraId="CA170009">
      <w:pPr>
        <w:pStyle w:val="RWBody"/>
        <w:widowControl/>
        <w:adjustRightInd w:val="0"/>
        <w:snapToGrid w:val="0"/>
        <w:spacing w:line="480" w:lineRule="exact"/>
      </w:pPr>
      <w:r>
        <w:rPr>
          <w:rFonts w:ascii="楷体_GB2312" w:hAnsi="Times New Roman" w:eastAsia="楷体_GB2312"/>
          <w:bCs/>
          <w:sz w:val="28"/>
          <w:szCs w:val="28"/>
        </w:rPr>
        <w:t>式（4-8）中的Φ是标准正态分布函数，右下标“+”表示负值取零。推导采用Berry–Esseen正态近似误差界：先展开样本方差并整理区间覆盖事件，再控制方差向下偏离和加权独立符号和的近似误差，最后合并两部分概率界。这里采用文献[16]一般独立情形允许的保守常数1，不将同分布情形的常数用于不同权重。离散分布的端点仍保留，两个事件也没有被额外假定为独立。完整推导保存在附录A所索引的理论材料中。</w:t>
      </w:r>
    </w:p>
    <w:p w14:paraId="CA17000A">
      <w:pPr>
        <w:pStyle w:val="RWBody"/>
        <w:widowControl/>
        <w:adjustRightInd w:val="0"/>
        <w:snapToGrid w:val="0"/>
        <w:spacing w:line="480" w:lineRule="exact"/>
      </w:pPr>
      <w:r>
        <w:rPr>
          <w:rFonts w:ascii="楷体_GB2312" w:hAnsi="Times New Roman" w:eastAsia="楷体_GB2312"/>
          <w:bCs/>
          <w:sz w:val="28"/>
          <w:szCs w:val="28"/>
        </w:rPr>
        <w:t>若G=0，估计量等于目标值，原区间必然覆盖，无需定义η。若G&gt;0，虽然1/U≤η≤1，但覆盖下界需要的是η的可信上界，不能拿1/U代替。只有普遍上界1时，式（4-8）给出的下界为零，意味着该界不足以提供有效保证，不表示实际覆盖概率为零。因此，本节没有为现有4至20个成对单位自动建立名义覆盖率。可信的潜在结果幅度上界可用于另一类有限样本界[14]，但样本最大值和超时设置都不能代替这种上界。</w:t>
      </w:r>
    </w:p>
    <w:bookmarkEnd w:id="543"/>
    <w:bookmarkStart w:id="57" w:name="复现一致性与研究结论的区分"/>
    <w:p>
      <w:pPr>
        <w:pStyle w:val="RWSection"/>
        <w:spacing w:before="240" w:after="240" w:line="360" w:lineRule="auto"/>
        <w:keepNext/>
        <w:keepLines/>
        <w:outlineLvl w:val="1"/>
      </w:pPr>
      <w:bookmarkStart w:id="522" w:name="rw_heading_22"/>
      <w:r>
        <w:rPr>
          <w:rFonts w:ascii="Times New Roman" w:hAnsi="Times New Roman" w:eastAsia="黑体" w:cs="Times New Roman"/>
          <w:sz w:val="28"/>
          <w:szCs w:val="28"/>
          <w:b/>
        </w:rPr>
        <w:t xml:space="preserve">4.6　复现一致性与研究结论的区分</w:t>
      </w:r>
      <w:bookmarkEnd w:id="522"/>
    </w:p>
    <w:p>
      <w:pPr>
        <w:pStyle w:val="RWBody"/>
        <w:widowControl/>
        <w:adjustRightInd w:val="0"/>
        <w:snapToGrid w:val="0"/>
        <w:spacing w:line="480" w:lineRule="exact"/>
      </w:pPr>
      <w:r>
        <w:rPr>
          <w:rFonts w:ascii="楷体_GB2312" w:hAnsi="Times New Roman" w:eastAsia="楷体_GB2312"/>
          <w:bCs/>
          <w:sz w:val="28"/>
          <w:szCs w:val="28"/>
        </w:rPr>
        <w:t xml:space="preserve">复现一致性关注同一材料和规则能否得到相同输出。设归档文件为</w:t>
      </w:r>
      <w:r>
        <w:rPr>
          <w:rFonts w:ascii="楷体_GB2312" w:hAnsi="Times New Roman" w:eastAsia="楷体_GB2312"/>
          <w:bCs/>
          <w:sz w:val="28"/>
          <w:szCs w:val="28"/>
        </w:rPr>
        <w:t xml:space="preserve"> </w:t>
      </w:r>
      <m:oMath>
        <m:r>
          <w:rPr>
            <w:sz w:val="28"/>
          </w:rPr>
          <m:t>D</m:t>
        </m:r>
      </m:oMath>
      <w:r>
        <w:rPr>
          <w:rFonts w:ascii="楷体_GB2312" w:hAnsi="Times New Roman" w:eastAsia="楷体_GB2312"/>
          <w:bCs/>
          <w:sz w:val="28"/>
          <w:szCs w:val="28"/>
        </w:rPr>
        <w:t xml:space="preserve">，固定分析规则为</w:t>
      </w:r>
      <w:r>
        <w:rPr>
          <w:rFonts w:ascii="楷体_GB2312" w:hAnsi="Times New Roman" w:eastAsia="楷体_GB2312"/>
          <w:bCs/>
          <w:sz w:val="28"/>
          <w:szCs w:val="28"/>
        </w:rPr>
        <w:t xml:space="preserve"> </w:t>
      </w:r>
      <m:oMath>
        <m:r>
          <w:rPr>
            <w:sz w:val="28"/>
          </w:rPr>
          <m:t>F</m:t>
        </m:r>
      </m:oMath>
      <w:r>
        <w:rPr>
          <w:rFonts w:ascii="楷体_GB2312" w:hAnsi="Times New Roman" w:eastAsia="楷体_GB2312"/>
          <w:bCs/>
          <w:sz w:val="28"/>
          <w:szCs w:val="28"/>
        </w:rPr>
        <w:t xml:space="preserve">，原输出为</w:t>
      </w:r>
      <w:r>
        <w:rPr>
          <w:rFonts w:ascii="楷体_GB2312" w:hAnsi="Times New Roman" w:eastAsia="楷体_GB2312"/>
          <w:bCs/>
          <w:sz w:val="28"/>
          <w:szCs w:val="28"/>
        </w:rPr>
        <w:t xml:space="preserve"> </w:t>
      </w:r>
      <m:oMath>
        <m:r>
          <w:rPr>
            <w:sz w:val="28"/>
          </w:rPr>
          <m:t>Y</m:t>
        </m:r>
      </m:oMath>
      <w:r>
        <w:rPr>
          <w:rFonts w:ascii="楷体_GB2312" w:hAnsi="Times New Roman" w:eastAsia="楷体_GB2312"/>
          <w:bCs/>
          <w:sz w:val="28"/>
          <w:szCs w:val="28"/>
        </w:rPr>
        <w:t xml:space="preserve">，则逐字复算核对的是</w:t>
      </w:r>
    </w:p>
    <w:p>
      <w:pPr>
        <w:pStyle w:val="RWBody"/>
        <w:keepLines/>
        <w:widowControl/>
        <w:tabs>
          <w:tab w:pos="4819" w:val="center"/>
          <w:tab w:pos="9638" w:val="right"/>
        </w:tabs>
        <w:spacing w:line="360" w:lineRule="auto" w:before="140" w:after="160"/>
        <w:ind w:firstLine="0"/>
        <w:snapToGrid w:val="0"/>
      </w:pPr>
      <w:r>
        <w:tab/>
      </w:r>
      <m:oMath>
        <m:r>
          <w:rPr>
            <w:sz w:val="28"/>
          </w:rPr>
          <m:t>F</m:t>
        </m:r>
        <m:r>
          <m:rPr>
            <m:sty m:val="p"/>
          </m:rPr>
          <w:rPr>
            <w:sz w:val="28"/>
          </w:rPr>
          <m:t>(</m:t>
        </m:r>
        <m:r>
          <w:rPr>
            <w:sz w:val="28"/>
          </w:rPr>
          <m:t>D</m:t>
        </m:r>
        <m:r>
          <m:rPr>
            <m:sty m:val="p"/>
          </m:rPr>
          <w:rPr>
            <w:sz w:val="28"/>
          </w:rPr>
          <m:t>)=</m:t>
        </m:r>
        <m:r>
          <w:rPr>
            <w:sz w:val="28"/>
          </w:rPr>
          <m:t>Y</m:t>
        </m:r>
        <m:r>
          <m:rPr>
            <m:sty m:val="p"/>
          </m:rPr>
          <w:rPr>
            <w:sz w:val="28"/>
          </w:rPr>
          <m:t>.</m:t>
        </m:r>
      </m:oMath>
      <w:r>
        <w:rPr>
          <w:rFonts w:ascii="Times New Roman" w:hAnsi="Times New Roman" w:eastAsia="SimSun"/>
          <w:sz w:val="22"/>
        </w:rPr>
        <w:tab/>
        <w:t>(4-9)</w:t>
      </w:r>
    </w:p>
    <w:p>
      <w:pPr>
        <w:pStyle w:val="RWBody"/>
        <w:widowControl/>
        <w:adjustRightInd w:val="0"/>
        <w:snapToGrid w:val="0"/>
        <w:spacing w:line="480" w:lineRule="exact"/>
      </w:pPr>
      <w:r>
        <w:rPr>
          <w:rFonts w:ascii="楷体_GB2312" w:hAnsi="Times New Roman" w:eastAsia="楷体_GB2312"/>
          <w:bCs/>
          <w:sz w:val="28"/>
          <w:szCs w:val="28"/>
        </w:rPr>
        <w:t xml:space="preserve">这项等式成立，说明计算规则和文件关系能够被重建，却不自动证明</w:t>
      </w:r>
      <w:r>
        <w:rPr>
          <w:rFonts w:ascii="楷体_GB2312" w:hAnsi="Times New Roman" w:eastAsia="楷体_GB2312"/>
          <w:bCs/>
          <w:sz w:val="28"/>
          <w:szCs w:val="28"/>
        </w:rPr>
        <w:t xml:space="preserve"> </w:t>
      </w:r>
      <m:oMath>
        <m:r>
          <w:rPr>
            <w:sz w:val="28"/>
          </w:rPr>
          <m:t>D</m:t>
        </m:r>
      </m:oMath>
      <w:r>
        <w:rPr>
          <w:rFonts w:ascii="楷体_GB2312" w:hAnsi="Times New Roman" w:eastAsia="楷体_GB2312"/>
          <w:bCs/>
          <w:sz w:val="28"/>
          <w:szCs w:val="28"/>
        </w:rPr>
        <w:t xml:space="preserve"> </w:t>
      </w:r>
      <w:r>
        <w:rPr>
          <w:rFonts w:ascii="楷体_GB2312" w:hAnsi="Times New Roman" w:eastAsia="楷体_GB2312"/>
          <w:bCs/>
          <w:sz w:val="28"/>
          <w:szCs w:val="28"/>
        </w:rPr>
        <w:t xml:space="preserve">对目标总体有代表性，也不证明统计假设已满足。正因如此，系统同时保存方法说明、数据完整性与适用条件和适用范围，而不是只把“结果一致”作为全部验收的替代。</w:t>
      </w:r>
    </w:p>
    <w:p>
      <w:pPr>
        <w:pStyle w:val="RWBody"/>
        <w:widowControl/>
        <w:adjustRightInd w:val="0"/>
        <w:snapToGrid w:val="0"/>
        <w:spacing w:line="480" w:lineRule="exact"/>
      </w:pPr>
      <w:r>
        <w:rPr>
          <w:rFonts w:ascii="楷体_GB2312" w:hAnsi="Times New Roman" w:eastAsia="楷体_GB2312"/>
          <w:bCs/>
          <w:sz w:val="28"/>
          <w:szCs w:val="28"/>
        </w:rPr>
        <w:t>2026年10月8日完成的封存包复现，验证了固定材料与规则能够重新生成输出。同机复测则提供另一类证据，用于观察特定人工对照在同一环境中的表现。两项工作回答不同问题：前者检查计算过程能否重建，后者讨论再次测量观察到什么。</w:t>
      </w:r>
    </w:p>
    <w:bookmarkEnd w:id="57"/>
    <w:bookmarkEnd w:id="58"/>
    <w:bookmarkStart w:id="88" w:name="第5章-系统测试与实验结果分析"/>
    <w:p>
      <w:pPr>
        <w:pStyle w:val="RWChapter"/>
        <w:spacing w:before="240" w:after="240" w:line="360" w:lineRule="auto"/>
        <w:keepNext/>
        <w:keepLines/>
        <w:outlineLvl w:val="0"/>
      </w:pPr>
      <w:bookmarkStart w:id="523" w:name="rw_heading_23"/>
      <w:r>
        <w:rPr>
          <w:rFonts w:hint="eastAsia" w:ascii="华文楷体" w:hAnsi="华文楷体" w:eastAsia="华文楷体"/>
          <w:sz w:val="30"/>
          <w:szCs w:val="30"/>
          <w:b/>
        </w:rPr>
        <w:t xml:space="preserve">第5章</w:t>
      </w:r>
      <w:r>
        <w:rPr>
          <w:rFonts w:hint="eastAsia" w:ascii="华文楷体" w:hAnsi="华文楷体" w:eastAsia="华文楷体"/>
          <w:sz w:val="30"/>
          <w:szCs w:val="30"/>
          <w:b/>
        </w:rPr>
        <w:t xml:space="preserve">　</w:t>
      </w:r>
      <w:r>
        <w:rPr>
          <w:rFonts w:hint="eastAsia" w:ascii="华文楷体" w:hAnsi="华文楷体" w:eastAsia="华文楷体"/>
          <w:sz w:val="30"/>
          <w:szCs w:val="30"/>
          <w:b/>
        </w:rPr>
        <w:t xml:space="preserve">系统测试与实验结果分析</w:t>
      </w:r>
      <w:bookmarkEnd w:id="523"/>
    </w:p>
    <w:bookmarkStart w:id="62" w:name="原生测试环境与分层验证方案"/>
    <w:p>
      <w:pPr>
        <w:pStyle w:val="RWSection"/>
        <w:spacing w:before="240" w:after="240" w:line="360" w:lineRule="auto"/>
        <w:keepNext/>
        <w:keepLines/>
        <w:outlineLvl w:val="1"/>
      </w:pPr>
      <w:bookmarkStart w:id="9013" w:name="paper_heading_9013"/>
      <w:r>
        <w:rPr>
          <w:rFonts w:ascii="Times New Roman" w:hAnsi="Times New Roman" w:eastAsia="黑体" w:cs="Times New Roman"/>
          <w:sz w:val="28"/>
          <w:szCs w:val="28"/>
          <w:b/>
        </w:rPr>
        <w:t>5.1　测试环境与验证方案</w:t>
      </w:r>
      <w:bookmarkEnd w:id="9013"/>
    </w:p>
    <w:p>
      <w:pPr>
        <w:pStyle w:val="RWBody"/>
        <w:widowControl/>
        <w:adjustRightInd w:val="0"/>
        <w:snapToGrid w:val="0"/>
        <w:spacing w:line="480" w:lineRule="exact"/>
      </w:pPr>
      <w:r>
        <w:rPr>
          <w:rFonts w:ascii="楷体_GB2312" w:hAnsi="Times New Roman" w:eastAsia="楷体_GB2312"/>
          <w:bCs/>
          <w:sz w:val="28"/>
          <w:szCs w:val="28"/>
        </w:rPr>
        <w:t xml:space="preserve">系统测试覆盖功能正确性、工程行为、统计实现和材料复算。各层测试的输入、预期结果及输出形式不同，因此分别报告：独立向量说明标准功能，接口与失败检查说明程序边界，统计夹具说明计算正确性，真实环境记录说明具体产物的执行情况。图5.1给出测试层次。</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787825"/>
            <wp:effectExtent b="0" l="0" r="0" t="0"/>
            <wp:docPr descr="figure-5-1" title="" id="60" name="Picture"/>
            <a:graphic>
              <a:graphicData uri="http://schemas.openxmlformats.org/drawingml/2006/picture">
                <pic:pic>
                  <pic:nvPicPr>
                    <pic:cNvPr descr="ppt-render/figure-09.png" id="61" name="Picture"/>
                    <pic:cNvPicPr>
                      <a:picLocks noChangeArrowheads="1" noChangeAspect="1"/>
                    </pic:cNvPicPr>
                  </pic:nvPicPr>
                  <pic:blipFill>
                    <a:blip r:embed="rId21"/>
                    <a:stretch>
                      <a:fillRect/>
                    </a:stretch>
                  </pic:blipFill>
                  <pic:spPr bwMode="auto">
                    <a:xfrm>
                      <a:off x="0" y="0"/>
                      <a:ext cx="5688000" cy="2787825"/>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 xml:space="preserve">图5.1</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功能、软件、统计与材料的分层验证</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表5.1　Linux实机测试环境与构建条件</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2948"/>
        <w:gridCol w:w="6009"/>
      </w:tblGrid>
      <w:tr>
        <w:trPr>
          <w:trHeight w:val="520" w:hRule="atLeast"/>
          <w:tblHeader w:val="on"/>
          <w:cantSplit/>
          <w:tblHeader/>
        </w:trPr>
        <w:tc>
          <w:tcPr>
            <w:tcW w:type="dxa" w:w="2948"/>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项目</w:t>
            </w:r>
          </w:p>
        </w:tc>
        <w:tc>
          <w:tcPr>
            <w:tcW w:type="dxa" w:w="6009"/>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配置或状态</w:t>
            </w:r>
          </w:p>
        </w:tc>
      </w:tr>
      <w:tr>
        <w:trPr>
          <w:trHeight w:val="520" w:hRule="atLeast"/>
          <w:cantSplit/>
        </w:trPr>
        <w:tc>
          <w:tcPr>
            <w:tcW w:type="dxa" w:w="2948"/>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操作系统</w:t>
            </w:r>
          </w:p>
        </w:tc>
        <w:tc>
          <w:tcPr>
            <w:tcW w:type="dxa" w:w="6009"/>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Ubuntu </w:t>
            </w:r>
            <w:r>
              <w:rPr>
                <w:rFonts w:ascii="Calibri" w:hAnsi="Calibri" w:eastAsia="宋体" w:cs="Times New Roman"/>
                <w:kern w:val="2"/>
                <w:sz w:val="21"/>
                <w:szCs w:val="22"/>
                <w:lang w:val="en-US" w:eastAsia="zh-CN" w:bidi="ar-SA"/>
              </w:rPr>
              <w:t xml:space="preserve">24.04.4；Linux</w:t>
            </w:r>
            <w:r>
              <w:rPr>
                <w:rFonts w:ascii="Calibri" w:hAnsi="Calibri" w:eastAsia="宋体" w:cs="Times New Roman"/>
                <w:kern w:val="2"/>
                <w:sz w:val="21"/>
                <w:szCs w:val="22"/>
                <w:lang w:val="en-US" w:eastAsia="zh-CN" w:bidi="ar-SA"/>
              </w:rPr>
              <w:t xml:space="preserve"> 6.8.0-138</w:t>
            </w:r>
          </w:p>
        </w:tc>
      </w:tr>
      <w:tr>
        <w:trPr>
          <w:trHeight w:val="520" w:hRule="atLeast"/>
          <w:cantSplit/>
        </w:trPr>
        <w:tc>
          <w:tcPr>
            <w:tcW w:type="dxa" w:w="2948"/>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执行架构</w:t>
            </w:r>
          </w:p>
        </w:tc>
        <w:tc>
          <w:tcPr>
            <w:tcW w:type="dxa" w:w="6009"/>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x86_64；KVM</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来宾；4</w:t>
            </w:r>
            <w:r>
              <w:rPr>
                <w:rFonts w:ascii="Calibri" w:hAnsi="Calibri" w:eastAsia="宋体" w:cs="Times New Roman"/>
                <w:kern w:val="2"/>
                <w:sz w:val="21"/>
                <w:szCs w:val="22"/>
                <w:lang w:val="en-US" w:eastAsia="zh-CN" w:bidi="ar-SA"/>
              </w:rPr>
              <w:t xml:space="preserve"> vCPU</w:t>
            </w:r>
          </w:p>
        </w:tc>
      </w:tr>
      <w:tr>
        <w:trPr>
          <w:trHeight w:val="520" w:hRule="atLeast"/>
          <w:cantSplit/>
        </w:trPr>
        <w:tc>
          <w:tcPr>
            <w:tcW w:type="dxa" w:w="2948"/>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CPU </w:t>
            </w:r>
            <w:r>
              <w:rPr>
                <w:rFonts w:ascii="Calibri" w:hAnsi="Calibri" w:eastAsia="宋体" w:cs="Times New Roman"/>
                <w:kern w:val="2"/>
                <w:sz w:val="21"/>
                <w:szCs w:val="22"/>
                <w:lang w:val="en-US" w:eastAsia="zh-CN" w:bidi="ar-SA"/>
              </w:rPr>
              <w:t xml:space="preserve">型号字符串</w:t>
            </w:r>
          </w:p>
        </w:tc>
        <w:tc>
          <w:tcPr>
            <w:tcW w:type="dxa" w:w="6009"/>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AMD EPYC 9K65 192-Core Processor</w:t>
            </w:r>
          </w:p>
        </w:tc>
      </w:tr>
      <w:tr>
        <w:trPr>
          <w:trHeight w:val="520" w:hRule="atLeast"/>
          <w:cantSplit/>
        </w:trPr>
        <w:tc>
          <w:tcPr>
            <w:tcW w:type="dxa" w:w="2948"/>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正式构建</w:t>
            </w:r>
          </w:p>
        </w:tc>
        <w:tc>
          <w:tcPr>
            <w:tcW w:type="dxa" w:w="6009"/>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GCC </w:t>
            </w:r>
            <w:r>
              <w:rPr>
                <w:rFonts w:ascii="Calibri" w:hAnsi="Calibri" w:eastAsia="宋体" w:cs="Times New Roman"/>
                <w:kern w:val="2"/>
                <w:sz w:val="21"/>
                <w:szCs w:val="22"/>
                <w:lang w:val="en-US" w:eastAsia="zh-CN" w:bidi="ar-SA"/>
              </w:rPr>
              <w:t xml:space="preserve">13.3.0；优化构建并保留调试信息</w:t>
            </w:r>
          </w:p>
        </w:tc>
      </w:tr>
      <w:tr>
        <w:trPr>
          <w:trHeight w:val="520" w:hRule="atLeast"/>
          <w:cantSplit/>
        </w:trPr>
        <w:tc>
          <w:tcPr>
            <w:tcW w:type="dxa" w:w="2948"/>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正式编译条件</w:t>
            </w:r>
          </w:p>
        </w:tc>
        <w:tc>
          <w:tcPr>
            <w:tcW w:type="dxa" w:w="6009"/>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二级优化；保留调试信息；关闭调试断言；无链接时优化和动态检查插桩</w:t>
            </w:r>
          </w:p>
        </w:tc>
      </w:tr>
      <w:tr>
        <w:trPr>
          <w:trHeight w:val="520" w:hRule="atLeast"/>
          <w:cantSplit/>
        </w:trPr>
        <w:tc>
          <w:tcPr>
            <w:tcW w:type="dxa" w:w="2948"/>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动态检查</w:t>
            </w:r>
          </w:p>
        </w:tc>
        <w:tc>
          <w:tcPr>
            <w:tcW w:type="dxa" w:w="6009"/>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Clang </w:t>
            </w:r>
            <w:r>
              <w:rPr>
                <w:rFonts w:ascii="Calibri" w:hAnsi="Calibri" w:eastAsia="宋体" w:cs="Times New Roman"/>
                <w:kern w:val="2"/>
                <w:sz w:val="21"/>
                <w:szCs w:val="22"/>
                <w:lang w:val="en-US" w:eastAsia="zh-CN" w:bidi="ar-SA"/>
              </w:rPr>
              <w:t xml:space="preserve">18.1.3；ASan</w:t>
            </w:r>
            <w:r>
              <w:rPr>
                <w:rFonts w:ascii="Calibri" w:hAnsi="Calibri" w:eastAsia="宋体" w:cs="Times New Roman"/>
                <w:kern w:val="2"/>
                <w:sz w:val="21"/>
                <w:szCs w:val="22"/>
                <w:lang w:val="en-US" w:eastAsia="zh-CN" w:bidi="ar-SA"/>
              </w:rPr>
              <w:t xml:space="preserve"> / </w:t>
            </w:r>
            <w:r>
              <w:rPr>
                <w:rFonts w:ascii="Calibri" w:hAnsi="Calibri" w:eastAsia="宋体" w:cs="Times New Roman"/>
                <w:kern w:val="2"/>
                <w:sz w:val="21"/>
                <w:szCs w:val="22"/>
                <w:lang w:val="en-US" w:eastAsia="zh-CN" w:bidi="ar-SA"/>
              </w:rPr>
              <w:t xml:space="preserve">UBSan；另行运行</w:t>
            </w:r>
          </w:p>
        </w:tc>
      </w:tr>
      <w:tr>
        <w:trPr>
          <w:trHeight w:val="520" w:hRule="atLeast"/>
          <w:cantSplit/>
        </w:trPr>
        <w:tc>
          <w:tcPr>
            <w:tcW w:type="dxa" w:w="2948"/>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普通正式采集</w:t>
            </w:r>
          </w:p>
        </w:tc>
        <w:tc>
          <w:tcPr>
            <w:tcW w:type="dxa" w:w="6009"/>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进程固定在逻辑CPU2</w:t>
            </w:r>
          </w:p>
        </w:tc>
      </w:tr>
      <w:tr>
        <w:trPr>
          <w:trHeight w:val="520" w:hRule="atLeast"/>
          <w:cantSplit/>
        </w:trPr>
        <w:tc>
          <w:tcPr>
            <w:tcW w:type="dxa" w:w="2948"/>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计时方式</w:t>
            </w:r>
          </w:p>
        </w:tc>
        <w:tc>
          <w:tcPr>
            <w:tcW w:type="dxa" w:w="6009"/>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系统单调时钟；ns；完整解封装</w:t>
            </w:r>
          </w:p>
        </w:tc>
      </w:tr>
      <w:tr>
        <w:trPr>
          <w:trHeight w:val="520" w:hRule="atLeast"/>
          <w:cantSplit/>
        </w:trPr>
        <w:tc>
          <w:tcPr>
            <w:tcW w:type="dxa" w:w="2948"/>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环境限制</w:t>
            </w:r>
          </w:p>
        </w:tc>
        <w:tc>
          <w:tcPr>
            <w:tcW w:type="dxa" w:w="6009"/>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宿主频率、物理资源及调度不由来宾完全控制</w:t>
            </w:r>
          </w:p>
        </w:tc>
      </w:tr>
    </w:tbl>
    <w:p>
      <w:pPr>
        <w:pStyle w:val="RWBody"/>
        <w:widowControl/>
        <w:adjustRightInd w:val="0"/>
        <w:snapToGrid w:val="0"/>
        <w:spacing w:line="480" w:lineRule="exact"/>
      </w:pPr>
      <w:r>
        <w:rPr>
          <w:rFonts w:ascii="楷体_GB2312" w:hAnsi="Times New Roman" w:eastAsia="楷体_GB2312"/>
          <w:bCs/>
          <w:sz w:val="28"/>
          <w:szCs w:val="28"/>
        </w:rPr>
        <w:t xml:space="preserve">CPU </w:t>
      </w:r>
      <w:r>
        <w:rPr>
          <w:rFonts w:ascii="楷体_GB2312" w:hAnsi="Times New Roman" w:eastAsia="楷体_GB2312"/>
          <w:bCs/>
          <w:sz w:val="28"/>
          <w:szCs w:val="28"/>
        </w:rPr>
        <w:t xml:space="preserve">型号中的“192-Core”是来宾报告的型号字符串，不能解释为本实例拥有192个核心。不同源码快照、编译器和实际执行窗口分别记录，不把</w:t>
      </w:r>
      <w:r>
        <w:rPr>
          <w:rFonts w:ascii="楷体_GB2312" w:hAnsi="Times New Roman" w:eastAsia="楷体_GB2312"/>
          <w:bCs/>
          <w:sz w:val="28"/>
          <w:szCs w:val="28"/>
        </w:rPr>
        <w:t xml:space="preserve"> macOS/ARM </w:t>
      </w:r>
      <w:r>
        <w:rPr>
          <w:rFonts w:ascii="楷体_GB2312" w:hAnsi="Times New Roman" w:eastAsia="楷体_GB2312"/>
          <w:bCs/>
          <w:sz w:val="28"/>
          <w:szCs w:val="28"/>
        </w:rPr>
        <w:t xml:space="preserve">历史材料写成</w:t>
      </w:r>
      <w:r>
        <w:rPr>
          <w:rFonts w:ascii="楷体_GB2312" w:hAnsi="Times New Roman" w:eastAsia="楷体_GB2312"/>
          <w:bCs/>
          <w:sz w:val="28"/>
          <w:szCs w:val="28"/>
        </w:rPr>
        <w:t xml:space="preserve"> Linux </w:t>
      </w:r>
      <w:r>
        <w:rPr>
          <w:rFonts w:ascii="楷体_GB2312" w:hAnsi="Times New Roman" w:eastAsia="楷体_GB2312"/>
          <w:bCs/>
          <w:sz w:val="28"/>
          <w:szCs w:val="28"/>
        </w:rPr>
        <w:t xml:space="preserve">实测，也不把动态检查耗时放入正式性能对照。</w:t>
      </w:r>
    </w:p>
    <w:p w14:paraId="CA160001">
      <w:pPr>
        <w:pStyle w:val="RWBody"/>
        <w:widowControl/>
        <w:adjustRightInd w:val="0"/>
        <w:snapToGrid w:val="0"/>
        <w:spacing w:line="480" w:lineRule="exact"/>
      </w:pPr>
      <w:r>
        <w:rPr>
          <w:rFonts w:ascii="楷体_GB2312" w:hAnsi="Times New Roman" w:eastAsia="楷体_GB2312"/>
          <w:bCs/>
          <w:sz w:val="28"/>
          <w:szCs w:val="28"/>
        </w:rPr>
        <w:t xml:space="preserve">表5.1记录既有KVM材料的环境；2026年10月10日受控窗口裸金属窗口按第5.9节解释，后续RAW空窗及固定输入六进程研究按第5.10节各自的新产物、资源条件和观察范围解释。</w:t>
      </w:r>
    </w:p>
    <w:bookmarkEnd w:id="62"/>
    <w:bookmarkStart w:id="63" w:name="独立向量验收与工程边界检查"/>
    <w:p>
      <w:pPr>
        <w:pStyle w:val="RWSection"/>
        <w:spacing w:before="240" w:after="240" w:line="360" w:lineRule="auto"/>
        <w:keepNext/>
        <w:keepLines/>
        <w:outlineLvl w:val="1"/>
      </w:pPr>
      <w:bookmarkStart w:id="525" w:name="rw_heading_25"/>
      <w:bookmarkEnd w:id="525"/>
      <w:r>
        <w:rPr>
          <w:rFonts w:ascii="Times New Roman" w:hAnsi="Times New Roman" w:eastAsia="黑体" w:cs="Times New Roman"/>
          <w:sz w:val="28"/>
          <w:szCs w:val="28"/>
          <w:b/>
        </w:rPr>
        <w:t>5.2　独立向量验证与接口边界检查</w:t>
      </w:r>
    </w:p>
    <w:p>
      <w:pPr>
        <w:pStyle w:val="RWBody"/>
        <w:widowControl/>
        <w:adjustRightInd w:val="0"/>
        <w:snapToGrid w:val="0"/>
        <w:spacing w:line="480" w:lineRule="exact"/>
      </w:pPr>
      <w:r>
        <w:rPr>
          <w:rFonts w:ascii="楷体_GB2312" w:hAnsi="Times New Roman" w:eastAsia="楷体_GB2312"/>
          <w:bCs/>
          <w:sz w:val="28"/>
          <w:szCs w:val="28"/>
        </w:rPr>
        <w:t xml:space="preserve">测试选用25组密钥生成、25组封装、10组解封装和20组密钥校验，共80组独立来源向量，在四种实现上累计完成320次验收。其中，解封装用例包含5组隐式拒绝输入。预期答案来自独立</w:t>
      </w:r>
      <w:r>
        <w:rPr>
          <w:rFonts w:ascii="楷体_GB2312" w:hAnsi="Times New Roman" w:eastAsia="楷体_GB2312"/>
          <w:bCs/>
          <w:sz w:val="28"/>
          <w:szCs w:val="28"/>
        </w:rPr>
        <w:t xml:space="preserve"> NIST </w:t>
      </w:r>
      <w:r>
        <w:rPr>
          <w:rFonts w:ascii="楷体_GB2312" w:hAnsi="Times New Roman" w:eastAsia="楷体_GB2312"/>
          <w:bCs/>
          <w:sz w:val="28"/>
          <w:szCs w:val="28"/>
        </w:rPr>
        <w:t xml:space="preserve">向量，不由被测实现生成。接口测试进一步覆盖空指针和错误长度，三组对参考版的差分检查各覆盖64个公开种子及三类输入。</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表5.2</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主要功能与软件检查结果</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检查对象</w:t>
            </w:r>
          </w:p>
        </w:tc>
        <w:tc>
          <w:tcPr>
            <w:tcW w:type="dxa" w:w="3969"/>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覆盖范围</w:t>
            </w:r>
          </w:p>
        </w:tc>
        <w:tc>
          <w:tcPr>
            <w:tcW w:type="dxa" w:w="3175"/>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已有结果</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独立已知答案</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四种标签，每种80组</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累计320次向量验收通过</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无效密文处理规则</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每种含5组隐式拒绝向量</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按已执行用例通过</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接口与等价</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空指针、长度、三组差分</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相应检查通过</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随机源故障</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随机源打开失败时返回错误</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已测；读取及关闭失败的测试未执行</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复核期 </w:t>
            </w:r>
            <w:r>
              <w:rPr>
                <w:rFonts w:ascii="Calibri" w:hAnsi="Calibri" w:eastAsia="宋体" w:cs="Times New Roman"/>
                <w:kern w:val="2"/>
                <w:sz w:val="21"/>
                <w:szCs w:val="22"/>
                <w:lang w:val="en-US" w:eastAsia="zh-CN" w:bidi="ar-SA"/>
              </w:rPr>
              <w:t xml:space="preserve">正式构建</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GCC </w:t>
            </w:r>
            <w:r>
              <w:rPr>
                <w:rFonts w:ascii="Calibri" w:hAnsi="Calibri" w:eastAsia="宋体" w:cs="Times New Roman"/>
                <w:kern w:val="2"/>
                <w:sz w:val="21"/>
                <w:szCs w:val="22"/>
                <w:lang w:val="en-US" w:eastAsia="zh-CN" w:bidi="ar-SA"/>
              </w:rPr>
              <w:t xml:space="preserve">普通</w:t>
            </w:r>
            <w:r>
              <w:rPr>
                <w:rFonts w:ascii="Calibri" w:hAnsi="Calibri" w:eastAsia="宋体" w:cs="Times New Roman"/>
                <w:kern w:val="2"/>
                <w:sz w:val="21"/>
                <w:szCs w:val="22"/>
                <w:lang w:val="en-US" w:eastAsia="zh-CN" w:bidi="ar-SA"/>
              </w:rPr>
              <w:t xml:space="preserve"> CTest</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34项通过</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复核期 </w:t>
            </w:r>
            <w:r>
              <w:rPr>
                <w:rFonts w:ascii="Calibri" w:hAnsi="Calibri" w:eastAsia="宋体" w:cs="Times New Roman"/>
                <w:kern w:val="2"/>
                <w:sz w:val="21"/>
                <w:szCs w:val="22"/>
                <w:lang w:val="en-US" w:eastAsia="zh-CN" w:bidi="ar-SA"/>
              </w:rPr>
              <w:t xml:space="preserve">动态检查</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Clang ASan / UBSan CTest</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34项通过</w:t>
            </w:r>
          </w:p>
        </w:tc>
      </w:tr>
      <w:tr>
        <w:trPr>
          <w:trHeight w:val="520" w:hRule="atLeast"/>
          <w:cantSplit/>
        </w:trPr>
        <w:tc>
          <w:tcPr>
            <w:tcW w:type="dxa" w:w="1814"/>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实际产物</w:t>
            </w:r>
          </w:p>
        </w:tc>
        <w:tc>
          <w:tcPr>
            <w:tcW w:type="dxa" w:w="3969"/>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后端、编译来源与编译器防护设置</w:t>
            </w:r>
          </w:p>
        </w:tc>
        <w:tc>
          <w:tcPr>
            <w:tcW w:type="dxa" w:w="3175"/>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固定配置核对通过</w:t>
            </w:r>
          </w:p>
        </w:tc>
      </w:tr>
    </w:tbl>
    <w:p>
      <w:pPr>
        <w:pStyle w:val="RWBody"/>
        <w:widowControl/>
        <w:adjustRightInd w:val="0"/>
        <w:snapToGrid w:val="0"/>
        <w:spacing w:line="480" w:lineRule="exact"/>
      </w:pPr>
      <w:r>
        <w:rPr>
          <w:rFonts w:ascii="楷体_GB2312" w:hAnsi="Times New Roman" w:eastAsia="楷体_GB2312"/>
          <w:bCs/>
          <w:sz w:val="28"/>
          <w:szCs w:val="28"/>
        </w:rPr>
        <w:t>表中320次表示80组独立来源向量在四种实现上的累计验收次数，34项表示相应构建中的软件检查项目数，两者不能相加为同一种样本数量。不同历史版本的测试项目数有所不同，按当时记录分别保存。早期动态构建的编译警告失败也保留在附录材料中，后续通过只说明后续构建的检查结果。</w:t>
      </w:r>
    </w:p>
    <w:p>
      <w:pPr>
        <w:pStyle w:val="RWBody"/>
        <w:widowControl/>
        <w:adjustRightInd w:val="0"/>
        <w:snapToGrid w:val="0"/>
        <w:spacing w:line="480" w:lineRule="exact"/>
      </w:pPr>
      <w:r>
        <w:rPr>
          <w:rFonts w:ascii="楷体_GB2312" w:hAnsi="Times New Roman" w:eastAsia="楷体_GB2312"/>
          <w:bCs/>
          <w:sz w:val="28"/>
          <w:szCs w:val="28"/>
        </w:rPr>
        <w:t>统计边界检查包括四个相同差值时的尾计数2/16、零总和时的16/16、全并列、整数范围、畸形输入和不满足适用条件的输入。它们直接针对计数定义和失败路径，避免只检查少数正常样例。四个相同非零差值对应的概率为0.125，在阈值0.01下不拒绝，这也表明系统保留有限分母产生的离散性。</w:t>
      </w:r>
    </w:p>
    <w:bookmarkEnd w:id="63"/>
    <w:bookmarkStart w:id="70" w:name="普通解封装性能与跨运行波动"/>
    <w:p>
      <w:pPr>
        <w:pStyle w:val="RWSection"/>
        <w:spacing w:before="240" w:after="240" w:line="360" w:lineRule="auto"/>
        <w:keepNext/>
        <w:keepLines/>
        <w:outlineLvl w:val="1"/>
      </w:pPr>
      <w:bookmarkStart w:id="526" w:name="rw_heading_26"/>
      <w:r>
        <w:rPr>
          <w:rFonts w:ascii="Times New Roman" w:hAnsi="Times New Roman" w:eastAsia="黑体" w:cs="Times New Roman"/>
          <w:sz w:val="28"/>
          <w:szCs w:val="28"/>
          <w:b/>
        </w:rPr>
        <w:t xml:space="preserve">5.3　</w:t>
      </w:r>
      <w:r>
        <w:rPr>
          <w:rFonts w:ascii="Times New Roman" w:hAnsi="Times New Roman" w:eastAsia="黑体" w:cs="Times New Roman"/>
          <w:sz w:val="28"/>
          <w:szCs w:val="28"/>
          <w:b/>
        </w:rPr>
        <w:t xml:space="preserve">普通解封装性能与跨运行波动</w:t>
      </w:r>
      <w:bookmarkEnd w:id="526"/>
    </w:p>
    <w:p>
      <w:pPr>
        <w:pStyle w:val="RWBody"/>
        <w:widowControl/>
        <w:adjustRightInd w:val="0"/>
        <w:snapToGrid w:val="0"/>
        <w:spacing w:line="480" w:lineRule="exact"/>
      </w:pPr>
      <w:r>
        <w:rPr>
          <w:rFonts w:ascii="楷体_GB2312" w:hAnsi="Times New Roman" w:eastAsia="楷体_GB2312"/>
          <w:bCs/>
          <w:sz w:val="28"/>
          <w:szCs w:val="28"/>
        </w:rPr>
        <w:t>普通性能比较设置六个运行块，每块中参考实现、掩码对照和正常优化对照各执行3000次正式调用与100次预热。三种实现使用相同的公开输入及类别比例，六种运行先后排列各出现一次。总计保存18份运行记录、54000条正式时间及1800次预热。轮换顺序用于减少单一固定顺序对解释的影响，但不保证所有环境混杂因素均被消除。</w:t>
      </w:r>
    </w:p>
    <w:p>
      <w:pPr>
        <w:pStyle w:val="RWBody"/>
        <w:widowControl/>
        <w:adjustRightInd w:val="0"/>
        <w:snapToGrid w:val="0"/>
        <w:spacing w:line="480" w:lineRule="exact"/>
      </w:pPr>
      <w:r>
        <w:rPr>
          <w:rFonts w:ascii="楷体_GB2312" w:hAnsi="Times New Roman" w:eastAsia="楷体_GB2312"/>
          <w:bCs/>
          <w:sz w:val="28"/>
          <w:szCs w:val="28"/>
        </w:rPr>
        <w:t>图5.2给出第一期性能实验的逐运行均值，三种实现大致处于46 μs附近。正常优化对照在第4块较高，而其余运行没有一致的单向差异。点和连接线表示六个既定运行块，便于观察波动；纵轴采用局部范围，以显示较小变化，不表示从零开始的成本大小。原始均值见表5.3。</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970719"/>
            <wp:effectExtent b="0" l="0" r="0" t="0"/>
            <wp:docPr descr="figure-5-2" title="" id="65" name="Picture"/>
            <a:graphic>
              <a:graphicData uri="http://schemas.openxmlformats.org/drawingml/2006/picture">
                <pic:pic>
                  <pic:nvPicPr>
                    <pic:cNvPr descr="ppt-render/figure-10.png" id="66" name="Picture"/>
                    <pic:cNvPicPr>
                      <a:picLocks noChangeArrowheads="1" noChangeAspect="1"/>
                    </pic:cNvPicPr>
                  </pic:nvPicPr>
                  <pic:blipFill>
                    <a:blip r:embed="rId22"/>
                    <a:stretch>
                      <a:fillRect/>
                    </a:stretch>
                  </pic:blipFill>
                  <pic:spPr bwMode="auto">
                    <a:xfrm>
                      <a:off x="0" y="0"/>
                      <a:ext cx="5688000" cy="2970719"/>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图5.2　第一期普通性能实验的逐运行均值。每点3000次调用，连线仅连接运行块，纵轴采用局部范围。</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表5.3　第一期的逐运行均值（单位：ns）</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运行块</w:t>
            </w:r>
          </w:p>
        </w:tc>
        <w:tc>
          <w:tcPr>
            <w:tcW w:type="dxa" w:w="1757"/>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参考实现</w:t>
            </w:r>
          </w:p>
        </w:tc>
        <w:tc>
          <w:tcPr>
            <w:tcW w:type="dxa" w:w="1757"/>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掩码对照</w:t>
            </w:r>
          </w:p>
        </w:tc>
        <w:tc>
          <w:tcPr>
            <w:tcW w:type="dxa" w:w="3458"/>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正常优化对照</w:t>
            </w:r>
          </w:p>
        </w:tc>
      </w:tr>
      <w:tr>
        <w:trPr>
          <w:trHeight w:val="520" w:hRule="atLeast"/>
          <w:cantSplit/>
        </w:trPr>
        <w:tc>
          <w:tcPr>
            <w:tcW w:type="dxa" w:w="198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46193.517</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46148.423</w:t>
            </w:r>
          </w:p>
        </w:tc>
        <w:tc>
          <w:tcPr>
            <w:tcW w:type="dxa" w:w="3458"/>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45925.623</w:t>
            </w:r>
          </w:p>
        </w:tc>
      </w:tr>
      <w:tr>
        <w:trPr>
          <w:trHeight w:val="520" w:hRule="atLeast"/>
          <w:cantSplit/>
        </w:trPr>
        <w:tc>
          <w:tcPr>
            <w:tcW w:type="dxa" w:w="198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46407.084</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46383.034</w:t>
            </w:r>
          </w:p>
        </w:tc>
        <w:tc>
          <w:tcPr>
            <w:tcW w:type="dxa" w:w="3458"/>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46102.585</w:t>
            </w:r>
          </w:p>
        </w:tc>
      </w:tr>
      <w:tr>
        <w:trPr>
          <w:trHeight w:val="520" w:hRule="atLeast"/>
          <w:cantSplit/>
        </w:trPr>
        <w:tc>
          <w:tcPr>
            <w:tcW w:type="dxa" w:w="198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46206.193</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46350.749</w:t>
            </w:r>
          </w:p>
        </w:tc>
        <w:tc>
          <w:tcPr>
            <w:tcW w:type="dxa" w:w="3458"/>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46209.969</w:t>
            </w:r>
          </w:p>
        </w:tc>
      </w:tr>
      <w:tr>
        <w:trPr>
          <w:trHeight w:val="520" w:hRule="atLeast"/>
          <w:cantSplit/>
        </w:trPr>
        <w:tc>
          <w:tcPr>
            <w:tcW w:type="dxa" w:w="198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46267.377</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46480.338</w:t>
            </w:r>
          </w:p>
        </w:tc>
        <w:tc>
          <w:tcPr>
            <w:tcW w:type="dxa" w:w="3458"/>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46621.075</w:t>
            </w:r>
          </w:p>
        </w:tc>
      </w:tr>
      <w:tr>
        <w:trPr>
          <w:trHeight w:val="520" w:hRule="atLeast"/>
          <w:cantSplit/>
        </w:trPr>
        <w:tc>
          <w:tcPr>
            <w:tcW w:type="dxa" w:w="198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5</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46261.240</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46401.231</w:t>
            </w:r>
          </w:p>
        </w:tc>
        <w:tc>
          <w:tcPr>
            <w:tcW w:type="dxa" w:w="3458"/>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46241.867</w:t>
            </w:r>
          </w:p>
        </w:tc>
      </w:tr>
      <w:tr>
        <w:trPr>
          <w:trHeight w:val="520" w:hRule="atLeast"/>
          <w:cantSplit/>
        </w:trPr>
        <w:tc>
          <w:tcPr>
            <w:tcW w:type="dxa" w:w="1984"/>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6</w:t>
            </w:r>
          </w:p>
        </w:tc>
        <w:tc>
          <w:tcPr>
            <w:tcW w:type="dxa" w:w="1757"/>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46077.670</w:t>
            </w:r>
          </w:p>
        </w:tc>
        <w:tc>
          <w:tcPr>
            <w:tcW w:type="dxa" w:w="1757"/>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46261.061</w:t>
            </w:r>
          </w:p>
        </w:tc>
        <w:tc>
          <w:tcPr>
            <w:tcW w:type="dxa" w:w="3458"/>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46131.357</w:t>
            </w:r>
          </w:p>
        </w:tc>
      </w:tr>
    </w:tbl>
    <w:p>
      <w:pPr>
        <w:pStyle w:val="RWBody"/>
        <w:widowControl/>
        <w:adjustRightInd w:val="0"/>
        <w:snapToGrid w:val="0"/>
        <w:spacing w:line="480" w:lineRule="exact"/>
      </w:pPr>
      <w:r>
        <w:rPr>
          <w:rFonts w:ascii="楷体_GB2312" w:hAnsi="Times New Roman" w:eastAsia="楷体_GB2312"/>
          <w:bCs/>
          <w:sz w:val="28"/>
          <w:szCs w:val="28"/>
        </w:rPr>
        <w:t xml:space="preserve">来源：第一期</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原始</w:t>
      </w:r>
      <w:r>
        <w:rPr>
          <w:rFonts w:ascii="楷体_GB2312" w:hAnsi="Times New Roman" w:eastAsia="楷体_GB2312"/>
          <w:bCs/>
          <w:sz w:val="28"/>
          <w:szCs w:val="28"/>
        </w:rPr>
        <w:t xml:space="preserve"> C </w:t>
      </w:r>
      <w:r>
        <w:rPr>
          <w:rFonts w:ascii="楷体_GB2312" w:hAnsi="Times New Roman" w:eastAsia="楷体_GB2312"/>
          <w:bCs/>
          <w:sz w:val="28"/>
          <w:szCs w:val="28"/>
        </w:rPr>
        <w:t xml:space="preserve">性能报告；均值保留至0.001</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ns用于对应原表，不表示时钟具有该精度。</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表5.4　第一期的平均差、相对开销与探索性区间</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比较对象</w:t>
            </w:r>
          </w:p>
        </w:tc>
        <w:tc>
          <w:tcPr>
            <w:tcW w:type="dxa" w:w="1757"/>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平均差</w:t>
            </w:r>
            <w:r>
              <w:rPr>
                <w:rFonts w:ascii="Calibri" w:hAnsi="Calibri" w:eastAsia="宋体" w:cs="Times New Roman"/>
                <w:kern w:val="2"/>
                <w:sz w:val="21"/>
                <w:szCs w:val="22"/>
                <w:lang w:val="en-US" w:eastAsia="zh-CN" w:bidi="ar-SA"/>
                <w:b/>
              </w:rPr>
              <w:t xml:space="preserve"> / ns</w:t>
            </w:r>
          </w:p>
        </w:tc>
        <w:tc>
          <w:tcPr>
            <w:tcW w:type="dxa" w:w="1757"/>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相对开销</w:t>
            </w:r>
          </w:p>
        </w:tc>
        <w:tc>
          <w:tcPr>
            <w:tcW w:type="dxa" w:w="3458"/>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99%探索区间</w:t>
            </w:r>
            <w:r>
              <w:rPr>
                <w:rFonts w:ascii="Calibri" w:hAnsi="Calibri" w:eastAsia="宋体" w:cs="Times New Roman"/>
                <w:kern w:val="2"/>
                <w:sz w:val="21"/>
                <w:szCs w:val="22"/>
                <w:lang w:val="en-US" w:eastAsia="zh-CN" w:bidi="ar-SA"/>
                <w:b/>
              </w:rPr>
              <w:t xml:space="preserve"> / ns</w:t>
            </w:r>
          </w:p>
        </w:tc>
      </w:tr>
      <w:tr>
        <w:trPr>
          <w:trHeight w:val="520" w:hRule="atLeast"/>
          <w:cantSplit/>
        </w:trPr>
        <w:tc>
          <w:tcPr>
            <w:tcW w:type="dxa" w:w="198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掩码对照 − 参考实现</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101.959</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0.220522%</w:t>
            </w:r>
          </w:p>
        </w:tc>
        <w:tc>
          <w:tcPr>
            <w:tcW w:type="dxa" w:w="3458"/>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[−3.725, 189.399]</w:t>
            </w:r>
          </w:p>
        </w:tc>
      </w:tr>
      <w:tr>
        <w:trPr>
          <w:trHeight w:val="520" w:hRule="atLeast"/>
          <w:cantSplit/>
        </w:trPr>
        <w:tc>
          <w:tcPr>
            <w:tcW w:type="dxa" w:w="1984"/>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正常优化对照 − 参考实现</w:t>
            </w:r>
          </w:p>
        </w:tc>
        <w:tc>
          <w:tcPr>
            <w:tcW w:type="dxa" w:w="1757"/>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−30.101</w:t>
            </w:r>
          </w:p>
        </w:tc>
        <w:tc>
          <w:tcPr>
            <w:tcW w:type="dxa" w:w="1757"/>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−0.065103%</w:t>
            </w:r>
          </w:p>
        </w:tc>
        <w:tc>
          <w:tcPr>
            <w:tcW w:type="dxa" w:w="3458"/>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[−240.918, 193.997]</w:t>
            </w:r>
          </w:p>
        </w:tc>
      </w:tr>
    </w:tbl>
    <w:p>
      <w:pPr>
        <w:pStyle w:val="RWBody"/>
        <w:widowControl/>
        <w:adjustRightInd w:val="0"/>
        <w:snapToGrid w:val="0"/>
        <w:spacing w:line="480" w:lineRule="exact"/>
      </w:pPr>
      <w:r>
        <w:rPr>
          <w:rFonts w:ascii="楷体_GB2312" w:hAnsi="Times New Roman" w:eastAsia="楷体_GB2312"/>
          <w:bCs/>
          <w:sz w:val="28"/>
          <w:szCs w:val="28"/>
        </w:rPr>
        <w:t>两个探索性区间均包含零，尚不能据此确定开销变化的方向。区间以运行对独立同分布为模型，通过自助法得到；虚拟机环境中的这一前提没有得到证明。掩码对照还保留局部优化限制，其他两种实现正常优化。因此，比较同时包含编译条件与实现写法的差异，不能将全部变化解释为防护措施的单独效应。</w:t>
      </w:r>
    </w:p>
    <w:p>
      <w:pPr>
        <w:pStyle w:val="RWBody"/>
        <w:widowControl/>
        <w:adjustRightInd w:val="0"/>
        <w:snapToGrid w:val="0"/>
        <w:spacing w:line="480" w:lineRule="exact"/>
      </w:pPr>
      <w:r>
        <w:rPr>
          <w:rFonts w:ascii="楷体_GB2312" w:hAnsi="Times New Roman" w:eastAsia="楷体_GB2312"/>
          <w:bCs/>
          <w:sz w:val="28"/>
          <w:szCs w:val="28"/>
        </w:rPr>
        <w:t>更换快照后的复核期性能结果见图5.3。参考实现第1块、正常优化对照第2块、掩码对照第5块和正常优化对照第6块出现较高均值，说明单次运行状态仍可能影响结果。这两期使用各自的源码与程序，故分别报告，不把它们合并为同一个性能估计。</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970719"/>
            <wp:effectExtent b="0" l="0" r="0" t="0"/>
            <wp:docPr descr="figure-5-3" title="" id="68" name="Picture"/>
            <a:graphic>
              <a:graphicData uri="http://schemas.openxmlformats.org/drawingml/2006/picture">
                <pic:pic>
                  <pic:nvPicPr>
                    <pic:cNvPr descr="ppt-render/figure-11.png" id="69" name="Picture"/>
                    <pic:cNvPicPr>
                      <a:picLocks noChangeArrowheads="1" noChangeAspect="1"/>
                    </pic:cNvPicPr>
                  </pic:nvPicPr>
                  <pic:blipFill>
                    <a:blip r:embed="rId23"/>
                    <a:stretch>
                      <a:fillRect/>
                    </a:stretch>
                  </pic:blipFill>
                  <pic:spPr bwMode="auto">
                    <a:xfrm>
                      <a:off x="0" y="0"/>
                      <a:ext cx="5688000" cy="2970719"/>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图5.3　复核期普通性能实验的逐运行均值。每点3000次调用，局部纵轴与图5.2的范围不同，跨图比较须读取刻度。</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表5.5　复核期普通性能的比较结果</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比较对象</w:t>
            </w:r>
          </w:p>
        </w:tc>
        <w:tc>
          <w:tcPr>
            <w:tcW w:type="dxa" w:w="1757"/>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平均差</w:t>
            </w:r>
            <w:r>
              <w:rPr>
                <w:rFonts w:ascii="Calibri" w:hAnsi="Calibri" w:eastAsia="宋体" w:cs="Times New Roman"/>
                <w:kern w:val="2"/>
                <w:sz w:val="21"/>
                <w:szCs w:val="22"/>
                <w:lang w:val="en-US" w:eastAsia="zh-CN" w:bidi="ar-SA"/>
                <w:b/>
              </w:rPr>
              <w:t xml:space="preserve"> / ns</w:t>
            </w:r>
          </w:p>
        </w:tc>
        <w:tc>
          <w:tcPr>
            <w:tcW w:type="dxa" w:w="1757"/>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相对开销</w:t>
            </w:r>
          </w:p>
        </w:tc>
        <w:tc>
          <w:tcPr>
            <w:tcW w:type="dxa" w:w="3458"/>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99%探索区间</w:t>
            </w:r>
            <w:r>
              <w:rPr>
                <w:rFonts w:ascii="Calibri" w:hAnsi="Calibri" w:eastAsia="宋体" w:cs="Times New Roman"/>
                <w:kern w:val="2"/>
                <w:sz w:val="21"/>
                <w:szCs w:val="22"/>
                <w:lang w:val="en-US" w:eastAsia="zh-CN" w:bidi="ar-SA"/>
                <w:b/>
              </w:rPr>
              <w:t xml:space="preserve"> / ns</w:t>
            </w:r>
          </w:p>
        </w:tc>
      </w:tr>
      <w:tr>
        <w:trPr>
          <w:trHeight w:val="520" w:hRule="atLeast"/>
          <w:cantSplit/>
        </w:trPr>
        <w:tc>
          <w:tcPr>
            <w:tcW w:type="dxa" w:w="198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掩码对照 − 参考实现</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380.802</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0.824599%</w:t>
            </w:r>
          </w:p>
        </w:tc>
        <w:tc>
          <w:tcPr>
            <w:tcW w:type="dxa" w:w="3458"/>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[−769.377, 1518.392]</w:t>
            </w:r>
          </w:p>
        </w:tc>
      </w:tr>
      <w:tr>
        <w:trPr>
          <w:trHeight w:val="520" w:hRule="atLeast"/>
          <w:cantSplit/>
        </w:trPr>
        <w:tc>
          <w:tcPr>
            <w:tcW w:type="dxa" w:w="1984"/>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正常优化对照 − 参考实现</w:t>
            </w:r>
          </w:p>
        </w:tc>
        <w:tc>
          <w:tcPr>
            <w:tcW w:type="dxa" w:w="1757"/>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504.065</w:t>
            </w:r>
          </w:p>
        </w:tc>
        <w:tc>
          <w:tcPr>
            <w:tcW w:type="dxa" w:w="1757"/>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1.091517%</w:t>
            </w:r>
          </w:p>
        </w:tc>
        <w:tc>
          <w:tcPr>
            <w:tcW w:type="dxa" w:w="3458"/>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[−806.367, 1730.791]</w:t>
            </w:r>
          </w:p>
        </w:tc>
      </w:tr>
    </w:tbl>
    <w:p>
      <w:pPr>
        <w:pStyle w:val="RWBody"/>
        <w:widowControl/>
        <w:adjustRightInd w:val="0"/>
        <w:snapToGrid w:val="0"/>
        <w:spacing w:line="480" w:lineRule="exact"/>
      </w:pPr>
      <w:r>
        <w:rPr>
          <w:rFonts w:ascii="楷体_GB2312" w:hAnsi="Times New Roman" w:eastAsia="楷体_GB2312"/>
          <w:bCs/>
          <w:sz w:val="28"/>
          <w:szCs w:val="28"/>
        </w:rPr>
        <w:t>复核期两个探索区间同样跨零。完整外层计时窗口合计约4.162 s，正式记录54000条、预热1800次。结合第一期与复核期，可以描述普通负载下三种产物的运行开销及波动，这些普通负载测量本身不用于判定防护有效；同机人工对照的前后结果见第5.8节。</w:t>
      </w:r>
    </w:p>
    <w:bookmarkEnd w:id="70"/>
    <w:bookmarkStart w:id="74" w:name="精确复算效率与成本边界复核"/>
    <w:p>
      <w:pPr>
        <w:pStyle w:val="RWSection"/>
        <w:spacing w:before="240" w:after="240" w:line="360" w:lineRule="auto"/>
        <w:keepNext/>
        <w:keepLines/>
        <w:outlineLvl w:val="1"/>
      </w:pPr>
      <w:bookmarkStart w:id="9014" w:name="paper_heading_9014"/>
      <w:r>
        <w:rPr>
          <w:rFonts w:ascii="Times New Roman" w:hAnsi="Times New Roman" w:eastAsia="黑体" w:cs="Times New Roman"/>
          <w:sz w:val="28"/>
          <w:szCs w:val="28"/>
          <w:b/>
        </w:rPr>
        <w:t>5.4　精确置换计算效率与计时范围复核</w:t>
      </w:r>
      <w:bookmarkEnd w:id="9014"/>
    </w:p>
    <w:p>
      <w:pPr>
        <w:pStyle w:val="RWBody"/>
        <w:widowControl/>
        <w:adjustRightInd w:val="0"/>
        <w:snapToGrid w:val="0"/>
        <w:spacing w:line="480" w:lineRule="exact"/>
      </w:pPr>
      <w:r>
        <w:rPr>
          <w:rFonts w:ascii="楷体_GB2312" w:hAnsi="Times New Roman" w:eastAsia="楷体_GB2312"/>
          <w:bCs/>
          <w:sz w:val="28"/>
          <w:szCs w:val="28"/>
        </w:rPr>
        <w:t xml:space="preserve">效率比较限定为公开成对数据的精确统计复算。对照基线采用</w:t>
      </w:r>
      <w:r>
        <w:rPr>
          <w:rFonts w:ascii="楷体_GB2312" w:hAnsi="Times New Roman" w:eastAsia="楷体_GB2312"/>
          <w:bCs/>
          <w:sz w:val="28"/>
          <w:szCs w:val="28"/>
        </w:rPr>
        <w:t xml:space="preserve"> SciPy 1.16.3 / NumPy </w:t>
      </w:r>
      <w:r>
        <w:rPr>
          <w:rFonts w:ascii="楷体_GB2312" w:hAnsi="Times New Roman" w:eastAsia="楷体_GB2312"/>
          <w:bCs/>
          <w:sz w:val="28"/>
          <w:szCs w:val="28"/>
        </w:rPr>
        <w:t xml:space="preserve">2.3.5，使用完整</w:t>
      </w:r>
      <w:r>
        <w:rPr>
          <w:rFonts w:ascii="楷体_GB2312" w:hAnsi="Times New Roman" w:eastAsia="楷体_GB2312"/>
          <w:bCs/>
          <w:sz w:val="28"/>
          <w:szCs w:val="28"/>
        </w:rPr>
        <w:t xml:space="preserve"> </w:t>
      </w:r>
      <m:oMath>
        <m:sSup>
          <m:e>
            <m:r>
              <w:rPr>
                <w:sz w:val="28"/>
              </w:rPr>
              <m:t>2</m:t>
            </m:r>
          </m:e>
          <m:sup>
            <m:r>
              <w:rPr>
                <w:sz w:val="28"/>
              </w:rPr>
              <m:t>20</m:t>
            </m:r>
          </m:sup>
        </m:sSup>
      </m:oMath>
      <w:r>
        <w:rPr>
          <w:rFonts w:ascii="楷体_GB2312" w:hAnsi="Times New Roman" w:eastAsia="楷体_GB2312"/>
          <w:bCs/>
          <w:sz w:val="28"/>
          <w:szCs w:val="28"/>
        </w:rPr>
        <w:t xml:space="preserve"> </w:t>
      </w:r>
      <w:r>
        <w:rPr>
          <w:rFonts w:ascii="楷体_GB2312" w:hAnsi="Times New Roman" w:eastAsia="楷体_GB2312"/>
          <w:bCs/>
          <w:sz w:val="28"/>
          <w:szCs w:val="28"/>
        </w:rPr>
        <w:t xml:space="preserve">种交换、相同整数差向量、相同绝对和值统计量及包含等值的上尾。基线启用向量化与固定批量，候选使用</w:t>
      </w:r>
      <w:r>
        <w:rPr>
          <w:rFonts w:ascii="楷体_GB2312" w:hAnsi="Times New Roman" w:eastAsia="楷体_GB2312"/>
          <w:bCs/>
          <w:sz w:val="28"/>
          <w:szCs w:val="28"/>
        </w:rPr>
        <w:t xml:space="preserve"> C11 </w:t>
      </w:r>
      <w:r>
        <w:rPr>
          <w:rFonts w:ascii="楷体_GB2312" w:hAnsi="Times New Roman" w:eastAsia="楷体_GB2312"/>
          <w:bCs/>
          <w:sz w:val="28"/>
          <w:szCs w:val="28"/>
        </w:rPr>
        <w:t xml:space="preserve">整数枚举。两者首先核对尾计数和判定一致，再比较耗时，避免以不同工作量形成表面优势。</w:t>
      </w:r>
    </w:p>
    <w:p>
      <w:pPr>
        <w:pStyle w:val="RWBody"/>
        <w:widowControl/>
        <w:adjustRightInd w:val="0"/>
        <w:snapToGrid w:val="0"/>
        <w:spacing w:line="480" w:lineRule="exact"/>
      </w:pPr>
      <w:r>
        <w:rPr>
          <w:rFonts w:ascii="楷体_GB2312" w:hAnsi="Times New Roman" w:eastAsia="楷体_GB2312"/>
          <w:bCs/>
          <w:sz w:val="28"/>
          <w:szCs w:val="28"/>
        </w:rPr>
        <w:t xml:space="preserve">开发阶段使用两份固定文件、12次进程进行兼容检查与选择；确认阶段采用八份新冻结任务，每方法每任务重复三次，共48次完整进程。所有尾计数与判定一致，每个任务的最大</w:t>
      </w:r>
      <w:r>
        <w:rPr>
          <w:rFonts w:ascii="楷体_GB2312" w:hAnsi="Times New Roman" w:eastAsia="楷体_GB2312"/>
          <w:bCs/>
          <w:sz w:val="28"/>
          <w:szCs w:val="28"/>
        </w:rPr>
        <w:t xml:space="preserve"> C </w:t>
      </w:r>
      <w:r>
        <w:rPr>
          <w:rFonts w:ascii="楷体_GB2312" w:hAnsi="Times New Roman" w:eastAsia="楷体_GB2312"/>
          <w:bCs/>
          <w:sz w:val="28"/>
          <w:szCs w:val="28"/>
        </w:rPr>
        <w:t xml:space="preserve">耗时均小于该任务的最小</w:t>
      </w:r>
      <w:r>
        <w:rPr>
          <w:rFonts w:ascii="楷体_GB2312" w:hAnsi="Times New Roman" w:eastAsia="楷体_GB2312"/>
          <w:bCs/>
          <w:sz w:val="28"/>
          <w:szCs w:val="28"/>
        </w:rPr>
        <w:t xml:space="preserve"> SciPy </w:t>
      </w:r>
      <w:r>
        <w:rPr>
          <w:rFonts w:ascii="楷体_GB2312" w:hAnsi="Times New Roman" w:eastAsia="楷体_GB2312"/>
          <w:bCs/>
          <w:sz w:val="28"/>
          <w:szCs w:val="28"/>
        </w:rPr>
        <w:t xml:space="preserve">耗时。设第</w:t>
      </w:r>
      <w:r>
        <w:rPr>
          <w:rFonts w:ascii="楷体_GB2312" w:hAnsi="Times New Roman" w:eastAsia="楷体_GB2312"/>
          <w:bCs/>
          <w:sz w:val="28"/>
          <w:szCs w:val="28"/>
        </w:rPr>
        <w:t xml:space="preserve"> </w:t>
      </w:r>
      <m:oMath>
        <m:r>
          <w:rPr>
            <w:sz w:val="28"/>
          </w:rPr>
          <m:t>q</m:t>
        </m:r>
      </m:oMath>
      <w:r>
        <w:rPr>
          <w:rFonts w:ascii="楷体_GB2312" w:hAnsi="Times New Roman" w:eastAsia="楷体_GB2312"/>
          <w:bCs/>
          <w:sz w:val="28"/>
          <w:szCs w:val="28"/>
        </w:rPr>
        <w:t xml:space="preserve"> </w:t>
      </w:r>
      <w:r>
        <w:rPr>
          <w:rFonts w:ascii="楷体_GB2312" w:hAnsi="Times New Roman" w:eastAsia="楷体_GB2312"/>
          <w:bCs/>
          <w:sz w:val="28"/>
          <w:szCs w:val="28"/>
        </w:rPr>
        <w:t xml:space="preserve">个对应重复的候选与基线窗口分别为</w:t>
      </w:r>
      <w:r>
        <w:rPr>
          <w:rFonts w:ascii="楷体_GB2312" w:hAnsi="Times New Roman" w:eastAsia="楷体_GB2312"/>
          <w:bCs/>
          <w:sz w:val="28"/>
          <w:szCs w:val="28"/>
        </w:rPr>
        <w:t xml:space="preserve"> </w:t>
      </w:r>
      <m:oMath>
        <m:sSub>
          <m:e>
            <m:r>
              <w:rPr>
                <w:sz w:val="28"/>
              </w:rPr>
              <m:t>C</m:t>
            </m:r>
          </m:e>
          <m:sub>
            <m:r>
              <w:rPr>
                <w:sz w:val="28"/>
              </w:rPr>
              <m:t>q</m:t>
            </m:r>
          </m:sub>
        </m:sSub>
      </m:oMath>
      <w:r>
        <w:rPr>
          <w:rFonts w:ascii="楷体_GB2312" w:hAnsi="Times New Roman" w:eastAsia="楷体_GB2312"/>
          <w:bCs/>
          <w:sz w:val="28"/>
          <w:szCs w:val="28"/>
        </w:rPr>
        <w:t xml:space="preserve">、</w:t>
      </w:r>
      <m:oMath>
        <m:sSub>
          <m:e>
            <m:r>
              <w:rPr>
                <w:sz w:val="28"/>
              </w:rPr>
              <m:t>B</m:t>
            </m:r>
          </m:e>
          <m:sub>
            <m:r>
              <w:rPr>
                <w:sz w:val="28"/>
              </w:rPr>
              <m:t>q</m:t>
            </m:r>
          </m:sub>
        </m:sSub>
      </m:oMath>
      <w:r>
        <w:rPr>
          <w:rFonts w:ascii="楷体_GB2312" w:hAnsi="Times New Roman" w:eastAsia="楷体_GB2312"/>
          <w:bCs/>
          <w:sz w:val="28"/>
          <w:szCs w:val="28"/>
        </w:rPr>
        <w:t xml:space="preserve">，比较比值定义为</w:t>
      </w:r>
    </w:p>
    <w:p>
      <w:pPr>
        <w:pStyle w:val="RWBody"/>
        <w:keepLines/>
        <w:widowControl/>
        <w:tabs>
          <w:tab w:pos="4819" w:val="center"/>
          <w:tab w:pos="9638" w:val="right"/>
        </w:tabs>
        <w:spacing w:line="360" w:lineRule="auto" w:before="140" w:after="160"/>
        <w:ind w:firstLine="0"/>
        <w:snapToGrid w:val="0"/>
      </w:pPr>
      <w:r>
        <w:tab/>
      </w:r>
      <m:oMath>
        <m:sSub>
          <m:e>
            <m:r>
              <w:rPr>
                <w:sz w:val="28"/>
              </w:rPr>
              <m:t>ρ</m:t>
            </m:r>
          </m:e>
          <m:sub>
            <m:r>
              <w:rPr>
                <w:sz w:val="28"/>
              </w:rPr>
              <m:t>q</m:t>
            </m:r>
          </m:sub>
        </m:sSub>
        <m:r>
          <m:rPr>
            <m:sty m:val="p"/>
          </m:rPr>
          <w:rPr>
            <w:sz w:val="28"/>
          </w:rPr>
          <m:t>=</m:t>
        </m:r>
        <m:f>
          <m:fPr>
            <m:type m:val="bar"/>
          </m:fPr>
          <m:num>
            <m:sSub>
              <m:e>
                <m:r>
                  <w:rPr>
                    <w:sz w:val="28"/>
                  </w:rPr>
                  <m:t>C</m:t>
                </m:r>
              </m:e>
              <m:sub>
                <m:r>
                  <w:rPr>
                    <w:sz w:val="28"/>
                  </w:rPr>
                  <m:t>q</m:t>
                </m:r>
              </m:sub>
            </m:sSub>
          </m:num>
          <m:den>
            <m:sSub>
              <m:e>
                <m:r>
                  <w:rPr>
                    <w:sz w:val="28"/>
                  </w:rPr>
                  <m:t>B</m:t>
                </m:r>
              </m:e>
              <m:sub>
                <m:r>
                  <w:rPr>
                    <w:sz w:val="28"/>
                  </w:rPr>
                  <m:t>q</m:t>
                </m:r>
              </m:sub>
            </m:sSub>
          </m:den>
        </m:f>
        <m:r>
          <m:rPr>
            <m:sty m:val="p"/>
          </m:rPr>
          <w:rPr>
            <w:sz w:val="28"/>
          </w:rPr>
          <m:t>.</m:t>
        </m:r>
      </m:oMath>
      <w:r>
        <w:rPr>
          <w:rFonts w:ascii="Times New Roman" w:hAnsi="Times New Roman" w:eastAsia="SimSun"/>
          <w:sz w:val="22"/>
        </w:rPr>
        <w:tab/>
        <w:t>(5-1)</w:t>
      </w:r>
    </w:p>
    <w:p>
      <w:pPr>
        <w:pStyle w:val="RWBody"/>
        <w:widowControl/>
        <w:adjustRightInd w:val="0"/>
        <w:snapToGrid w:val="0"/>
        <w:spacing w:line="480" w:lineRule="exact"/>
      </w:pPr>
      <w:r>
        <w:rPr>
          <w:rFonts w:ascii="楷体_GB2312" w:hAnsi="Times New Roman" w:eastAsia="楷体_GB2312"/>
          <w:bCs/>
          <w:sz w:val="28"/>
          <w:szCs w:val="28"/>
        </w:rPr>
        <w:t xml:space="preserve">原确认中24个对应比值的中位数为0.001388504，范围为0.001139408至0.001734854。这个中位数是逐次比值的汇总，不等同于总耗时之比。确认观察窗口为56.487808</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s，开发为14.048571</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s，均按原冻结预算记录。</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970719"/>
            <wp:effectExtent b="0" l="0" r="0" t="0"/>
            <wp:docPr descr="figure-5-4" title="" id="72" name="Picture"/>
            <a:graphic>
              <a:graphicData uri="http://schemas.openxmlformats.org/drawingml/2006/picture">
                <pic:pic>
                  <pic:nvPicPr>
                    <pic:cNvPr descr="ppt-render/figure-12.png" id="73" name="Picture"/>
                    <pic:cNvPicPr>
                      <a:picLocks noChangeArrowheads="1" noChangeAspect="1"/>
                    </pic:cNvPicPr>
                  </pic:nvPicPr>
                  <pic:blipFill>
                    <a:blip r:embed="rId24"/>
                    <a:stretch>
                      <a:fillRect/>
                    </a:stretch>
                  </pic:blipFill>
                  <pic:spPr bwMode="auto">
                    <a:xfrm>
                      <a:off x="0" y="0"/>
                      <a:ext cx="5688000" cy="2970719"/>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图5.4　精确置换计算的累计耗时。两种计时范围各含八任务、每方法每任务三次记录；纵轴为对数刻度，启动准备时间另见表5.6。</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表5.6</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固定精确置换计算的成本与一致性</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3515"/>
        <w:gridCol w:w="2721"/>
        <w:gridCol w:w="2721"/>
      </w:tblGrid>
      <w:tr>
        <w:trPr>
          <w:trHeight w:val="520" w:hRule="atLeast"/>
          <w:tblHeader w:val="on"/>
          <w:cantSplit/>
          <w:tblHeader/>
        </w:trPr>
        <w:tc>
          <w:tcPr>
            <w:tcW w:type="dxa" w:w="3515"/>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项目</w:t>
            </w:r>
          </w:p>
        </w:tc>
        <w:tc>
          <w:tcPr>
            <w:tcW w:type="dxa" w:w="2721"/>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完整进程确认</w:t>
            </w:r>
          </w:p>
        </w:tc>
        <w:tc>
          <w:tcPr>
            <w:tcW w:type="dxa" w:w="2721"/>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SciPy </w:t>
            </w:r>
            <w:r>
              <w:rPr>
                <w:rFonts w:ascii="Calibri" w:hAnsi="Calibri" w:eastAsia="宋体" w:cs="Times New Roman"/>
                <w:kern w:val="2"/>
                <w:sz w:val="21"/>
                <w:szCs w:val="22"/>
                <w:lang w:val="en-US" w:eastAsia="zh-CN" w:bidi="ar-SA"/>
                <w:b/>
              </w:rPr>
              <w:t xml:space="preserve">预导入复核</w:t>
            </w:r>
          </w:p>
        </w:tc>
      </w:tr>
      <w:tr>
        <w:trPr>
          <w:trHeight w:val="520" w:hRule="atLeast"/>
          <w:cantSplit/>
        </w:trPr>
        <w:tc>
          <w:tcPr>
            <w:tcW w:type="dxa" w:w="351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固定任务数</w:t>
            </w:r>
          </w:p>
        </w:tc>
        <w:tc>
          <w:tcPr>
            <w:tcW w:type="dxa" w:w="2721"/>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8</w:t>
            </w:r>
          </w:p>
        </w:tc>
        <w:tc>
          <w:tcPr>
            <w:tcW w:type="dxa" w:w="2721"/>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同一8个任务</w:t>
            </w:r>
          </w:p>
        </w:tc>
      </w:tr>
      <w:tr>
        <w:trPr>
          <w:trHeight w:val="520" w:hRule="atLeast"/>
          <w:cantSplit/>
        </w:trPr>
        <w:tc>
          <w:tcPr>
            <w:tcW w:type="dxa" w:w="351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两方法进程</w:t>
            </w:r>
            <w:r>
              <w:rPr>
                <w:rFonts w:ascii="Calibri" w:hAnsi="Calibri" w:eastAsia="宋体" w:cs="Times New Roman"/>
                <w:kern w:val="2"/>
                <w:sz w:val="21"/>
                <w:szCs w:val="22"/>
                <w:lang w:val="en-US" w:eastAsia="zh-CN" w:bidi="ar-SA"/>
              </w:rPr>
              <w:t xml:space="preserve"> / </w:t>
            </w:r>
            <w:r>
              <w:rPr>
                <w:rFonts w:ascii="Calibri" w:hAnsi="Calibri" w:eastAsia="宋体" w:cs="Times New Roman"/>
                <w:kern w:val="2"/>
                <w:sz w:val="21"/>
                <w:szCs w:val="22"/>
                <w:lang w:val="en-US" w:eastAsia="zh-CN" w:bidi="ar-SA"/>
              </w:rPr>
              <w:t xml:space="preserve">窗口总数</w:t>
            </w:r>
          </w:p>
        </w:tc>
        <w:tc>
          <w:tcPr>
            <w:tcW w:type="dxa" w:w="2721"/>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48</w:t>
            </w:r>
          </w:p>
        </w:tc>
        <w:tc>
          <w:tcPr>
            <w:tcW w:type="dxa" w:w="2721"/>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48</w:t>
            </w:r>
          </w:p>
        </w:tc>
      </w:tr>
      <w:tr>
        <w:trPr>
          <w:trHeight w:val="520" w:hRule="atLeast"/>
          <w:cantSplit/>
        </w:trPr>
        <w:tc>
          <w:tcPr>
            <w:tcW w:type="dxa" w:w="351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SciPy </w:t>
            </w:r>
            <w:r>
              <w:rPr>
                <w:rFonts w:ascii="Calibri" w:hAnsi="Calibri" w:eastAsia="宋体" w:cs="Times New Roman"/>
                <w:kern w:val="2"/>
                <w:sz w:val="21"/>
                <w:szCs w:val="22"/>
                <w:lang w:val="en-US" w:eastAsia="zh-CN" w:bidi="ar-SA"/>
              </w:rPr>
              <w:t xml:space="preserve">窗口合计</w:t>
            </w:r>
            <w:r>
              <w:rPr>
                <w:rFonts w:ascii="Calibri" w:hAnsi="Calibri" w:eastAsia="宋体" w:cs="Times New Roman"/>
                <w:kern w:val="2"/>
                <w:sz w:val="21"/>
                <w:szCs w:val="22"/>
                <w:lang w:val="en-US" w:eastAsia="zh-CN" w:bidi="ar-SA"/>
              </w:rPr>
              <w:t xml:space="preserve"> / s</w:t>
            </w:r>
          </w:p>
        </w:tc>
        <w:tc>
          <w:tcPr>
            <w:tcW w:type="dxa" w:w="2721"/>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56.401718</w:t>
            </w:r>
          </w:p>
        </w:tc>
        <w:tc>
          <w:tcPr>
            <w:tcW w:type="dxa" w:w="2721"/>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49.704188</w:t>
            </w:r>
          </w:p>
        </w:tc>
      </w:tr>
      <w:tr>
        <w:trPr>
          <w:trHeight w:val="520" w:hRule="atLeast"/>
          <w:cantSplit/>
        </w:trPr>
        <w:tc>
          <w:tcPr>
            <w:tcW w:type="dxa" w:w="351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C </w:t>
            </w:r>
            <w:r>
              <w:rPr>
                <w:rFonts w:ascii="Calibri" w:hAnsi="Calibri" w:eastAsia="宋体" w:cs="Times New Roman"/>
                <w:kern w:val="2"/>
                <w:sz w:val="21"/>
                <w:szCs w:val="22"/>
                <w:lang w:val="en-US" w:eastAsia="zh-CN" w:bidi="ar-SA"/>
              </w:rPr>
              <w:t xml:space="preserve">完整进程合计</w:t>
            </w:r>
            <w:r>
              <w:rPr>
                <w:rFonts w:ascii="Calibri" w:hAnsi="Calibri" w:eastAsia="宋体" w:cs="Times New Roman"/>
                <w:kern w:val="2"/>
                <w:sz w:val="21"/>
                <w:szCs w:val="22"/>
                <w:lang w:val="en-US" w:eastAsia="zh-CN" w:bidi="ar-SA"/>
              </w:rPr>
              <w:t xml:space="preserve"> / s</w:t>
            </w:r>
          </w:p>
        </w:tc>
        <w:tc>
          <w:tcPr>
            <w:tcW w:type="dxa" w:w="2721"/>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0.080189</w:t>
            </w:r>
          </w:p>
        </w:tc>
        <w:tc>
          <w:tcPr>
            <w:tcW w:type="dxa" w:w="2721"/>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0.079016</w:t>
            </w:r>
          </w:p>
        </w:tc>
      </w:tr>
      <w:tr>
        <w:trPr>
          <w:trHeight w:val="520" w:hRule="atLeast"/>
          <w:cantSplit/>
        </w:trPr>
        <w:tc>
          <w:tcPr>
            <w:tcW w:type="dxa" w:w="351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SciPy启动准备时间 / s</w:t>
            </w:r>
          </w:p>
        </w:tc>
        <w:tc>
          <w:tcPr>
            <w:tcW w:type="dxa" w:w="2721"/>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计入完整进程</w:t>
            </w:r>
          </w:p>
        </w:tc>
        <w:tc>
          <w:tcPr>
            <w:tcW w:type="dxa" w:w="2721"/>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6.559904，另列</w:t>
            </w:r>
          </w:p>
        </w:tc>
      </w:tr>
      <w:tr>
        <w:trPr>
          <w:trHeight w:val="520" w:hRule="atLeast"/>
          <w:cantSplit/>
        </w:trPr>
        <w:tc>
          <w:tcPr>
            <w:tcW w:type="dxa" w:w="351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逐次比值中位数</w:t>
            </w:r>
          </w:p>
        </w:tc>
        <w:tc>
          <w:tcPr>
            <w:tcW w:type="dxa" w:w="2721"/>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0.001388504</w:t>
            </w:r>
          </w:p>
        </w:tc>
        <w:tc>
          <w:tcPr>
            <w:tcW w:type="dxa" w:w="2721"/>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0.001562070</w:t>
            </w:r>
          </w:p>
        </w:tc>
      </w:tr>
      <w:tr>
        <w:trPr>
          <w:trHeight w:val="520" w:hRule="atLeast"/>
          <w:cantSplit/>
        </w:trPr>
        <w:tc>
          <w:tcPr>
            <w:tcW w:type="dxa" w:w="3515"/>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精确尾计数及判定</w:t>
            </w:r>
          </w:p>
        </w:tc>
        <w:tc>
          <w:tcPr>
            <w:tcW w:type="dxa" w:w="2721"/>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全部一致</w:t>
            </w:r>
          </w:p>
        </w:tc>
        <w:tc>
          <w:tcPr>
            <w:tcW w:type="dxa" w:w="2721"/>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全部一致</w:t>
            </w:r>
          </w:p>
        </w:tc>
      </w:tr>
    </w:tbl>
    <w:p>
      <w:pPr>
        <w:pStyle w:val="RWBody"/>
        <w:widowControl/>
        <w:adjustRightInd w:val="0"/>
        <w:snapToGrid w:val="0"/>
        <w:spacing w:line="480" w:lineRule="exact"/>
      </w:pPr>
      <w:r>
        <w:rPr>
          <w:rFonts w:ascii="楷体_GB2312" w:hAnsi="Times New Roman" w:eastAsia="楷体_GB2312"/>
          <w:bCs/>
          <w:sz w:val="28"/>
          <w:szCs w:val="28"/>
        </w:rPr>
        <w:t xml:space="preserve">为检查启动与导入成本是否决定结论，补充复核允许</w:t>
      </w:r>
      <w:r>
        <w:rPr>
          <w:rFonts w:ascii="楷体_GB2312" w:hAnsi="Times New Roman" w:eastAsia="楷体_GB2312"/>
          <w:bCs/>
          <w:sz w:val="28"/>
          <w:szCs w:val="28"/>
        </w:rPr>
        <w:t xml:space="preserve"> SciPy </w:t>
      </w:r>
      <w:r>
        <w:rPr>
          <w:rFonts w:ascii="楷体_GB2312" w:hAnsi="Times New Roman" w:eastAsia="楷体_GB2312"/>
          <w:bCs/>
          <w:sz w:val="28"/>
          <w:szCs w:val="28"/>
        </w:rPr>
        <w:t xml:space="preserve">预先导入，候选仍承担完整进程成本。该窗口下的比值中位数为0.001562070，任务内耗时分离关系仍保持。补充使用的是既有八个任务，属于计时范围敏感性检查，不能作为新的独立确认样本与原结果合并。</w:t>
      </w:r>
    </w:p>
    <w:p>
      <w:pPr>
        <w:pStyle w:val="RWBody"/>
        <w:widowControl/>
        <w:adjustRightInd w:val="0"/>
        <w:snapToGrid w:val="0"/>
        <w:spacing w:line="480" w:lineRule="exact"/>
      </w:pPr>
      <w:r>
        <w:rPr>
          <w:rFonts w:ascii="楷体_GB2312" w:hAnsi="Times New Roman" w:eastAsia="楷体_GB2312"/>
          <w:bCs/>
          <w:sz w:val="28"/>
          <w:szCs w:val="28"/>
        </w:rPr>
        <w:t>这些结果表明，在所测试的固定任务中，专用实现能够减少重复统计分析的等待时间。其收益属于统计计算过程，不意味着ML-KEM解封装更快、检验更灵敏或防护更有效。当前结果未给出任务总体的耗时比置信区间，也未测量整个研发过程的总耗时。</w:t>
      </w:r>
    </w:p>
    <w:p w14:paraId="CA130001">
      <w:pPr>
        <w:pStyle w:val="RWBody"/>
        <w:widowControl/>
        <w:adjustRightInd w:val="0"/>
        <w:snapToGrid w:val="0"/>
        <w:spacing w:line="480" w:lineRule="exact"/>
      </w:pPr>
      <w:r>
        <w:rPr>
          <w:rFonts w:ascii="楷体_GB2312" w:hAnsi="Times New Roman" w:eastAsia="楷体_GB2312"/>
          <w:bCs/>
          <w:sz w:val="28"/>
          <w:szCs w:val="28"/>
        </w:rPr>
        <w:t>为进一步判断差异是否仅由编程语言和进程启动造成，后续将两种统计计算都用C实现。一个方法在每个置换状态重新求和，另一个利用相邻状态只改变一个符号的性质进行增量更新；两者使用相同的输入检查、状态顺序、统计量、等值处理和结果整理。实验在Apple M5、macOS/ARM上进行，两种方法采用同一编译器与优化级别，不启用跨文件链接优化，并允许编译器自然向量化。正式程序检查确认两种计算方式仍被保留。</w:t>
      </w:r>
    </w:p>
    <w:p w14:paraId="CA130002">
      <w:pPr>
        <w:pStyle w:val="RWBody"/>
        <w:widowControl/>
        <w:adjustRightInd w:val="0"/>
        <w:snapToGrid w:val="0"/>
        <w:spacing w:line="480" w:lineRule="exact"/>
      </w:pPr>
      <w:r>
        <w:rPr>
          <w:rFonts w:ascii="楷体_GB2312" w:hAnsi="Times New Roman" w:eastAsia="楷体_GB2312"/>
          <w:bCs/>
          <w:sz w:val="28"/>
          <w:szCs w:val="28"/>
        </w:rPr>
        <w:t>每个方法、每个任务先预热一次，再执行十对交替次序的正式计算。计时包括完整的统计计算过程，不包括读取输入、核对结果和写入文件。八个任务实际对应七种不同输入，任务3与7均为相同的全零数据，因此仅用于边界核验。六个非零任务的全部成对耗时比均小于1，各任务中位比为0.261640至0.319174。每次计算的尾计数与归档的SciPy结果一致；完整数值见表A.2。</w:t>
      </w:r>
    </w:p>
    <w:p w14:paraId="CA130003">
      <w:pPr>
        <w:pStyle w:val="RWBody"/>
        <w:widowControl/>
        <w:adjustRightInd w:val="0"/>
        <w:snapToGrid w:val="0"/>
        <w:spacing w:line="480" w:lineRule="exact"/>
      </w:pPr>
      <w:r>
        <w:rPr>
          <w:rFonts w:ascii="楷体_GB2312" w:hAnsi="Times New Roman" w:eastAsia="楷体_GB2312"/>
          <w:bCs/>
          <w:sz w:val="28"/>
          <w:szCs w:val="28"/>
        </w:rPr>
        <w:t>本次时钟标称分辨率为1000 ns，预先要求计时窗口至少达到时钟分辨率与空窗口中位值较大者的100倍，即100000 ns。全部80对记录满足该要求，读钟原值另行保留，不作开销扣减。正式统计窗口累计0.375106 s，包含准备和核对等步骤的外层流程为0.426083 s；两者计时范围不同。比较支持固定输入下完整统计计算的开销下降，其中还包含加载、符号选择和位置确定等成本，不能将比值直接解释为纯加法次数之比。</w:t>
      </w:r>
    </w:p>
    <w:p w14:paraId="CA140003">
      <w:pPr>
        <w:pStyle w:val="RWBody"/>
        <w:widowControl/>
        <w:adjustRightInd w:val="0"/>
        <w:snapToGrid w:val="0"/>
        <w:spacing w:line="480" w:lineRule="exact"/>
      </w:pPr>
      <w:r>
        <w:rPr>
          <w:rFonts w:ascii="楷体_GB2312" w:hAnsi="Times New Roman" w:eastAsia="楷体_GB2312"/>
          <w:bCs/>
          <w:sz w:val="28"/>
          <w:szCs w:val="28"/>
        </w:rPr>
        <w:t>随后进行一次干净重建，并使用新程序顺序启动三个进程复核。编译器、优化设置和任务输入保持相同，普通检查与动态检查各三项通过，动态检查程序不参与性能采集。机器仍为Apple M5、macOS/ARM，接通外部电源，没有设置固定频率或后台负载隔离。因此，这一步检验的是同机重新构建后的重复观察，未增加独立硬件环境。</w:t>
      </w:r>
    </w:p>
    <w:p w14:paraId="CA140004">
      <w:pPr>
        <w:pStyle w:val="RWBody"/>
        <w:widowControl/>
        <w:adjustRightInd w:val="0"/>
        <w:snapToGrid w:val="0"/>
        <w:spacing w:line="480" w:lineRule="exact"/>
      </w:pPr>
      <w:r>
        <w:rPr>
          <w:rFonts w:ascii="楷体_GB2312" w:hAnsi="Times New Roman" w:eastAsia="楷体_GB2312"/>
          <w:bCs/>
          <w:sz w:val="28"/>
          <w:szCs w:val="28"/>
        </w:rPr>
        <w:t>三个进程各沿用八个任务和十对正式计算，共240对记录满足预设的最短计时要求。所有正式计算均核对既有精确尾计数及置换总数，原始时间、比值和文件摘要另行复核。六个非零任务在三个进程中的18个中位比全部小于1，数值见表A.3及图5.10。这使效率观察不再只依赖最初的一个进程，但三个进程共用一次新构建和同组输入，仍不能作为跨平台或任务总体的速度保证。</w:t>
      </w:r>
    </w:p>
    <w:bookmarkEnd w:id="74"/>
    <w:bookmarkStart w:id="78" w:name="有限模型下的误拒绝与检出表现"/>
    <w:p>
      <w:pPr>
        <w:pStyle w:val="RWSection"/>
        <w:spacing w:before="240" w:after="240" w:line="360" w:lineRule="auto"/>
        <w:keepNext/>
        <w:keepLines/>
        <w:outlineLvl w:val="1"/>
      </w:pPr>
      <w:bookmarkStart w:id="9015" w:name="paper_heading_9015"/>
      <w:r>
        <w:rPr>
          <w:rFonts w:ascii="Times New Roman" w:hAnsi="Times New Roman" w:eastAsia="黑体" w:cs="Times New Roman"/>
          <w:sz w:val="28"/>
          <w:szCs w:val="28"/>
          <w:b/>
        </w:rPr>
        <w:t>5.5　有限样本数值验证中的第一类错误与功效</w:t>
      </w:r>
      <w:bookmarkEnd w:id="9015"/>
    </w:p>
    <w:p>
      <w:pPr>
        <w:pStyle w:val="RWBody"/>
        <w:widowControl/>
        <w:adjustRightInd w:val="0"/>
        <w:snapToGrid w:val="0"/>
        <w:spacing w:line="480" w:lineRule="exact"/>
      </w:pPr>
      <w:r>
        <w:rPr>
          <w:rFonts w:ascii="楷体_GB2312" w:hAnsi="Times New Roman" w:eastAsia="楷体_GB2312"/>
          <w:bCs/>
          <w:sz w:val="28"/>
          <w:szCs w:val="28"/>
        </w:rPr>
        <w:t xml:space="preserve">为独立验证统计实现，作品在观察结果前固定12个成对单位及有限模型。设效应为</w:t>
      </w:r>
      <w:r>
        <w:rPr>
          <w:rFonts w:ascii="楷体_GB2312" w:hAnsi="Times New Roman" w:eastAsia="楷体_GB2312"/>
          <w:bCs/>
          <w:sz w:val="28"/>
          <w:szCs w:val="28"/>
        </w:rPr>
        <w:t xml:space="preserve"> </w:t>
      </w:r>
      <m:oMath>
        <m:r>
          <w:rPr>
            <w:sz w:val="28"/>
          </w:rPr>
          <m:t>δ</m:t>
        </m:r>
      </m:oMath>
      <w:r>
        <w:rPr>
          <w:rFonts w:ascii="楷体_GB2312" w:hAnsi="Times New Roman" w:eastAsia="楷体_GB2312"/>
          <w:bCs/>
          <w:sz w:val="28"/>
          <w:szCs w:val="28"/>
        </w:rPr>
        <w:t xml:space="preserve">，幅度为</w:t>
      </w:r>
      <w:r>
        <w:rPr>
          <w:rFonts w:ascii="楷体_GB2312" w:hAnsi="Times New Roman" w:eastAsia="楷体_GB2312"/>
          <w:bCs/>
          <w:sz w:val="28"/>
          <w:szCs w:val="28"/>
        </w:rPr>
        <w:t xml:space="preserve"> </w:t>
      </w:r>
      <m:oMath>
        <m:sSub>
          <m:e>
            <m:r>
              <w:rPr>
                <w:sz w:val="28"/>
              </w:rPr>
              <m:t>a</m:t>
            </m:r>
          </m:e>
          <m:sub>
            <m:r>
              <w:rPr>
                <w:sz w:val="28"/>
              </w:rPr>
              <m:t>k</m:t>
            </m:r>
          </m:sub>
        </m:sSub>
      </m:oMath>
      <w:r>
        <w:rPr>
          <w:rFonts w:ascii="楷体_GB2312" w:hAnsi="Times New Roman" w:eastAsia="楷体_GB2312"/>
          <w:bCs/>
          <w:sz w:val="28"/>
          <w:szCs w:val="28"/>
        </w:rPr>
        <w:t xml:space="preserve">，独立等概率符号为</w:t>
      </w:r>
      <w:r>
        <w:rPr>
          <w:rFonts w:ascii="楷体_GB2312" w:hAnsi="Times New Roman" w:eastAsia="楷体_GB2312"/>
          <w:bCs/>
          <w:sz w:val="28"/>
          <w:szCs w:val="28"/>
        </w:rPr>
        <w:t xml:space="preserve"> </w:t>
      </w:r>
      <m:oMath>
        <m:sSub>
          <m:e>
            <m:r>
              <w:rPr>
                <w:sz w:val="28"/>
              </w:rPr>
              <m:t>ξ</m:t>
            </m:r>
          </m:e>
          <m:sub>
            <m:r>
              <w:rPr>
                <w:sz w:val="28"/>
              </w:rPr>
              <m:t>k</m:t>
            </m:r>
          </m:sub>
        </m:sSub>
        <m:r>
          <m:rPr>
            <m:sty m:val="p"/>
          </m:rPr>
          <w:rPr>
            <w:sz w:val="28"/>
          </w:rPr>
          <m:t>∈{−</m:t>
        </m:r>
        <m:r>
          <w:rPr>
            <w:sz w:val="28"/>
          </w:rPr>
          <m:t>1</m:t>
        </m:r>
        <m:r>
          <m:rPr>
            <m:sty m:val="p"/>
          </m:rPr>
          <w:rPr>
            <w:sz w:val="28"/>
          </w:rPr>
          <m:t>,+</m:t>
        </m:r>
        <m:r>
          <w:rPr>
            <w:sz w:val="28"/>
          </w:rPr>
          <m:t>1</m:t>
        </m:r>
        <m:r>
          <m:rPr>
            <m:sty m:val="p"/>
          </m:rPr>
          <w:rPr>
            <w:sz w:val="28"/>
          </w:rPr>
          <m:t>}</m:t>
        </m:r>
      </m:oMath>
      <w:r>
        <w:rPr>
          <w:rFonts w:ascii="楷体_GB2312" w:hAnsi="Times New Roman" w:eastAsia="楷体_GB2312"/>
          <w:bCs/>
          <w:sz w:val="28"/>
          <w:szCs w:val="28"/>
        </w:rPr>
        <w:t xml:space="preserve">，差值定义为</w:t>
      </w:r>
    </w:p>
    <w:p>
      <w:pPr>
        <w:pStyle w:val="RWBody"/>
        <w:keepLines/>
        <w:widowControl/>
        <w:tabs>
          <w:tab w:pos="4819" w:val="center"/>
          <w:tab w:pos="9638" w:val="right"/>
        </w:tabs>
        <w:spacing w:line="360" w:lineRule="auto" w:before="140" w:after="160"/>
        <w:ind w:firstLine="0"/>
        <w:snapToGrid w:val="0"/>
      </w:pPr>
      <w:r>
        <w:tab/>
      </w:r>
      <m:oMath>
        <m:sSub>
          <m:e>
            <m:r>
              <w:rPr>
                <w:sz w:val="28"/>
              </w:rPr>
              <m:t>d</m:t>
            </m:r>
          </m:e>
          <m:sub>
            <m:r>
              <w:rPr>
                <w:sz w:val="28"/>
              </w:rPr>
              <m:t>k</m:t>
            </m:r>
          </m:sub>
        </m:sSub>
        <m:r>
          <m:rPr>
            <m:sty m:val="p"/>
          </m:rPr>
          <w:rPr>
            <w:sz w:val="28"/>
          </w:rPr>
          <m:t>=</m:t>
        </m:r>
        <m:r>
          <w:rPr>
            <w:sz w:val="28"/>
          </w:rPr>
          <m:t>δ</m:t>
        </m:r>
        <m:r>
          <m:rPr>
            <m:sty m:val="p"/>
          </m:rPr>
          <w:rPr>
            <w:sz w:val="28"/>
          </w:rPr>
          <m:t>+</m:t>
        </m:r>
        <m:sSub>
          <m:e>
            <m:r>
              <w:rPr>
                <w:sz w:val="28"/>
              </w:rPr>
              <m:t>ξ</m:t>
            </m:r>
          </m:e>
          <m:sub>
            <m:r>
              <w:rPr>
                <w:sz w:val="28"/>
              </w:rPr>
              <m:t>k</m:t>
            </m:r>
          </m:sub>
        </m:sSub>
        <m:sSub>
          <m:e>
            <m:r>
              <w:rPr>
                <w:sz w:val="28"/>
              </w:rPr>
              <m:t>a</m:t>
            </m:r>
          </m:e>
          <m:sub>
            <m:r>
              <w:rPr>
                <w:sz w:val="28"/>
              </w:rPr>
              <m:t>k</m:t>
            </m:r>
          </m:sub>
        </m:sSub>
        <m:r>
          <m:rPr>
            <m:sty m:val="p"/>
          </m:rPr>
          <w:rPr>
            <w:sz w:val="28"/>
          </w:rPr>
          <m:t>.</m:t>
        </m:r>
      </m:oMath>
      <w:r>
        <w:rPr>
          <w:rFonts w:ascii="Times New Roman" w:hAnsi="Times New Roman" w:eastAsia="SimSun"/>
          <w:sz w:val="22"/>
        </w:rPr>
        <w:tab/>
        <w:t>(5-2)</w:t>
      </w:r>
    </w:p>
    <w:p>
      <w:pPr>
        <w:pStyle w:val="RWBody"/>
        <w:widowControl/>
        <w:adjustRightInd w:val="0"/>
        <w:snapToGrid w:val="0"/>
        <w:spacing w:line="480" w:lineRule="exact"/>
      </w:pPr>
      <w:r>
        <w:rPr>
          <w:rFonts w:ascii="楷体_GB2312" w:hAnsi="Times New Roman" w:eastAsia="楷体_GB2312"/>
          <w:bCs/>
          <w:sz w:val="28"/>
          <w:szCs w:val="28"/>
        </w:rPr>
        <w:t>等幅模型中各对幅度均为1，渐增幅模型中幅度依次为1至12；效应取0、1、2、4、12。每种模型均枚举全部4096种符号组合。因此，模型内拒绝概率可以直接由完整计数得到：</w:t>
      </w:r>
    </w:p>
    <w:p>
      <w:pPr>
        <w:pStyle w:val="RWBody"/>
        <w:keepLines/>
        <w:widowControl/>
        <w:tabs>
          <w:tab w:pos="4819" w:val="center"/>
          <w:tab w:pos="9638" w:val="right"/>
        </w:tabs>
        <w:spacing w:line="360" w:lineRule="auto" w:before="140" w:after="160"/>
        <w:ind w:firstLine="0"/>
        <w:snapToGrid w:val="0"/>
      </w:pPr>
      <w:r>
        <w:tab/>
      </w:r>
      <m:oMath>
        <m:sSub>
          <m:e>
            <m:r>
              <w:rPr>
                <w:sz w:val="28"/>
              </w:rPr>
              <m:t>π</m:t>
            </m:r>
          </m:e>
          <m:sub>
            <m:r>
              <m:rPr>
                <m:sty m:val="p"/>
              </m:rPr>
              <w:rPr>
                <w:sz w:val="28"/>
              </w:rPr>
              <m:t>model</m:t>
            </m:r>
          </m:sub>
        </m:sSub>
        <m:r>
          <m:rPr>
            <m:sty m:val="p"/>
          </m:rPr>
          <w:rPr>
            <w:sz w:val="28"/>
          </w:rPr>
          <m:t>(</m:t>
        </m:r>
        <m:r>
          <w:rPr>
            <w:sz w:val="28"/>
          </w:rPr>
          <m:t>δ</m:t>
        </m:r>
        <m:r>
          <m:rPr>
            <m:sty m:val="p"/>
          </m:rPr>
          <w:rPr>
            <w:sz w:val="28"/>
          </w:rPr>
          <m:t>)=</m:t>
        </m:r>
        <m:f>
          <m:fPr>
            <m:type m:val="bar"/>
          </m:fPr>
          <m:num>
            <m:r>
              <m:rPr>
                <m:sty m:val="p"/>
              </m:rPr>
              <w:rPr>
                <w:sz w:val="28"/>
              </w:rPr>
              <m:t>#{</m:t>
            </m:r>
            <m:r>
              <m:rPr>
                <m:sty m:val="bi"/>
              </m:rPr>
              <w:rPr>
                <w:sz w:val="28"/>
              </w:rPr>
              <m:t>ξ</m:t>
            </m:r>
            <m:r>
              <m:rPr>
                <m:sty m:val="p"/>
              </m:rPr>
              <w:rPr>
                <w:sz w:val="28"/>
              </w:rPr>
              <m:t>:</m:t>
            </m:r>
            <m:sSub>
              <m:e>
                <m:r>
                  <w:rPr>
                    <w:sz w:val="28"/>
                  </w:rPr>
                  <m:t>p</m:t>
                </m:r>
              </m:e>
              <m:sub>
                <m:r>
                  <m:rPr>
                    <m:sty m:val="p"/>
                  </m:rPr>
                  <w:rPr>
                    <w:sz w:val="28"/>
                  </w:rPr>
                  <m:t>exact</m:t>
                </m:r>
              </m:sub>
            </m:sSub>
            <m:r>
              <m:rPr>
                <m:sty m:val="p"/>
              </m:rPr>
              <w:rPr>
                <w:sz w:val="28"/>
              </w:rPr>
              <m:t>(</m:t>
            </m:r>
            <m:r>
              <m:rPr>
                <m:sty m:val="bi"/>
              </m:rPr>
              <w:rPr>
                <w:sz w:val="28"/>
              </w:rPr>
              <m:t>d</m:t>
            </m:r>
            <m:r>
              <m:rPr>
                <m:sty m:val="p"/>
              </m:rPr>
              <w:rPr>
                <w:sz w:val="28"/>
              </w:rPr>
              <m:t>)≤</m:t>
            </m:r>
            <m:r>
              <w:rPr>
                <w:sz w:val="28"/>
              </w:rPr>
              <m:t>0.01</m:t>
            </m:r>
            <m:r>
              <m:rPr>
                <m:sty m:val="p"/>
              </m:rPr>
              <w:rPr>
                <w:sz w:val="28"/>
              </w:rPr>
              <m:t>}</m:t>
            </m:r>
          </m:num>
          <m:den>
            <m:r>
              <w:rPr>
                <w:sz w:val="28"/>
              </w:rPr>
              <m:t>4096</m:t>
            </m:r>
          </m:den>
        </m:f>
        <m:r>
          <m:rPr>
            <m:sty m:val="p"/>
          </m:rPr>
          <w:rPr>
            <w:sz w:val="28"/>
          </w:rPr>
          <m:t>.</m:t>
        </m:r>
      </m:oMath>
      <w:r>
        <w:rPr>
          <w:rFonts w:ascii="Times New Roman" w:hAnsi="Times New Roman" w:eastAsia="SimSun"/>
          <w:sz w:val="22"/>
        </w:rPr>
        <w:tab/>
        <w:t>(5-3)</w:t>
      </w:r>
    </w:p>
    <w:p>
      <w:pPr>
        <w:pStyle w:val="RWBody"/>
        <w:widowControl/>
        <w:adjustRightInd w:val="0"/>
        <w:snapToGrid w:val="0"/>
        <w:spacing w:line="480" w:lineRule="exact"/>
      </w:pPr>
      <w:r>
        <w:rPr>
          <w:rFonts w:ascii="楷体_GB2312" w:hAnsi="Times New Roman" w:eastAsia="楷体_GB2312"/>
          <w:bCs/>
          <w:sz w:val="28"/>
          <w:szCs w:val="28"/>
        </w:rPr>
        <w:t xml:space="preserve">全部独立模型及共同符号边界模型共形成40964份数据。数据由</w:t>
      </w:r>
      <w:r>
        <w:rPr>
          <w:rFonts w:ascii="楷体_GB2312" w:hAnsi="Times New Roman" w:eastAsia="楷体_GB2312"/>
          <w:bCs/>
          <w:sz w:val="28"/>
          <w:szCs w:val="28"/>
        </w:rPr>
        <w:t xml:space="preserve"> C </w:t>
      </w:r>
      <w:r>
        <w:rPr>
          <w:rFonts w:ascii="楷体_GB2312" w:hAnsi="Times New Roman" w:eastAsia="楷体_GB2312"/>
          <w:bCs/>
          <w:sz w:val="28"/>
          <w:szCs w:val="28"/>
        </w:rPr>
        <w:t xml:space="preserve">生成与验证，单位为合成</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ns，不是新采集的密码执行时间；新的解封装调用数为0。现有精确入口与另行实现的整数分布卷积逐份核对，尾计数全部一致，44份预定</w:t>
      </w:r>
      <w:r>
        <w:rPr>
          <w:rFonts w:ascii="楷体_GB2312" w:hAnsi="Times New Roman" w:eastAsia="楷体_GB2312"/>
          <w:bCs/>
          <w:sz w:val="28"/>
          <w:szCs w:val="28"/>
        </w:rPr>
        <w:t xml:space="preserve"> SciPy </w:t>
      </w:r>
      <w:r>
        <w:rPr>
          <w:rFonts w:ascii="楷体_GB2312" w:hAnsi="Times New Roman" w:eastAsia="楷体_GB2312"/>
          <w:bCs/>
          <w:sz w:val="28"/>
          <w:szCs w:val="28"/>
        </w:rPr>
        <w:t xml:space="preserve">审计亦一致。</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970719"/>
            <wp:effectExtent b="0" l="0" r="0" t="0"/>
            <wp:docPr descr="figure-5-5" title="" id="76" name="Picture"/>
            <a:graphic>
              <a:graphicData uri="http://schemas.openxmlformats.org/drawingml/2006/picture">
                <pic:pic>
                  <pic:nvPicPr>
                    <pic:cNvPr descr="ppt-render/figure-13.png" id="77" name="Picture"/>
                    <pic:cNvPicPr>
                      <a:picLocks noChangeArrowheads="1" noChangeAspect="1"/>
                    </pic:cNvPicPr>
                  </pic:nvPicPr>
                  <pic:blipFill>
                    <a:blip r:embed="rId25"/>
                    <a:stretch>
                      <a:fillRect/>
                    </a:stretch>
                  </pic:blipFill>
                  <pic:spPr bwMode="auto">
                    <a:xfrm>
                      <a:off x="0" y="0"/>
                      <a:ext cx="5688000" cy="2970719"/>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图5.5　有限样本数值验证中的拒绝概率。效应值按实际数值间距显示，每点枚举4096种符号；连线辅助阅读，不表示中间效应已经计算。</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表5.7</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独立模型的完整拒绝计数（每项分母4096）</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效应</w:t>
            </w:r>
            <w:r>
              <w:rPr>
                <w:rFonts w:ascii="Calibri" w:hAnsi="Calibri" w:eastAsia="宋体" w:cs="Times New Roman"/>
                <w:kern w:val="2"/>
                <w:sz w:val="21"/>
                <w:szCs w:val="22"/>
                <w:lang w:val="en-US" w:eastAsia="zh-CN" w:bidi="ar-SA"/>
                <w:b/>
              </w:rPr>
              <w:t xml:space="preserve"> / </w:t>
            </w:r>
            <w:r>
              <w:rPr>
                <w:rFonts w:ascii="Calibri" w:hAnsi="Calibri" w:eastAsia="宋体" w:cs="Times New Roman"/>
                <w:kern w:val="2"/>
                <w:sz w:val="21"/>
                <w:szCs w:val="22"/>
                <w:lang w:val="en-US" w:eastAsia="zh-CN" w:bidi="ar-SA"/>
                <w:b/>
              </w:rPr>
              <w:t xml:space="preserve">合成</w:t>
            </w:r>
            <w:r>
              <w:rPr>
                <w:rFonts w:ascii="Calibri" w:hAnsi="Calibri" w:eastAsia="宋体" w:cs="Times New Roman"/>
                <w:kern w:val="2"/>
                <w:sz w:val="21"/>
                <w:szCs w:val="22"/>
                <w:lang w:val="en-US" w:eastAsia="zh-CN" w:bidi="ar-SA"/>
                <w:b/>
              </w:rPr>
              <w:t xml:space="preserve"> ns</w:t>
            </w:r>
          </w:p>
        </w:tc>
        <w:tc>
          <w:tcPr>
            <w:tcW w:type="dxa" w:w="3969"/>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等幅 </w:t>
            </w:r>
            <w:r>
              <w:rPr>
                <w:rFonts w:ascii="Calibri" w:hAnsi="Calibri" w:eastAsia="宋体" w:cs="Times New Roman"/>
                <w:kern w:val="2"/>
                <w:sz w:val="21"/>
                <w:szCs w:val="22"/>
                <w:lang w:val="en-US" w:eastAsia="zh-CN" w:bidi="ar-SA"/>
                <w:b/>
              </w:rPr>
              <w:t xml:space="preserve">拒绝数</w:t>
            </w:r>
          </w:p>
        </w:tc>
        <w:tc>
          <w:tcPr>
            <w:tcW w:type="dxa" w:w="3175"/>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渐增幅 </w:t>
            </w:r>
            <w:r>
              <w:rPr>
                <w:rFonts w:ascii="Calibri" w:hAnsi="Calibri" w:eastAsia="宋体" w:cs="Times New Roman"/>
                <w:kern w:val="2"/>
                <w:sz w:val="21"/>
                <w:szCs w:val="22"/>
                <w:lang w:val="en-US" w:eastAsia="zh-CN" w:bidi="ar-SA"/>
                <w:b/>
              </w:rPr>
              <w:t xml:space="preserve">拒绝数</w:t>
            </w:r>
          </w:p>
        </w:tc>
      </w:tr>
      <w:tr>
        <w:trPr>
          <w:trHeight w:val="520" w:hRule="atLeast"/>
          <w:cantSplit/>
        </w:trPr>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w:t>
            </w:r>
          </w:p>
        </w:tc>
        <w:tc>
          <w:tcPr>
            <w:tcW w:type="dxa" w:w="3969"/>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26</w:t>
            </w:r>
          </w:p>
        </w:tc>
        <w:tc>
          <w:tcPr>
            <w:tcW w:type="dxa" w:w="3175"/>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38</w:t>
            </w:r>
          </w:p>
        </w:tc>
      </w:tr>
      <w:tr>
        <w:trPr>
          <w:trHeight w:val="520" w:hRule="atLeast"/>
          <w:cantSplit/>
        </w:trPr>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w:t>
            </w:r>
          </w:p>
        </w:tc>
        <w:tc>
          <w:tcPr>
            <w:tcW w:type="dxa" w:w="3969"/>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794</w:t>
            </w:r>
          </w:p>
        </w:tc>
        <w:tc>
          <w:tcPr>
            <w:tcW w:type="dxa" w:w="3175"/>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48</w:t>
            </w:r>
          </w:p>
        </w:tc>
      </w:tr>
      <w:tr>
        <w:trPr>
          <w:trHeight w:val="520" w:hRule="atLeast"/>
          <w:cantSplit/>
        </w:trPr>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w:t>
            </w:r>
          </w:p>
        </w:tc>
        <w:tc>
          <w:tcPr>
            <w:tcW w:type="dxa" w:w="3969"/>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4096</w:t>
            </w:r>
          </w:p>
        </w:tc>
        <w:tc>
          <w:tcPr>
            <w:tcW w:type="dxa" w:w="3175"/>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91</w:t>
            </w:r>
          </w:p>
        </w:tc>
      </w:tr>
      <w:tr>
        <w:trPr>
          <w:trHeight w:val="520" w:hRule="atLeast"/>
          <w:cantSplit/>
        </w:trPr>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w:t>
            </w:r>
          </w:p>
        </w:tc>
        <w:tc>
          <w:tcPr>
            <w:tcW w:type="dxa" w:w="3969"/>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4096</w:t>
            </w:r>
          </w:p>
        </w:tc>
        <w:tc>
          <w:tcPr>
            <w:tcW w:type="dxa" w:w="3175"/>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353</w:t>
            </w:r>
          </w:p>
        </w:tc>
      </w:tr>
      <w:tr>
        <w:trPr>
          <w:trHeight w:val="520" w:hRule="atLeast"/>
          <w:cantSplit/>
        </w:trPr>
        <w:tc>
          <w:tcPr>
            <w:tcW w:type="dxa" w:w="1814"/>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12</w:t>
            </w:r>
          </w:p>
        </w:tc>
        <w:tc>
          <w:tcPr>
            <w:tcW w:type="dxa" w:w="3969"/>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4096</w:t>
            </w:r>
          </w:p>
        </w:tc>
        <w:tc>
          <w:tcPr>
            <w:tcW w:type="dxa" w:w="3175"/>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4096</w:t>
            </w:r>
          </w:p>
        </w:tc>
      </w:tr>
    </w:tbl>
    <w:p>
      <w:pPr>
        <w:pStyle w:val="RWBody"/>
        <w:widowControl/>
        <w:adjustRightInd w:val="0"/>
        <w:snapToGrid w:val="0"/>
        <w:spacing w:line="480" w:lineRule="exact"/>
      </w:pPr>
      <w:r>
        <w:rPr>
          <w:rFonts w:ascii="楷体_GB2312" w:hAnsi="Times New Roman" w:eastAsia="楷体_GB2312"/>
          <w:bCs/>
          <w:sz w:val="28"/>
          <w:szCs w:val="28"/>
        </w:rPr>
        <w:t>零效应时，等幅与渐增幅模型的第一类错误概率分别为26/4096和38/4096，均小于0.01。非零效应下，等幅模型较早达到全部拒绝，而渐增幅模型在效应4时仅有353/4096被拒绝。这个差异提示，检验功效与误差幅度的结构有关，不能只展示有利模型。等幅模型在效应1时产生的一份全零数据仍保留在分母中。这里的第一类错误和功效只针对所规定的有限概率模型。</w:t>
      </w:r>
    </w:p>
    <w:p>
      <w:pPr>
        <w:pStyle w:val="RWBody"/>
        <w:widowControl/>
        <w:adjustRightInd w:val="0"/>
        <w:snapToGrid w:val="0"/>
        <w:spacing w:line="480" w:lineRule="exact"/>
      </w:pPr>
      <w:r>
        <w:rPr>
          <w:rFonts w:ascii="楷体_GB2312" w:hAnsi="Times New Roman" w:eastAsia="楷体_GB2312"/>
          <w:bCs/>
          <w:sz w:val="28"/>
          <w:szCs w:val="28"/>
        </w:rPr>
        <w:t xml:space="preserve">共同符号模型则每个仅有两种可能结果。若仍盲用独立交换空间，两个结果均会拒绝，两个模型分别出现2/2；实际入口对四份依赖数据均返回证据不足。该结果说明适用条件判断的重要性，但没有据此证明真实密码时间序列已被校准，也没有构造与正确配置</w:t>
      </w:r>
      <w:r>
        <w:rPr>
          <w:rFonts w:ascii="楷体_GB2312" w:hAnsi="Times New Roman" w:eastAsia="楷体_GB2312"/>
          <w:bCs/>
          <w:sz w:val="28"/>
          <w:szCs w:val="28"/>
        </w:rPr>
        <w:t xml:space="preserve"> dudect </w:t>
      </w:r>
      <w:r>
        <w:rPr>
          <w:rFonts w:ascii="楷体_GB2312" w:hAnsi="Times New Roman" w:eastAsia="楷体_GB2312"/>
          <w:bCs/>
          <w:sz w:val="28"/>
          <w:szCs w:val="28"/>
        </w:rPr>
        <w:t xml:space="preserve">或</w:t>
      </w:r>
      <w:r>
        <w:rPr>
          <w:rFonts w:ascii="楷体_GB2312" w:hAnsi="Times New Roman" w:eastAsia="楷体_GB2312"/>
          <w:bCs/>
          <w:sz w:val="28"/>
          <w:szCs w:val="28"/>
        </w:rPr>
        <w:t xml:space="preserve"> RTLF </w:t>
      </w:r>
      <w:r>
        <w:rPr>
          <w:rFonts w:ascii="楷体_GB2312" w:hAnsi="Times New Roman" w:eastAsia="楷体_GB2312"/>
          <w:bCs/>
          <w:sz w:val="28"/>
          <w:szCs w:val="28"/>
        </w:rPr>
        <w:t xml:space="preserve">的检测能力胜负关系。</w:t>
      </w:r>
    </w:p>
    <w:bookmarkEnd w:id="78"/>
    <w:bookmarkStart w:id="82" w:name="真实参考时间的后赋标签控制"/>
    <w:p>
      <w:pPr>
        <w:pStyle w:val="RWSection"/>
        <w:spacing w:before="240" w:after="240" w:line="360" w:lineRule="auto"/>
        <w:keepNext/>
        <w:keepLines/>
        <w:outlineLvl w:val="1"/>
      </w:pPr>
      <w:bookmarkStart w:id="9016" w:name="paper_heading_9016"/>
      <w:r>
        <w:rPr>
          <w:rFonts w:ascii="Times New Roman" w:hAnsi="Times New Roman" w:eastAsia="黑体" w:cs="Times New Roman"/>
          <w:sz w:val="28"/>
          <w:szCs w:val="28"/>
          <w:b/>
        </w:rPr>
        <w:t>5.6　固定时间记录的置换检验校验</w:t>
      </w:r>
      <w:bookmarkEnd w:id="9016"/>
    </w:p>
    <w:p>
      <w:pPr>
        <w:pStyle w:val="RWBody"/>
        <w:widowControl/>
        <w:adjustRightInd w:val="0"/>
        <w:snapToGrid w:val="0"/>
        <w:spacing w:line="480" w:lineRule="exact"/>
      </w:pPr>
      <w:r>
        <w:rPr>
          <w:rFonts w:ascii="楷体_GB2312" w:hAnsi="Times New Roman" w:eastAsia="楷体_GB2312"/>
          <w:bCs/>
          <w:sz w:val="28"/>
          <w:szCs w:val="28"/>
        </w:rPr>
        <w:t>固定时间记录的置换校验使用 第一期的六份封存 参考实现记录。程序先完整读取每份3000条数据以及元数据、成本记录，并核验来源和完成状态；再固定取原序0至23共24个时间值，按相邻顺序组成12对。时间值不增加人工偏移，也不按原密文类别重新分组。</w:t>
      </w:r>
    </w:p>
    <w:p>
      <w:pPr>
        <w:pStyle w:val="RWBody"/>
        <w:widowControl/>
        <w:adjustRightInd w:val="0"/>
        <w:snapToGrid w:val="0"/>
        <w:spacing w:line="480" w:lineRule="exact"/>
      </w:pPr>
      <w:r>
        <w:rPr>
          <w:rFonts w:ascii="楷体_GB2312" w:hAnsi="Times New Roman" w:eastAsia="楷体_GB2312"/>
          <w:bCs/>
          <w:sz w:val="28"/>
          <w:szCs w:val="28"/>
        </w:rPr>
        <w:t>对给定时间对，采集后独立等概率赋标签，枚举全部4096种组合。记第b块固定时间向量为</w:t>
      </w:r>
      <m:oMath>
        <m:sSub>
          <m:e>
            <m:r>
              <m:rPr>
                <m:sty m:val="p"/>
              </m:rPr>
              <w:rPr>
                <w:sz w:val="28"/>
              </w:rPr>
              <m:t>t</m:t>
            </m:r>
          </m:e>
          <m:sub>
            <m:r>
              <m:rPr>
                <m:sty m:val="p"/>
              </m:rPr>
              <w:rPr>
                <w:sz w:val="28"/>
              </w:rPr>
              <m:t>b</m:t>
            </m:r>
          </m:sub>
        </m:sSub>
      </m:oMath>
      <w:r>
        <w:rPr>
          <w:rFonts w:ascii="楷体_GB2312" w:hAnsi="Times New Roman" w:eastAsia="楷体_GB2312"/>
          <w:bCs/>
          <w:sz w:val="28"/>
          <w:szCs w:val="28"/>
        </w:rPr>
        <w:t>，拒绝标签数为</w:t>
      </w:r>
      <m:oMath>
        <m:sSub>
          <m:e>
            <m:r>
              <m:rPr>
                <m:sty m:val="p"/>
              </m:rPr>
              <w:rPr>
                <w:sz w:val="28"/>
              </w:rPr>
              <m:t>R</m:t>
            </m:r>
          </m:e>
          <m:sub>
            <m:r>
              <m:rPr>
                <m:sty m:val="p"/>
              </m:rPr>
              <w:rPr>
                <w:sz w:val="28"/>
              </w:rPr>
              <m:t>b</m:t>
            </m:r>
          </m:sub>
        </m:sSub>
      </m:oMath>
      <w:r>
        <w:rPr>
          <w:rFonts w:ascii="楷体_GB2312" w:hAnsi="Times New Roman" w:eastAsia="楷体_GB2312"/>
          <w:bCs/>
          <w:sz w:val="28"/>
          <w:szCs w:val="28"/>
        </w:rPr>
        <w:t>，则条件概率为</w:t>
      </w:r>
    </w:p>
    <w:p>
      <w:pPr>
        <w:pStyle w:val="RWBody"/>
        <w:keepLines/>
        <w:widowControl/>
        <w:tabs>
          <w:tab w:pos="4819" w:val="center"/>
          <w:tab w:pos="9638" w:val="right"/>
        </w:tabs>
        <w:spacing w:line="360" w:lineRule="auto" w:before="140" w:after="160"/>
        <w:ind w:firstLine="0"/>
        <w:snapToGrid w:val="0"/>
      </w:pPr>
      <w:r>
        <w:tab/>
      </w:r>
      <m:oMath>
        <m:sSub>
          <m:e>
            <m:r>
              <m:rPr>
                <m:sty m:val="p"/>
              </m:rPr>
              <w:rPr>
                <w:sz w:val="28"/>
              </w:rPr>
              <m:t>π</m:t>
            </m:r>
          </m:e>
          <m:sub>
            <m:r>
              <m:rPr>
                <m:sty m:val="p"/>
              </m:rPr>
              <w:rPr>
                <w:sz w:val="28"/>
              </w:rPr>
              <m:t>b</m:t>
            </m:r>
          </m:sub>
        </m:sSub>
        <m:r>
          <m:rPr>
            <m:sty m:val="p"/>
          </m:rPr>
          <w:rPr>
            <w:sz w:val="28"/>
          </w:rPr>
          <m:t>=</m:t>
        </m:r>
        <m:sSub>
          <m:e>
            <m:r>
              <m:rPr>
                <m:sty m:val="p"/>
              </m:rPr>
              <w:rPr>
                <w:sz w:val="28"/>
              </w:rPr>
              <m:t>Pr</m:t>
            </m:r>
          </m:e>
          <m:sub>
            <m:r>
              <m:rPr>
                <m:sty m:val="p"/>
              </m:rPr>
              <w:rPr>
                <w:sz w:val="28"/>
              </w:rPr>
              <m:t>labels</m:t>
            </m:r>
          </m:sub>
        </m:sSub>
        <m:r>
          <m:rPr>
            <m:sty m:val="p"/>
          </m:rPr>
          <w:rPr>
            <w:sz w:val="28"/>
          </w:rPr>
          <m:t>(reject | </m:t>
        </m:r>
        <m:sSub>
          <m:e>
            <m:r>
              <m:rPr>
                <m:sty m:val="p"/>
              </m:rPr>
              <w:rPr>
                <w:sz w:val="28"/>
              </w:rPr>
              <m:t>t</m:t>
            </m:r>
          </m:e>
          <m:sub>
            <m:r>
              <m:rPr>
                <m:sty m:val="p"/>
              </m:rPr>
              <w:rPr>
                <w:sz w:val="28"/>
              </w:rPr>
              <m:t>b</m:t>
            </m:r>
          </m:sub>
        </m:sSub>
        <m:r>
          <m:rPr>
            <m:sty m:val="p"/>
          </m:rPr>
          <w:rPr>
            <w:sz w:val="28"/>
          </w:rPr>
          <m:t>)=</m:t>
        </m:r>
        <m:f>
          <m:num>
            <m:sSub>
              <m:e>
                <m:r>
                  <m:rPr>
                    <m:sty m:val="p"/>
                  </m:rPr>
                  <w:rPr>
                    <w:sz w:val="28"/>
                  </w:rPr>
                  <m:t>R</m:t>
                </m:r>
              </m:e>
              <m:sub>
                <m:r>
                  <m:rPr>
                    <m:sty m:val="p"/>
                  </m:rPr>
                  <w:rPr>
                    <w:sz w:val="28"/>
                  </w:rPr>
                  <m:t>b</m:t>
                </m:r>
              </m:sub>
            </m:sSub>
          </m:num>
          <m:den>
            <m:r>
              <m:rPr>
                <m:sty m:val="p"/>
              </m:rPr>
              <w:rPr>
                <w:sz w:val="28"/>
              </w:rPr>
              <m:t>4096</m:t>
            </m:r>
          </m:den>
        </m:f>
        <m:r>
          <m:rPr>
            <m:sty m:val="p"/>
          </m:rPr>
          <w:rPr>
            <w:sz w:val="28"/>
          </w:rPr>
          <m:t>.</m:t>
        </m:r>
      </m:oMath>
      <w:r>
        <w:rPr>
          <w:rFonts w:ascii="Times New Roman" w:hAnsi="Times New Roman" w:eastAsia="SimSun"/>
          <w:sz w:val="22"/>
        </w:rPr>
        <w:tab/>
        <w:t>(5-4)</w:t>
      </w:r>
    </w:p>
    <w:p>
      <w:pPr>
        <w:pStyle w:val="RWBody"/>
        <w:widowControl/>
        <w:adjustRightInd w:val="0"/>
        <w:snapToGrid w:val="0"/>
        <w:spacing w:line="480" w:lineRule="exact"/>
      </w:pPr>
      <w:r>
        <w:rPr>
          <w:rFonts w:ascii="楷体_GB2312" w:hAnsi="Times New Roman" w:eastAsia="楷体_GB2312"/>
          <w:bCs/>
          <w:sz w:val="28"/>
          <w:szCs w:val="28"/>
        </w:rPr>
        <w:t xml:space="preserve">这一控制固定了时间值，把概率空间明确限定为标签。它允许给定时间之间存在相依，却不表示原采集过程已经实施同样的随机化。程序保存144个原时间及24576份差值和计数，新的解封装调用为0。</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970719"/>
            <wp:effectExtent b="0" l="0" r="0" t="0"/>
            <wp:docPr descr="figure-5-6" title="" id="80" name="Picture"/>
            <a:graphic>
              <a:graphicData uri="http://schemas.openxmlformats.org/drawingml/2006/picture">
                <pic:pic>
                  <pic:nvPicPr>
                    <pic:cNvPr descr="ppt-render/figure-14.png" id="81" name="Picture"/>
                    <pic:cNvPicPr>
                      <a:picLocks noChangeArrowheads="1" noChangeAspect="1"/>
                    </pic:cNvPicPr>
                  </pic:nvPicPr>
                  <pic:blipFill>
                    <a:blip r:embed="rId26"/>
                    <a:stretch>
                      <a:fillRect/>
                    </a:stretch>
                  </pic:blipFill>
                  <pic:spPr bwMode="auto">
                    <a:xfrm>
                      <a:off x="0" y="0"/>
                      <a:ext cx="5688000" cy="2970719"/>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图5.6　六个固定时间记录的拒绝标签数。每组完整枚举4096种标签，虚线为0.01阈值对应的最多40个拒绝标签。</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表5.8</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固定时间记录的置换校验的全部结果</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运行块</w:t>
            </w:r>
          </w:p>
        </w:tc>
        <w:tc>
          <w:tcPr>
            <w:tcW w:type="dxa" w:w="1757"/>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标签组合数</w:t>
            </w:r>
          </w:p>
        </w:tc>
        <w:tc>
          <w:tcPr>
            <w:tcW w:type="dxa" w:w="1757"/>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条件拒绝数</w:t>
            </w:r>
          </w:p>
        </w:tc>
        <w:tc>
          <w:tcPr>
            <w:tcW w:type="dxa" w:w="3458"/>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条件概率</w:t>
            </w:r>
          </w:p>
        </w:tc>
      </w:tr>
      <w:tr>
        <w:trPr>
          <w:trHeight w:val="520" w:hRule="atLeast"/>
          <w:cantSplit/>
        </w:trPr>
        <w:tc>
          <w:tcPr>
            <w:tcW w:type="dxa" w:w="198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4096</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40</w:t>
            </w:r>
          </w:p>
        </w:tc>
        <w:tc>
          <w:tcPr>
            <w:tcW w:type="dxa" w:w="3458"/>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0.009765625000</w:t>
            </w:r>
          </w:p>
        </w:tc>
      </w:tr>
      <w:tr>
        <w:trPr>
          <w:trHeight w:val="520" w:hRule="atLeast"/>
          <w:cantSplit/>
        </w:trPr>
        <w:tc>
          <w:tcPr>
            <w:tcW w:type="dxa" w:w="198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4096</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40</w:t>
            </w:r>
          </w:p>
        </w:tc>
        <w:tc>
          <w:tcPr>
            <w:tcW w:type="dxa" w:w="3458"/>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0.009765625000</w:t>
            </w:r>
          </w:p>
        </w:tc>
      </w:tr>
      <w:tr>
        <w:trPr>
          <w:trHeight w:val="520" w:hRule="atLeast"/>
          <w:cantSplit/>
        </w:trPr>
        <w:tc>
          <w:tcPr>
            <w:tcW w:type="dxa" w:w="198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4096</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40</w:t>
            </w:r>
          </w:p>
        </w:tc>
        <w:tc>
          <w:tcPr>
            <w:tcW w:type="dxa" w:w="3458"/>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0.009765625000</w:t>
            </w:r>
          </w:p>
        </w:tc>
      </w:tr>
      <w:tr>
        <w:trPr>
          <w:trHeight w:val="520" w:hRule="atLeast"/>
          <w:cantSplit/>
        </w:trPr>
        <w:tc>
          <w:tcPr>
            <w:tcW w:type="dxa" w:w="198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4096</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38</w:t>
            </w:r>
          </w:p>
        </w:tc>
        <w:tc>
          <w:tcPr>
            <w:tcW w:type="dxa" w:w="3458"/>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0.009277343750</w:t>
            </w:r>
          </w:p>
        </w:tc>
      </w:tr>
      <w:tr>
        <w:trPr>
          <w:trHeight w:val="520" w:hRule="atLeast"/>
          <w:cantSplit/>
        </w:trPr>
        <w:tc>
          <w:tcPr>
            <w:tcW w:type="dxa" w:w="198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5</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4096</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40</w:t>
            </w:r>
          </w:p>
        </w:tc>
        <w:tc>
          <w:tcPr>
            <w:tcW w:type="dxa" w:w="3458"/>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0.009765625000</w:t>
            </w:r>
          </w:p>
        </w:tc>
      </w:tr>
      <w:tr>
        <w:trPr>
          <w:trHeight w:val="520" w:hRule="atLeast"/>
          <w:cantSplit/>
        </w:trPr>
        <w:tc>
          <w:tcPr>
            <w:tcW w:type="dxa" w:w="1984"/>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6</w:t>
            </w:r>
          </w:p>
        </w:tc>
        <w:tc>
          <w:tcPr>
            <w:tcW w:type="dxa" w:w="1757"/>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4096</w:t>
            </w:r>
          </w:p>
        </w:tc>
        <w:tc>
          <w:tcPr>
            <w:tcW w:type="dxa" w:w="1757"/>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38</w:t>
            </w:r>
          </w:p>
        </w:tc>
        <w:tc>
          <w:tcPr>
            <w:tcW w:type="dxa" w:w="3458"/>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0.009277343750</w:t>
            </w:r>
          </w:p>
        </w:tc>
      </w:tr>
    </w:tbl>
    <w:p>
      <w:pPr>
        <w:pStyle w:val="RWBody"/>
        <w:widowControl/>
        <w:adjustRightInd w:val="0"/>
        <w:snapToGrid w:val="0"/>
        <w:spacing w:line="480" w:lineRule="exact"/>
      </w:pPr>
      <w:r>
        <w:rPr>
          <w:rFonts w:ascii="楷体_GB2312" w:hAnsi="Times New Roman" w:eastAsia="楷体_GB2312"/>
          <w:bCs/>
          <w:sz w:val="28"/>
          <w:szCs w:val="28"/>
        </w:rPr>
        <w:t xml:space="preserve">六块条件概率均不超过0.01。独立逐项求和与排序秩核对、24份预定</w:t>
      </w:r>
      <w:r>
        <w:rPr>
          <w:rFonts w:ascii="楷体_GB2312" w:hAnsi="Times New Roman" w:eastAsia="楷体_GB2312"/>
          <w:bCs/>
          <w:sz w:val="28"/>
          <w:szCs w:val="28"/>
        </w:rPr>
        <w:t xml:space="preserve"> SciPy </w:t>
      </w:r>
      <w:r>
        <w:rPr>
          <w:rFonts w:ascii="楷体_GB2312" w:hAnsi="Times New Roman" w:eastAsia="楷体_GB2312"/>
          <w:bCs/>
          <w:sz w:val="28"/>
          <w:szCs w:val="28"/>
        </w:rPr>
        <w:t xml:space="preserve">审计及完整动态运行均与原始结果一致。由于标签空间被完整枚举，这里的概率没有</w:t>
      </w:r>
      <w:r>
        <w:rPr>
          <w:rFonts w:ascii="楷体_GB2312" w:hAnsi="Times New Roman" w:eastAsia="楷体_GB2312"/>
          <w:bCs/>
          <w:sz w:val="28"/>
          <w:szCs w:val="28"/>
        </w:rPr>
        <w:t xml:space="preserve"> Monte Carlo </w:t>
      </w:r>
      <w:r>
        <w:rPr>
          <w:rFonts w:ascii="楷体_GB2312" w:hAnsi="Times New Roman" w:eastAsia="楷体_GB2312"/>
          <w:bCs/>
          <w:sz w:val="28"/>
          <w:szCs w:val="28"/>
        </w:rPr>
        <w:t xml:space="preserve">抽样误差；但它仍只针对给定时间下的标签模型，不能解释成真实密码总体误报率估计。</w:t>
      </w:r>
    </w:p>
    <w:p>
      <w:pPr>
        <w:pStyle w:val="RWBody"/>
        <w:widowControl/>
        <w:adjustRightInd w:val="0"/>
        <w:snapToGrid w:val="0"/>
        <w:spacing w:line="480" w:lineRule="exact"/>
      </w:pPr>
      <w:r>
        <w:rPr>
          <w:rFonts w:ascii="楷体_GB2312" w:hAnsi="Times New Roman" w:eastAsia="楷体_GB2312"/>
          <w:bCs/>
          <w:sz w:val="28"/>
          <w:szCs w:val="28"/>
        </w:rPr>
        <w:t>该校验同时要求逐次数据与运行开销记录一致，并检查时钟、程序版本、调用数量和完成状态，防止将不完整运行用于分析。计算约需0.209 s，包含读取、计算及输入文件关闭；最后的摘要生成与状态写入另计。原始时间和统计规则保持不变，本项结果用于验证分析流程，未增加新的密码测量。</w:t>
      </w:r>
    </w:p>
    <w:bookmarkEnd w:id="82"/>
    <w:bookmarkStart w:id="83" w:name="历史案例审计与封存材料复算"/>
    <w:p>
      <w:pPr>
        <w:pStyle w:val="RWSection"/>
        <w:spacing w:before="240" w:after="240" w:line="360" w:lineRule="auto"/>
        <w:keepNext/>
        <w:keepLines/>
        <w:outlineLvl w:val="1"/>
      </w:pPr>
      <w:bookmarkStart w:id="530" w:name="rw_heading_30"/>
      <w:r>
        <w:rPr>
          <w:rFonts w:ascii="Times New Roman" w:hAnsi="Times New Roman" w:eastAsia="黑体" w:cs="Times New Roman"/>
          <w:sz w:val="28"/>
          <w:szCs w:val="28"/>
          <w:b/>
        </w:rPr>
        <w:t xml:space="preserve">5.7　</w:t>
      </w:r>
      <w:r>
        <w:rPr>
          <w:rFonts w:ascii="Times New Roman" w:hAnsi="Times New Roman" w:eastAsia="黑体" w:cs="Times New Roman"/>
          <w:sz w:val="28"/>
          <w:szCs w:val="28"/>
          <w:b/>
        </w:rPr>
        <w:t xml:space="preserve">历史案例审计与封存材料复算</w:t>
      </w:r>
      <w:bookmarkEnd w:id="530"/>
    </w:p>
    <w:p>
      <w:pPr>
        <w:pStyle w:val="RWBody"/>
        <w:widowControl/>
        <w:adjustRightInd w:val="0"/>
        <w:snapToGrid w:val="0"/>
        <w:spacing w:line="480" w:lineRule="exact"/>
      </w:pPr>
      <w:r>
        <w:rPr>
          <w:rFonts w:ascii="楷体_GB2312" w:hAnsi="Times New Roman" w:eastAsia="楷体_GB2312"/>
          <w:bCs/>
          <w:sz w:val="28"/>
          <w:szCs w:val="28"/>
        </w:rPr>
        <w:t xml:space="preserve">历史人工档案覆盖五个种子与四种实现标签，共20份数据生成40份报告。它们按照原分析器重建，并与归档结果逐字一致；本次报告重写未重新采集这些数据。表5.9列出对结论有直接影响的历史观察。</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表5.9</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历史人工案例的观察及限制</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项目</w:t>
            </w:r>
          </w:p>
        </w:tc>
        <w:tc>
          <w:tcPr>
            <w:tcW w:type="dxa" w:w="3969"/>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原有观察</w:t>
            </w:r>
          </w:p>
        </w:tc>
        <w:tc>
          <w:tcPr>
            <w:tcW w:type="dxa" w:w="3175"/>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解释限制</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主比较</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5个种子中4个达到</w:t>
            </w:r>
            <w:r>
              <w:rPr>
                <w:rFonts w:ascii="Calibri" w:hAnsi="Calibri" w:eastAsia="宋体" w:cs="Times New Roman"/>
                <w:kern w:val="2"/>
                <w:sz w:val="21"/>
                <w:szCs w:val="22"/>
                <w:lang w:val="en-US" w:eastAsia="zh-CN" w:bidi="ar-SA"/>
              </w:rPr>
              <w:t xml:space="preserve"> </w:t>
            </w:r>
            <m:oMath>
              <m:sSup>
                <m:e>
                  <m:r>
                    <m:t>10</m:t>
                  </m:r>
                </m:e>
                <m:sup>
                  <m:r>
                    <m:rPr>
                      <m:sty m:val="p"/>
                    </m:rPr>
                    <m:t>−</m:t>
                  </m:r>
                  <m:r>
                    <m:t>4</m:t>
                  </m:r>
                </m:sup>
              </m:sSup>
            </m:oMath>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未在全部种子稳定显著</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分组比较：人工分支对照</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5/5达到</w:t>
            </w:r>
            <w:r>
              <w:rPr>
                <w:rFonts w:ascii="Calibri" w:hAnsi="Calibri" w:eastAsia="宋体" w:cs="Times New Roman"/>
                <w:kern w:val="2"/>
                <w:sz w:val="21"/>
                <w:szCs w:val="22"/>
                <w:lang w:val="en-US" w:eastAsia="zh-CN" w:bidi="ar-SA"/>
              </w:rPr>
              <w:t xml:space="preserve"> </w:t>
            </w:r>
            <m:oMath>
              <m:sSup>
                <m:e>
                  <m:r>
                    <m:t>10</m:t>
                  </m:r>
                </m:e>
                <m:sup>
                  <m:r>
                    <m:rPr>
                      <m:sty m:val="p"/>
                    </m:rPr>
                    <m:t>−</m:t>
                  </m:r>
                  <m:r>
                    <m:t>3</m:t>
                  </m:r>
                </m:sup>
              </m:sSup>
            </m:oMath>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名义概率未修正序列依赖</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分组比较：参考及正常优化对照</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各5/5未检出</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未检出不等于恒时证明</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分组比较：掩码对照</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1/5仍有显著差异</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不能声称差异全部消除</w:t>
            </w:r>
          </w:p>
        </w:tc>
      </w:tr>
      <w:tr>
        <w:trPr>
          <w:trHeight w:val="520" w:hRule="atLeast"/>
          <w:cantSplit/>
        </w:trPr>
        <w:tc>
          <w:tcPr>
            <w:tcW w:type="dxa" w:w="1814"/>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固定消息组</w:t>
            </w:r>
          </w:p>
        </w:tc>
        <w:tc>
          <w:tcPr>
            <w:tcW w:type="dxa" w:w="3969"/>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少量固定密文重复测量</w:t>
            </w:r>
          </w:p>
        </w:tc>
        <w:tc>
          <w:tcPr>
            <w:tcW w:type="dxa" w:w="3175"/>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调用数不是独立输入数</w:t>
            </w:r>
          </w:p>
        </w:tc>
      </w:tr>
    </w:tbl>
    <w:p>
      <w:pPr>
        <w:pStyle w:val="RWBody"/>
        <w:widowControl/>
        <w:adjustRightInd w:val="0"/>
        <w:snapToGrid w:val="0"/>
        <w:spacing w:line="480" w:lineRule="exact"/>
      </w:pPr>
      <w:r>
        <w:rPr>
          <w:rFonts w:ascii="楷体_GB2312" w:hAnsi="Times New Roman" w:eastAsia="楷体_GB2312"/>
          <w:bCs/>
          <w:sz w:val="28"/>
          <w:szCs w:val="28"/>
        </w:rPr>
        <w:t>计划中的另一项有限批次比较未完成目标环境下的实验准备，因此没有形成可供分析的数据。本节只报告已经完成并保留原始记录的比较，不对该方案推断稳定性收益。</w:t>
      </w:r>
    </w:p>
    <w:p>
      <w:pPr>
        <w:pStyle w:val="RWBody"/>
        <w:widowControl/>
        <w:adjustRightInd w:val="0"/>
        <w:snapToGrid w:val="0"/>
        <w:spacing w:line="480" w:lineRule="exact"/>
      </w:pPr>
      <w:r>
        <w:rPr>
          <w:rFonts w:ascii="楷体_GB2312" w:hAnsi="Times New Roman" w:eastAsia="楷体_GB2312"/>
          <w:bCs/>
          <w:sz w:val="28"/>
          <w:szCs w:val="28"/>
        </w:rPr>
        <w:t xml:space="preserve">2026年10月8日的封存</w:t>
      </w:r>
      <w:r>
        <w:rPr>
          <w:rFonts w:ascii="楷体_GB2312" w:hAnsi="Times New Roman" w:eastAsia="楷体_GB2312"/>
          <w:bCs/>
          <w:sz w:val="28"/>
          <w:szCs w:val="28"/>
        </w:rPr>
        <w:t xml:space="preserve"> v3 </w:t>
      </w:r>
      <w:r>
        <w:rPr>
          <w:rFonts w:ascii="楷体_GB2312" w:hAnsi="Times New Roman" w:eastAsia="楷体_GB2312"/>
          <w:bCs/>
          <w:sz w:val="28"/>
          <w:szCs w:val="28"/>
        </w:rPr>
        <w:t xml:space="preserve">重跑，则属于已经完成的工程复算。包摘要与本地封存文件一致，206项源清单核对通过，26个执行步骤全部退出0；GCC普通及Clang动态检查各34项通过。普通性能主表、精确主表、40964份模型原始结果、24576份标签结果以及144个原时间均逐字节一致，历史报告重分析成功。60条普通短演示只说明入口可运行，不作统计结论。</w:t>
      </w:r>
    </w:p>
    <w:bookmarkEnd w:id="83"/>
    <w:bookmarkStart w:id="87" w:name="同机人工机制的防护前后复测"/>
    <w:p>
      <w:pPr>
        <w:pStyle w:val="RWSection"/>
        <w:spacing w:before="240" w:after="240" w:line="360" w:lineRule="auto"/>
        <w:keepNext/>
        <w:keepLines/>
        <w:outlineLvl w:val="1"/>
      </w:pPr>
      <w:bookmarkStart w:id="531" w:name="rw_heading_31"/>
      <w:r>
        <w:rPr>
          <w:rFonts w:ascii="Times New Roman" w:hAnsi="Times New Roman" w:eastAsia="黑体" w:cs="Times New Roman"/>
          <w:sz w:val="28"/>
          <w:szCs w:val="28"/>
          <w:b/>
        </w:rPr>
        <w:t xml:space="preserve">5.8　</w:t>
      </w:r>
      <w:r>
        <w:rPr>
          <w:rFonts w:ascii="Times New Roman" w:hAnsi="Times New Roman" w:eastAsia="黑体" w:cs="Times New Roman"/>
          <w:sz w:val="28"/>
          <w:szCs w:val="28"/>
          <w:b/>
        </w:rPr>
        <w:t xml:space="preserve">同机人工对照的防护前后复测</w:t>
      </w:r>
      <w:bookmarkEnd w:id="531"/>
    </w:p>
    <w:p>
      <w:pPr>
        <w:pStyle w:val="RWBody"/>
        <w:widowControl/>
        <w:adjustRightInd w:val="0"/>
        <w:snapToGrid w:val="0"/>
        <w:spacing w:line="480" w:lineRule="exact"/>
      </w:pPr>
      <w:r>
        <w:rPr>
          <w:rFonts w:ascii="楷体_GB2312" w:hAnsi="Times New Roman" w:eastAsia="楷体_GB2312"/>
          <w:bCs/>
          <w:sz w:val="28"/>
          <w:szCs w:val="28"/>
        </w:rPr>
        <w:t>防护前后复测在同一Ubuntu 24.04.4、x86_64虚拟机环境进行，分配4个虚拟CPU。正式程序采用GCC 13.3.0及二级优化，不包含动态检查插桩。功能检查与计时对应同一构建，37项检查全部通过，其中包含额外的测量检查；它与前述34项检查的默认构建分别记录。</w:t>
      </w:r>
    </w:p>
    <w:p>
      <w:pPr>
        <w:pStyle w:val="RWBody"/>
        <w:widowControl/>
        <w:adjustRightInd w:val="0"/>
        <w:snapToGrid w:val="0"/>
        <w:spacing w:line="480" w:lineRule="exact"/>
      </w:pPr>
      <w:r>
        <w:rPr>
          <w:rFonts w:ascii="楷体_GB2312" w:hAnsi="Times New Roman" w:eastAsia="楷体_GB2312"/>
          <w:bCs/>
          <w:sz w:val="28"/>
          <w:szCs w:val="28"/>
        </w:rPr>
        <w:t>实验按事先保存的计划执行全部五个公开种子，四种对照各形成五份正式记录。每份包含25000条正式时间和100次预热，全部63个执行步骤正常结束。执行命令将采集绑定到同一个逻辑CPU；原元数据未读取外部设置，因此附录保留这一记录差异。宿主频率没有配置，时钟标称1 ns的分辨率不代表实际误差为1 ns。</w:t>
      </w:r>
    </w:p>
    <w:p>
      <w:pPr>
        <w:pStyle w:val="RWBody"/>
        <w:widowControl/>
        <w:adjustRightInd w:val="0"/>
        <w:snapToGrid w:val="0"/>
        <w:spacing w:line="480" w:lineRule="exact"/>
      </w:pPr>
      <w:r>
        <w:rPr>
          <w:rFonts w:ascii="楷体_GB2312" w:hAnsi="Times New Roman" w:eastAsia="楷体_GB2312"/>
          <w:bCs/>
          <w:sz w:val="28"/>
          <w:szCs w:val="28"/>
        </w:rPr>
        <w:t>本轮延用历史Mann–Whitney秩检验流程[22]：十项类别比较的单项阈值为10⁻⁴，分组比较阈值为10⁻³，与精确置换检验的0.01阈值分别使用。人工分支对照在五组测试中每组均有七项类别比较达到原阈值，预定主比较也均显著。参考实现、掩码对照及正常优化对照的相应显著计数均为零。此处“显著”专指既定秩检验的名义判定。</w:t>
      </w:r>
    </w:p>
    <w:p>
      <w:pPr>
        <w:pStyle w:val="RWBody"/>
        <w:widowControl/>
        <w:adjustRightInd w:val="0"/>
        <w:snapToGrid w:val="0"/>
        <w:spacing w:line="480" w:lineRule="exact"/>
      </w:pPr>
      <w:r>
        <w:rPr>
          <w:rFonts w:ascii="楷体_GB2312" w:hAnsi="Times New Roman" w:eastAsia="楷体_GB2312"/>
          <w:bCs/>
          <w:sz w:val="28"/>
          <w:szCs w:val="28"/>
        </w:rPr>
        <w:t>秩检验和均值比较关注的分布特征不同[22]，本次结果中二者也不总一致。例如，人工分支对照在种子20261111下的主比较，P50差为−19 ns，均值差为+42.340 ns，秩检验p值为5.46693×10⁻⁷，辅助均值比较p值为0.350711。原辅助计算使用正态近似，并非依据所报自由度求Student t分布尾概率，故本文保留其历史计算方式，不据此增加新的确认结论。所有长尾与种子结果均保留。</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3245060"/>
            <wp:effectExtent b="0" l="0" r="0" t="0"/>
            <wp:docPr descr="figure-5-7" title="" id="85" name="Picture"/>
            <a:graphic>
              <a:graphicData uri="http://schemas.openxmlformats.org/drawingml/2006/picture">
                <pic:pic>
                  <pic:nvPicPr>
                    <pic:cNvPr descr="ppt-render/figure-16.png" id="86" name="Picture"/>
                    <pic:cNvPicPr>
                      <a:picLocks noChangeArrowheads="1" noChangeAspect="1"/>
                    </pic:cNvPicPr>
                  </pic:nvPicPr>
                  <pic:blipFill>
                    <a:blip r:embed="rId27"/>
                    <a:stretch>
                      <a:fillRect/>
                    </a:stretch>
                  </pic:blipFill>
                  <pic:spPr bwMode="auto">
                    <a:xfrm>
                      <a:off x="0" y="0"/>
                      <a:ext cx="5688000" cy="3245060"/>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图5.7　同机人工对照的分组均值差。每点对应一个预定种子，方向为恒定消息组减变化消息组；竖线为零差参考线，不是误差棒。</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表5.10</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同机复测的分组均值差（单位：ns）</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701"/>
        <w:gridCol w:w="1814"/>
        <w:gridCol w:w="1814"/>
        <w:gridCol w:w="1814"/>
        <w:gridCol w:w="1814"/>
      </w:tblGrid>
      <w:tr>
        <w:trPr>
          <w:trHeight w:val="520" w:hRule="atLeast"/>
          <w:tblHeader w:val="on"/>
          <w:cantSplit/>
          <w:tblHeader/>
        </w:trPr>
        <w:tc>
          <w:tcPr>
            <w:tcW w:type="dxa" w:w="1701"/>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种子</w:t>
            </w:r>
          </w:p>
        </w:tc>
        <w:tc>
          <w:tcPr>
            <w:tcW w:type="dxa" w:w="1814"/>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参考实现</w:t>
            </w:r>
          </w:p>
        </w:tc>
        <w:tc>
          <w:tcPr>
            <w:tcW w:type="dxa" w:w="1814"/>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人工分支对照</w:t>
            </w:r>
          </w:p>
        </w:tc>
        <w:tc>
          <w:tcPr>
            <w:tcW w:type="dxa" w:w="1814"/>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掩码对照</w:t>
            </w:r>
          </w:p>
        </w:tc>
        <w:tc>
          <w:tcPr>
            <w:tcW w:type="dxa" w:w="1814"/>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正常优化对照</w:t>
            </w:r>
          </w:p>
        </w:tc>
      </w:tr>
      <w:tr>
        <w:trPr>
          <w:trHeight w:val="520" w:hRule="atLeast"/>
          <w:cantSplit/>
        </w:trPr>
        <w:tc>
          <w:tcPr>
            <w:tcW w:type="dxa" w:w="1701"/>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31337</w:t>
            </w:r>
          </w:p>
        </w:tc>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−23.760</w:t>
            </w:r>
          </w:p>
        </w:tc>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−1322.119</w:t>
            </w:r>
          </w:p>
        </w:tc>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0.693</w:t>
            </w:r>
          </w:p>
        </w:tc>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15.051</w:t>
            </w:r>
          </w:p>
        </w:tc>
      </w:tr>
      <w:tr>
        <w:trPr>
          <w:trHeight w:val="520" w:hRule="atLeast"/>
          <w:cantSplit/>
        </w:trPr>
        <w:tc>
          <w:tcPr>
            <w:tcW w:type="dxa" w:w="1701"/>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90210</w:t>
            </w:r>
          </w:p>
        </w:tc>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−12.891</w:t>
            </w:r>
          </w:p>
        </w:tc>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−1329.081</w:t>
            </w:r>
          </w:p>
        </w:tc>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20.532</w:t>
            </w:r>
          </w:p>
        </w:tc>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29.601</w:t>
            </w:r>
          </w:p>
        </w:tc>
      </w:tr>
      <w:tr>
        <w:trPr>
          <w:trHeight w:val="520" w:hRule="atLeast"/>
          <w:cantSplit/>
        </w:trPr>
        <w:tc>
          <w:tcPr>
            <w:tcW w:type="dxa" w:w="1701"/>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20261111</w:t>
            </w:r>
          </w:p>
        </w:tc>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15.184</w:t>
            </w:r>
          </w:p>
        </w:tc>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−1283.025</w:t>
            </w:r>
          </w:p>
        </w:tc>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−26.042</w:t>
            </w:r>
          </w:p>
        </w:tc>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−25.086</w:t>
            </w:r>
          </w:p>
        </w:tc>
      </w:tr>
      <w:tr>
        <w:trPr>
          <w:trHeight w:val="520" w:hRule="atLeast"/>
          <w:cantSplit/>
        </w:trPr>
        <w:tc>
          <w:tcPr>
            <w:tcW w:type="dxa" w:w="1701"/>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8675309</w:t>
            </w:r>
          </w:p>
        </w:tc>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13.212</w:t>
            </w:r>
          </w:p>
        </w:tc>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−1296.339</w:t>
            </w:r>
          </w:p>
        </w:tc>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95.723</w:t>
            </w:r>
          </w:p>
        </w:tc>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−8.106</w:t>
            </w:r>
          </w:p>
        </w:tc>
      </w:tr>
      <w:tr>
        <w:trPr>
          <w:trHeight w:val="520" w:hRule="atLeast"/>
          <w:cantSplit/>
        </w:trPr>
        <w:tc>
          <w:tcPr>
            <w:tcW w:type="dxa" w:w="1701"/>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141421356</w:t>
            </w:r>
          </w:p>
        </w:tc>
        <w:tc>
          <w:tcPr>
            <w:tcW w:type="dxa" w:w="1814"/>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−31.964</w:t>
            </w:r>
          </w:p>
        </w:tc>
        <w:tc>
          <w:tcPr>
            <w:tcW w:type="dxa" w:w="1814"/>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−1277.020</w:t>
            </w:r>
          </w:p>
        </w:tc>
        <w:tc>
          <w:tcPr>
            <w:tcW w:type="dxa" w:w="1814"/>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27.345</w:t>
            </w:r>
          </w:p>
        </w:tc>
        <w:tc>
          <w:tcPr>
            <w:tcW w:type="dxa" w:w="1814"/>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−3.191</w:t>
            </w:r>
          </w:p>
        </w:tc>
      </w:tr>
    </w:tbl>
    <w:p>
      <w:pPr>
        <w:pStyle w:val="RWBody"/>
        <w:widowControl/>
        <w:adjustRightInd w:val="0"/>
        <w:snapToGrid w:val="0"/>
        <w:spacing w:line="480" w:lineRule="exact"/>
      </w:pPr>
      <w:r>
        <w:rPr>
          <w:rFonts w:ascii="楷体_GB2312" w:hAnsi="Times New Roman" w:eastAsia="楷体_GB2312"/>
          <w:bCs/>
          <w:sz w:val="28"/>
          <w:szCs w:val="28"/>
        </w:rPr>
        <w:t xml:space="preserve">来源：同机复测</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各实现、各种子的原始分组报告。表中是分组均值差，显著性另按原名义秩检验判定；不以差值本身替代统计判断，也不绘制未经计算的误差棒。</w:t>
      </w:r>
    </w:p>
    <w:p>
      <w:pPr>
        <w:pStyle w:val="RWBody"/>
        <w:widowControl/>
        <w:adjustRightInd w:val="0"/>
        <w:snapToGrid w:val="0"/>
        <w:spacing w:line="480" w:lineRule="exact"/>
      </w:pPr>
      <w:r>
        <w:rPr>
          <w:rFonts w:ascii="楷体_GB2312" w:hAnsi="Times New Roman" w:eastAsia="楷体_GB2312"/>
          <w:bCs/>
          <w:sz w:val="28"/>
          <w:szCs w:val="28"/>
        </w:rPr>
        <w:t>人工分支对照的五次分组比较均显著，均值差约为−1277至−1329 ns；掩码对照五次均未显著，差值约为−26至+96 ns，参考实现与正常优化对照也均未显著。该结果支持的解释是：在本次环境及原检验规则下，改用掩码选择后未再检出原有分组差异。它不等于真实差值严格为零，近似计算输出的零p值也不能理解为数学上的精确零。</w:t>
      </w:r>
    </w:p>
    <w:p>
      <w:pPr>
        <w:pStyle w:val="RWBody"/>
        <w:widowControl/>
        <w:adjustRightInd w:val="0"/>
        <w:snapToGrid w:val="0"/>
        <w:spacing w:line="480" w:lineRule="exact"/>
      </w:pPr>
      <w:r>
        <w:rPr>
          <w:rFonts w:ascii="楷体_GB2312" w:hAnsi="Times New Roman" w:eastAsia="楷体_GB2312"/>
          <w:bCs/>
          <w:sz w:val="28"/>
          <w:szCs w:val="28"/>
        </w:rPr>
        <w:t>这一比较仍有两项重要限制。首先，固定消息组重复使用少量密文，调用数量不能替代独立输入数量，时间序列依赖对原检验的影响仍需研究。其次，上游相应处理原本已采用无分支写法，本轮针对的是人为设置的历史对照，不能称为发现并修复了上游新漏洞。早期ARM结果中的未通过比较和残余差异继续保留，以说明观察受环境及实验安排限制。</w:t>
      </w:r>
    </w:p>
    <w:bookmarkEnd w:id="87"/>
    <w:bookmarkStart w:id="542" w:name="rw_heading_g2_20261010"/>
    <w:p w14:paraId="CA160002">
      <w:pPr>
        <w:pStyle w:val="RWSection"/>
        <w:spacing w:before="240" w:after="240" w:line="360" w:lineRule="auto"/>
        <w:keepNext/>
        <w:keepLines/>
        <w:outlineLvl w:val="1"/>
      </w:pPr>
      <w:bookmarkStart w:id="9017" w:name="paper_heading_9017"/>
      <w:r>
        <w:rPr>
          <w:rFonts w:ascii="Times New Roman" w:hAnsi="Times New Roman" w:eastAsia="黑体" w:cs="Times New Roman"/>
          <w:sz w:val="28"/>
          <w:szCs w:val="28"/>
          <w:b/>
        </w:rPr>
        <w:t>5.9　受控运行的平均频率与时间分布</w:t>
      </w:r>
      <w:bookmarkEnd w:id="9017"/>
    </w:p>
    <w:p w14:paraId="CA160003">
      <w:pPr>
        <w:pStyle w:val="RWBody"/>
        <w:widowControl/>
        <w:adjustRightInd w:val="0"/>
        <w:snapToGrid w:val="0"/>
        <w:spacing w:line="480" w:lineRule="exact"/>
      </w:pPr>
      <w:r>
        <w:rPr>
          <w:rFonts w:ascii="楷体_GB2312" w:hAnsi="Times New Roman" w:eastAsia="楷体_GB2312"/>
          <w:bCs/>
          <w:sz w:val="28"/>
          <w:szCs w:val="28"/>
        </w:rPr>
        <w:t>受控测量在Ryzen 9 9950X裸金属、Ubuntu 24.04.4及x86_64 Linux上进行，普通程序由GCC 13.3编译。实验临时预留同一物理核对应的两个逻辑线程，参考程序仅在其中一个运行，循环处理八个有效密文；预热目标为1秒，主观察目标为4秒。实验只对两个目标频率策略请求4.3 GHz的上下限，其他相关设置保持不变，并分别验证正常结束与预定中断后的资源恢复。</w:t>
      </w:r>
    </w:p>
    <w:p w14:paraId="CA160004">
      <w:pPr>
        <w:pStyle w:val="RWBody"/>
        <w:widowControl/>
        <w:adjustRightInd w:val="0"/>
        <w:snapToGrid w:val="0"/>
        <w:spacing w:line="480" w:lineRule="exact"/>
      </w:pPr>
      <w:r>
        <w:rPr>
          <w:rFonts w:ascii="楷体_GB2312" w:hAnsi="Times New Roman" w:eastAsia="楷体_GB2312"/>
          <w:bCs/>
          <w:sz w:val="28"/>
          <w:szCs w:val="28"/>
        </w:rPr>
        <w:t>平均频率依据处理器性能计数器APERF和MPERF估计，其解释依赖参考频率[15]，本文采用固件核对得到的4300 MHz。由于两类计数器不能同时读取，先后读取会引入对齐误差。设相邻APERF增量为ΔA，MPERF在每次APERF读取前后的值分别为M⁻、M⁺；前后快照以prev和next表示。在计数单调、没有回绕或重置的条件下，可得到计数增量的上下界：</w:t>
      </w:r>
    </w:p>
    <w:p w14:paraId="CA160005">
      <w:pPr>
        <w:pStyle w:val="RWBody"/>
        <w:keepLines/>
        <w:widowControl/>
        <w:tabs>
          <w:tab w:pos="4819" w:val="center"/>
          <w:tab w:pos="9638" w:val="right"/>
        </w:tabs>
        <w:spacing w:line="360" w:lineRule="auto" w:before="140" w:after="160"/>
        <w:ind w:firstLine="0"/>
        <w:snapToGrid w:val="0"/>
      </w:pPr>
      <w:r>
        <w:tab/>
      </w:r>
      <m:oMath>
        <m:r>
          <w:rPr>
            <w:sz w:val="28"/>
          </w:rPr>
          <m:t>L=</m:t>
        </m:r>
        <m:sSubSup>
          <m:e>
            <m:r>
              <w:rPr>
                <w:sz w:val="28"/>
              </w:rPr>
              <m:t>M</m:t>
            </m:r>
          </m:e>
          <m:sub>
            <m:r>
              <m:rPr>
                <m:sty m:val="p"/>
              </m:rPr>
              <w:rPr>
                <w:sz w:val="28"/>
              </w:rPr>
              <m:t>next</m:t>
            </m:r>
          </m:sub>
          <m:sup>
            <m:r>
              <m:rPr>
                <m:sty m:val="p"/>
              </m:rPr>
              <w:rPr>
                <w:sz w:val="28"/>
              </w:rPr>
              <m:t>−</m:t>
            </m:r>
          </m:sup>
        </m:sSubSup>
        <m:r>
          <w:rPr>
            <w:sz w:val="28"/>
          </w:rPr>
          <m:t>−</m:t>
        </m:r>
        <m:sSubSup>
          <m:e>
            <m:r>
              <w:rPr>
                <w:sz w:val="28"/>
              </w:rPr>
              <m:t>M</m:t>
            </m:r>
          </m:e>
          <m:sub>
            <m:r>
              <m:rPr>
                <m:sty m:val="p"/>
              </m:rPr>
              <w:rPr>
                <w:sz w:val="28"/>
              </w:rPr>
              <m:t>prev</m:t>
            </m:r>
          </m:sub>
          <m:sup>
            <m:r>
              <m:rPr>
                <m:sty m:val="p"/>
              </m:rPr>
              <w:rPr>
                <w:sz w:val="28"/>
              </w:rPr>
              <m:t>+</m:t>
            </m:r>
          </m:sup>
        </m:sSubSup>
        <m:r>
          <w:rPr>
            <w:sz w:val="28"/>
          </w:rPr>
          <m:t>,   H=</m:t>
        </m:r>
        <m:sSubSup>
          <m:e>
            <m:r>
              <w:rPr>
                <w:sz w:val="28"/>
              </w:rPr>
              <m:t>M</m:t>
            </m:r>
          </m:e>
          <m:sub>
            <m:r>
              <m:rPr>
                <m:sty m:val="p"/>
              </m:rPr>
              <w:rPr>
                <w:sz w:val="28"/>
              </w:rPr>
              <m:t>next</m:t>
            </m:r>
          </m:sub>
          <m:sup>
            <m:r>
              <m:rPr>
                <m:sty m:val="p"/>
              </m:rPr>
              <w:rPr>
                <w:sz w:val="28"/>
              </w:rPr>
              <m:t>+</m:t>
            </m:r>
          </m:sup>
        </m:sSubSup>
        <m:r>
          <w:rPr>
            <w:sz w:val="28"/>
          </w:rPr>
          <m:t>−</m:t>
        </m:r>
        <m:sSubSup>
          <m:e>
            <m:r>
              <w:rPr>
                <w:sz w:val="28"/>
              </w:rPr>
              <m:t>M</m:t>
            </m:r>
          </m:e>
          <m:sub>
            <m:r>
              <m:rPr>
                <m:sty m:val="p"/>
              </m:rPr>
              <w:rPr>
                <w:sz w:val="28"/>
              </w:rPr>
              <m:t>prev</m:t>
            </m:r>
          </m:sub>
          <m:sup>
            <m:r>
              <m:rPr>
                <m:sty m:val="p"/>
              </m:rPr>
              <w:rPr>
                <w:sz w:val="28"/>
              </w:rPr>
              <m:t>−</m:t>
            </m:r>
          </m:sup>
        </m:sSubSup>
      </m:oMath>
      <w:r>
        <w:rPr>
          <w:rFonts w:ascii="Times New Roman" w:hAnsi="Times New Roman" w:eastAsia="SimSun"/>
          <w:sz w:val="22"/>
        </w:rPr>
        <w:tab/>
        <w:t>(5-5)</w:t>
      </w:r>
    </w:p>
    <w:p w14:paraId="CA160006">
      <w:pPr>
        <w:pStyle w:val="RWBody"/>
        <w:keepLines/>
        <w:widowControl/>
        <w:tabs>
          <w:tab w:pos="4819" w:val="center"/>
          <w:tab w:pos="9638" w:val="right"/>
        </w:tabs>
        <w:spacing w:line="360" w:lineRule="auto" w:before="140" w:after="160"/>
        <w:ind w:firstLine="0"/>
        <w:snapToGrid w:val="0"/>
      </w:pPr>
      <w:r>
        <w:tab/>
      </w:r>
      <m:oMath>
        <m:r>
          <w:rPr>
            <w:sz w:val="28"/>
          </w:rPr>
          <m:t>I=</m:t>
        </m:r>
        <m:d>
          <m:dPr>
            <m:begChr m:val="["/>
            <m:endChr m:val="]"/>
          </m:dPr>
          <m:e>
            <m:f>
              <m:fPr>
                <m:type m:val="bar"/>
              </m:fPr>
              <m:num>
                <m:r>
                  <w:rPr>
                    <w:sz w:val="28"/>
                  </w:rPr>
                  <m:t>4300ΔA</m:t>
                </m:r>
              </m:num>
              <m:den>
                <m:r>
                  <w:rPr>
                    <w:sz w:val="28"/>
                  </w:rPr>
                  <m:t>H</m:t>
                </m:r>
              </m:den>
            </m:f>
            <m:r>
              <w:rPr>
                <w:sz w:val="28"/>
              </w:rPr>
              <m:t>, </m:t>
            </m:r>
            <m:f>
              <m:fPr>
                <m:type m:val="bar"/>
              </m:fPr>
              <m:num>
                <m:r>
                  <w:rPr>
                    <w:sz w:val="28"/>
                  </w:rPr>
                  <m:t>4300ΔA</m:t>
                </m:r>
              </m:num>
              <m:den>
                <m:r>
                  <w:rPr>
                    <w:sz w:val="28"/>
                  </w:rPr>
                  <m:t>L</m:t>
                </m:r>
              </m:den>
            </m:f>
          </m:e>
        </m:d>
        <m:r>
          <m:rPr>
            <m:sty m:val="p"/>
          </m:rPr>
          <w:rPr>
            <w:sz w:val="28"/>
          </w:rPr>
          <m:t> MHz,   L&gt;0</m:t>
        </m:r>
      </m:oMath>
      <w:r>
        <w:rPr>
          <w:rFonts w:ascii="Times New Roman" w:hAnsi="Times New Roman" w:eastAsia="SimSun"/>
          <w:sz w:val="22"/>
        </w:rPr>
        <w:tab/>
        <w:t>(5-6)</w:t>
      </w:r>
    </w:p>
    <w:p w14:paraId="CA160007">
      <w:pPr>
        <w:pStyle w:val="RWBody"/>
        <w:widowControl/>
        <w:adjustRightInd w:val="0"/>
        <w:snapToGrid w:val="0"/>
        <w:spacing w:line="480" w:lineRule="exact"/>
      </w:pPr>
      <w:r>
        <w:rPr>
          <w:rFonts w:ascii="楷体_GB2312" w:hAnsi="Times New Roman" w:eastAsia="楷体_GB2312"/>
          <w:bCs/>
          <w:sz w:val="28"/>
          <w:szCs w:val="28"/>
        </w:rPr>
        <w:t>两次APERF读点之间的MPERF增量位于[L,H]，对正分母取倒数便得到式（5-6）。该上下界仅处理读取不同步的问题，不是统计置信区间。实验事前要求整个频率估计范围处于参考值±1%以内，并同时限制线程活动比例的代理指标、三次读取跨度和相邻快照间隔，具体判断规则见附录。所有实际观察窗口与长尾均保留，本次调用、计数快照和读钟均无失败记录。</w:t>
      </w:r>
    </w:p>
    <w:p w14:paraId="CA160008">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表5.11　受控运行的调用数量与观测窗口覆盖率</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2948"/>
        <w:gridCol w:w="6009"/>
      </w:tblGrid>
      <w:tr>
        <w:trPr>
          <w:trHeight w:val="520" w:hRule="atLeast"/>
          <w:cantSplit/>
          <w:tblHeader w:val="1"/>
        </w:trPr>
        <w:tc>
          <w:tcPr>
            <w:tcW w:type="dxa" w:w="2948"/>
            <w:tcBorders>
              <w:top w:val="single" w:sz="10" w:color="000000"/>
              <w:bottom w:val="single" w:sz="4" w:color="000000"/>
            </w:tcBorders>
          </w:tcPr>
          <w:p w14:paraId="CA160009">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指标</w:t>
            </w:r>
          </w:p>
        </w:tc>
        <w:tc>
          <w:tcPr>
            <w:tcW w:type="dxa" w:w="6009"/>
            <w:tcBorders>
              <w:top w:val="single" w:sz="10" w:color="000000"/>
              <w:bottom w:val="single" w:sz="4" w:color="000000"/>
            </w:tcBorders>
          </w:tcPr>
          <w:p w14:paraId="CA16000A">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正常进程原值</w:t>
            </w:r>
          </w:p>
        </w:tc>
      </w:tr>
      <w:tr>
        <w:trPr>
          <w:trHeight w:val="520" w:hRule="atLeast"/>
          <w:cantSplit/>
        </w:trPr>
        <w:tc>
          <w:tcPr>
            <w:tcW w:type="dxa" w:w="2948"/>
            <w:tcBorders>
              <w:top w:val="nil" w:sz="10" w:color="000000"/>
              <w:bottom w:val="nil" w:sz="10" w:color="000000"/>
            </w:tcBorders>
          </w:tcPr>
          <w:p w14:paraId="CA16000B">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全部／主阶段调用</w:t>
            </w:r>
          </w:p>
        </w:tc>
        <w:tc>
          <w:tcPr>
            <w:tcW w:type="dxa" w:w="6009"/>
            <w:tcBorders>
              <w:top w:val="nil" w:sz="10" w:color="000000"/>
              <w:bottom w:val="nil" w:sz="10" w:color="000000"/>
            </w:tcBorders>
          </w:tcPr>
          <w:p w14:paraId="CA16000C">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126528／101248</w:t>
            </w:r>
          </w:p>
        </w:tc>
      </w:tr>
      <w:tr>
        <w:trPr>
          <w:trHeight w:val="520" w:hRule="atLeast"/>
          <w:cantSplit/>
        </w:trPr>
        <w:tc>
          <w:tcPr>
            <w:tcW w:type="dxa" w:w="2948"/>
            <w:tcBorders>
              <w:top w:val="nil" w:sz="10" w:color="000000"/>
              <w:bottom w:val="nil" w:sz="10" w:color="000000"/>
            </w:tcBorders>
          </w:tcPr>
          <w:p w14:paraId="CA16000D">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快照／检查点</w:t>
            </w:r>
          </w:p>
        </w:tc>
        <w:tc>
          <w:tcPr>
            <w:tcW w:type="dxa" w:w="6009"/>
            <w:tcBorders>
              <w:top w:val="nil" w:sz="10" w:color="000000"/>
              <w:bottom w:val="nil" w:sz="10" w:color="000000"/>
            </w:tcBorders>
          </w:tcPr>
          <w:p w14:paraId="CA16000E">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251／1977</w:t>
            </w:r>
          </w:p>
        </w:tc>
      </w:tr>
      <w:tr>
        <w:trPr>
          <w:trHeight w:val="520" w:hRule="atLeast"/>
          <w:cantSplit/>
        </w:trPr>
        <w:tc>
          <w:tcPr>
            <w:tcW w:type="dxa" w:w="2948"/>
            <w:tcBorders>
              <w:top w:val="nil" w:sz="10" w:color="000000"/>
              <w:bottom w:val="nil" w:sz="10" w:color="000000"/>
            </w:tcBorders>
          </w:tcPr>
          <w:p w14:paraId="CA16000F">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主阶段总时长</w:t>
            </w:r>
          </w:p>
        </w:tc>
        <w:tc>
          <w:tcPr>
            <w:tcW w:type="dxa" w:w="6009"/>
            <w:tcBorders>
              <w:top w:val="nil" w:sz="10" w:color="000000"/>
              <w:bottom w:val="nil" w:sz="10" w:color="000000"/>
            </w:tcBorders>
          </w:tcPr>
          <w:p w14:paraId="CA160010">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4002203951 ns</w:t>
            </w:r>
          </w:p>
        </w:tc>
      </w:tr>
      <w:tr>
        <w:trPr>
          <w:trHeight w:val="520" w:hRule="atLeast"/>
          <w:cantSplit/>
        </w:trPr>
        <w:tc>
          <w:tcPr>
            <w:tcW w:type="dxa" w:w="2948"/>
            <w:tcBorders>
              <w:top w:val="nil" w:sz="10" w:color="000000"/>
              <w:bottom w:val="nil" w:sz="10" w:color="000000"/>
            </w:tcBorders>
          </w:tcPr>
          <w:p w14:paraId="CA160011">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实际主观察区间／全部规则通过</w:t>
            </w:r>
          </w:p>
        </w:tc>
        <w:tc>
          <w:tcPr>
            <w:tcW w:type="dxa" w:w="6009"/>
            <w:tcBorders>
              <w:top w:val="nil" w:sz="10" w:color="000000"/>
              <w:bottom w:val="nil" w:sz="10" w:color="000000"/>
            </w:tcBorders>
          </w:tcPr>
          <w:p w14:paraId="CA160012">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200／200；首个跨界区间 1个仍参加判定</w:t>
            </w:r>
          </w:p>
        </w:tc>
      </w:tr>
      <w:tr>
        <w:trPr>
          <w:trHeight w:val="520" w:hRule="atLeast"/>
          <w:cantSplit/>
        </w:trPr>
        <w:tc>
          <w:tcPr>
            <w:tcW w:type="dxa" w:w="2948"/>
            <w:tcBorders>
              <w:top w:val="nil" w:sz="10" w:color="000000"/>
              <w:bottom w:val="nil" w:sz="10" w:color="000000"/>
            </w:tcBorders>
          </w:tcPr>
          <w:p w14:paraId="CA160013">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完整位于主阶段的窗口</w:t>
            </w:r>
          </w:p>
        </w:tc>
        <w:tc>
          <w:tcPr>
            <w:tcW w:type="dxa" w:w="6009"/>
            <w:tcBorders>
              <w:top w:val="nil" w:sz="10" w:color="000000"/>
              <w:bottom w:val="nil" w:sz="10" w:color="000000"/>
            </w:tcBorders>
          </w:tcPr>
          <w:p w14:paraId="CA160014">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199个；跨界区间不计主阶段覆盖率</w:t>
            </w:r>
          </w:p>
        </w:tc>
      </w:tr>
      <w:tr>
        <w:trPr>
          <w:trHeight w:val="520" w:hRule="atLeast"/>
          <w:cantSplit/>
        </w:trPr>
        <w:tc>
          <w:tcPr>
            <w:tcW w:type="dxa" w:w="2948"/>
            <w:tcBorders>
              <w:top w:val="nil" w:sz="10" w:color="000000"/>
              <w:bottom w:val="nil" w:sz="10" w:color="000000"/>
            </w:tcBorders>
          </w:tcPr>
          <w:p w14:paraId="CA160015">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主阶段观测窗口覆盖率</w:t>
            </w:r>
          </w:p>
        </w:tc>
        <w:tc>
          <w:tcPr>
            <w:tcW w:type="dxa" w:w="6009"/>
            <w:tcBorders>
              <w:top w:val="nil" w:sz="10" w:color="000000"/>
              <w:bottom w:val="nil" w:sz="10" w:color="000000"/>
            </w:tcBorders>
          </w:tcPr>
          <w:p w14:paraId="CA160016">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3981985286／4002203951 ns，99.4948%</w:t>
            </w:r>
          </w:p>
        </w:tc>
      </w:tr>
      <w:tr>
        <w:trPr>
          <w:trHeight w:val="520" w:hRule="atLeast"/>
          <w:cantSplit/>
        </w:trPr>
        <w:tc>
          <w:tcPr>
            <w:tcW w:type="dxa" w:w="2948"/>
            <w:tcBorders>
              <w:top w:val="nil" w:sz="10" w:color="000000"/>
              <w:bottom w:val="nil" w:sz="10" w:color="000000"/>
            </w:tcBorders>
          </w:tcPr>
          <w:p w14:paraId="CA160017">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完整位于观测窗口内的主阶段调用</w:t>
            </w:r>
          </w:p>
        </w:tc>
        <w:tc>
          <w:tcPr>
            <w:tcW w:type="dxa" w:w="6009"/>
            <w:tcBorders>
              <w:top w:val="nil" w:sz="10" w:color="000000"/>
              <w:bottom w:val="nil" w:sz="10" w:color="000000"/>
            </w:tcBorders>
          </w:tcPr>
          <w:p w14:paraId="CA160018">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100736／101248</w:t>
            </w:r>
          </w:p>
        </w:tc>
      </w:tr>
      <w:tr>
        <w:trPr>
          <w:trHeight w:val="520" w:hRule="atLeast"/>
          <w:cantSplit/>
        </w:trPr>
        <w:tc>
          <w:tcPr>
            <w:tcW w:type="dxa" w:w="2948"/>
            <w:tcBorders>
              <w:top w:val="nil" w:sz="10" w:color="000000"/>
              <w:bottom w:val="single" w:sz="10" w:color="000000"/>
            </w:tcBorders>
          </w:tcPr>
          <w:p w14:paraId="CA160019">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首／尾／内部缺口</w:t>
            </w:r>
          </w:p>
        </w:tc>
        <w:tc>
          <w:tcPr>
            <w:tcW w:type="dxa" w:w="6009"/>
            <w:tcBorders>
              <w:top w:val="nil" w:sz="10" w:color="000000"/>
              <w:bottom w:val="single" w:sz="10" w:color="000000"/>
            </w:tcBorders>
          </w:tcPr>
          <w:p w14:paraId="CA16001A">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20170432／13224／35009 ns</w:t>
            </w:r>
          </w:p>
        </w:tc>
      </w:tr>
    </w:tbl>
    <w:p w14:paraId="CA16001B">
      <w:pPr>
        <w:pStyle w:val="RWBody"/>
        <w:widowControl/>
        <w:adjustRightInd w:val="0"/>
        <w:snapToGrid w:val="0"/>
        <w:spacing w:line="480" w:lineRule="exact"/>
      </w:pPr>
      <w:r>
        <w:rPr>
          <w:rFonts w:ascii="楷体_GB2312" w:hAnsi="Times New Roman" w:eastAsia="楷体_GB2312"/>
          <w:bCs/>
          <w:sz w:val="28"/>
          <w:szCs w:val="28"/>
        </w:rPr>
        <w:t>图5.8展示全部200个主观察窗口的平均频率估计范围，以及完全位于主阶段内的观察窗口累计覆盖时间。覆盖率按被这些窗口覆盖的时长除以主阶段墙钟时长定义，用于说明反馈记录覆盖了多少观察时间。</w:t>
      </w:r>
    </w:p>
    <w:p xmlns:a="http://schemas.openxmlformats.org/drawingml/2006/main" xmlns:pic="http://schemas.openxmlformats.org/drawingml/2006/picture" w14:paraId="CA16001C">
      <w:pPr>
        <w:pStyle w:val="RWBody"/>
        <w:keepNext/>
        <w:widowControl/>
        <w:spacing w:line="240" w:lineRule="auto"/>
        <w:ind w:firstLine="0"/>
        <w:jc w:val="center"/>
        <w:snapToGrid w:val="0"/>
      </w:pPr>
      <w:r>
        <w:drawing>
          <wp:inline>
            <wp:extent cx="5688000" cy="3657878"/>
            <wp:effectExtent b="0" l="0" r="0" t="0"/>
            <wp:docPr descr="figure-5-8" title="" id="87" name="G2窗口工程观察"/>
            <a:graphic>
              <a:graphicData uri="http://schemas.openxmlformats.org/drawingml/2006/picture">
                <pic:pic>
                  <pic:nvPicPr>
                    <pic:cNvPr descr="一次普通参考进程的CPU2主观察窗口及纯主阶段平均窗口几何覆盖比例" id="88" name="G2窗口工程观察"/>
                    <pic:cNvPicPr>
                      <a:picLocks noChangeArrowheads="1" noChangeAspect="1"/>
                    </pic:cNvPicPr>
                  </pic:nvPicPr>
                  <pic:blipFill>
                    <a:blip r:embed="rId28"/>
                    <a:stretch>
                      <a:fillRect/>
                    </a:stretch>
                  </pic:blipFill>
                  <pic:spPr bwMode="auto">
                    <a:xfrm>
                      <a:off x="0" y="0"/>
                      <a:ext cx="5688000" cy="3657878"/>
                    </a:xfrm>
                    <a:prstGeom prst="rect">
                      <a:avLst/>
                    </a:prstGeom>
                    <a:noFill/>
                    <a:ln w="9525">
                      <a:noFill/>
                      <a:headEnd/>
                      <a:tailEnd/>
                    </a:ln>
                  </pic:spPr>
                </pic:pic>
              </a:graphicData>
            </a:graphic>
          </wp:inline>
        </w:drawing>
      </w:r>
    </w:p>
    <w:p w14:paraId="CA16001D">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图5.8　受控运行的平均频率估计与观测窗口覆盖率。上图为200个相邻快照区间，阴影为事前±1%允许范围；下图为主阶段覆盖时长占比。</w:t>
      </w:r>
    </w:p>
    <w:p w14:paraId="CA16001E">
      <w:pPr>
        <w:pStyle w:val="RWBody"/>
        <w:widowControl/>
        <w:adjustRightInd w:val="0"/>
        <w:snapToGrid w:val="0"/>
        <w:spacing w:line="480" w:lineRule="exact"/>
      </w:pPr>
      <w:r>
        <w:rPr>
          <w:rFonts w:ascii="楷体_GB2312" w:hAnsi="Times New Roman" w:eastAsia="楷体_GB2312"/>
          <w:bCs/>
          <w:sz w:val="28"/>
          <w:szCs w:val="28"/>
        </w:rPr>
        <w:t>200个相邻快照区间均满足事前工程要求，但它们来自同一个进程，不能当作200次独立重复。首个区间跨越预热与主阶段的边界，仍参与频率判断，以空心符号标出。平均频率反映一段时间内的活动状态，并不能据此确定每一次解封装调用中的瞬时频率。线程处理器时间与墙钟时间的比值也只是活动程度的代理指标。</w:t>
      </w:r>
    </w:p>
    <w:p w14:paraId="CA16001F">
      <w:pPr>
        <w:pStyle w:val="RWBody"/>
        <w:widowControl/>
        <w:adjustRightInd w:val="0"/>
        <w:snapToGrid w:val="0"/>
        <w:spacing w:line="480" w:lineRule="exact"/>
      </w:pPr>
      <w:r>
        <w:rPr>
          <w:rFonts w:ascii="楷体_GB2312" w:hAnsi="Times New Roman" w:eastAsia="楷体_GB2312"/>
          <w:bCs/>
          <w:sz w:val="28"/>
          <w:szCs w:val="28"/>
        </w:rPr>
        <w:t>覆盖率的分子仅使用完整位于主阶段的199个窗口，不包含首个跨界窗口。其覆盖时长与起始、末尾及内部间隙之和，精确等于主观察时长。另一个逻辑线程的反馈只作为环境信息保存，不能视为第二组独立密码测量。</w:t>
      </w:r>
    </w:p>
    <w:p w14:paraId="CA160020">
      <w:pPr>
        <w:pStyle w:val="RWBody"/>
        <w:widowControl/>
        <w:adjustRightInd w:val="0"/>
        <w:snapToGrid w:val="0"/>
        <w:spacing w:line="480" w:lineRule="exact"/>
      </w:pPr>
      <w:r>
        <w:rPr>
          <w:rFonts w:ascii="楷体_GB2312" w:hAnsi="Times New Roman" w:eastAsia="楷体_GB2312"/>
          <w:bCs/>
          <w:sz w:val="28"/>
          <w:szCs w:val="28"/>
        </w:rPr>
        <w:t>中断试验在开始运行后约0.255407秒发出预定取消请求；该时间表示请求发出的时点，不是恢复耗时。中断后的输出为空，因此测量结果记为未知，不能写成零调用。两条路径结束后均核对原进程已结束、目标策略的可见设置恢复、逻辑CPU归还及临时隔离资源删除。恢复检查支持本次已测试路径的工程行为，不覆盖整机故障、恢复进程自身故障或固件内部状态。</w:t>
      </w:r>
    </w:p>
    <w:p w14:paraId="CA17000B">
      <w:pPr>
        <w:pStyle w:val="RWBody"/>
        <w:widowControl/>
        <w:adjustRightInd w:val="0"/>
        <w:snapToGrid w:val="0"/>
        <w:spacing w:line="480" w:lineRule="exact"/>
      </w:pPr>
      <w:r>
        <w:rPr>
          <w:rFonts w:ascii="楷体_GB2312" w:hAnsi="Times New Roman" w:eastAsia="楷体_GB2312"/>
          <w:bCs/>
          <w:sz w:val="28"/>
          <w:szCs w:val="28"/>
        </w:rPr>
        <w:t>同一次受控运行还用于分析完整解封装的耗时分布，无新增采集。全部126528次调用包含25280次预热和101248次主阶段调用，表5.12保留全部长尾。分位数沿用第2章定义，中位数绝对偏差不缩放。按调用次序分段或按八个输入分组，仅改变描述方式，并未增加独立实验次数。</w:t>
      </w:r>
    </w:p>
    <w:p w14:paraId="CA17000C">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表5.12　受控运行的完整调用耗时</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397"/>
        <w:gridCol w:w="1260"/>
        <w:gridCol w:w="1260"/>
        <w:gridCol w:w="1260"/>
        <w:gridCol w:w="1260"/>
        <w:gridCol w:w="1260"/>
        <w:gridCol w:w="1260"/>
      </w:tblGrid>
      <w:tr>
        <w:trPr>
          <w:trHeight w:val="520" w:hRule="atLeast"/>
          <w:cantSplit/>
          <w:tblHeader w:val="1"/>
        </w:trPr>
        <w:tc>
          <w:tcPr>
            <w:tcW w:type="dxa" w:w="1397"/>
            <w:tcBorders>
              <w:top w:val="single" w:sz="10" w:color="000000"/>
              <w:bottom w:val="single" w:sz="4" w:color="000000"/>
            </w:tcBorders>
          </w:tcPr>
          <w:p w14:paraId="CA17000D">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阶段</w:t>
            </w:r>
          </w:p>
        </w:tc>
        <w:tc>
          <w:tcPr>
            <w:tcW w:type="dxa" w:w="1260"/>
            <w:tcBorders>
              <w:top w:val="single" w:sz="10" w:color="000000"/>
              <w:bottom w:val="single" w:sz="4" w:color="000000"/>
            </w:tcBorders>
          </w:tcPr>
          <w:p w14:paraId="CA17000E">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调用数</w:t>
            </w:r>
          </w:p>
        </w:tc>
        <w:tc>
          <w:tcPr>
            <w:tcW w:type="dxa" w:w="1260"/>
            <w:tcBorders>
              <w:top w:val="single" w:sz="10" w:color="000000"/>
              <w:bottom w:val="single" w:sz="4" w:color="000000"/>
            </w:tcBorders>
          </w:tcPr>
          <w:p w14:paraId="CA17000F">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P50/ns</w:t>
            </w:r>
          </w:p>
        </w:tc>
        <w:tc>
          <w:tcPr>
            <w:tcW w:type="dxa" w:w="1260"/>
            <w:tcBorders>
              <w:top w:val="single" w:sz="10" w:color="000000"/>
              <w:bottom w:val="single" w:sz="4" w:color="000000"/>
            </w:tcBorders>
          </w:tcPr>
          <w:p w14:paraId="CA170010">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P90/ns</w:t>
            </w:r>
          </w:p>
        </w:tc>
        <w:tc>
          <w:tcPr>
            <w:tcW w:type="dxa" w:w="1260"/>
            <w:tcBorders>
              <w:top w:val="single" w:sz="10" w:color="000000"/>
              <w:bottom w:val="single" w:sz="4" w:color="000000"/>
            </w:tcBorders>
          </w:tcPr>
          <w:p w14:paraId="CA170011">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P99/ns</w:t>
            </w:r>
          </w:p>
        </w:tc>
        <w:tc>
          <w:tcPr>
            <w:tcW w:type="dxa" w:w="1260"/>
            <w:tcBorders>
              <w:top w:val="single" w:sz="10" w:color="000000"/>
              <w:bottom w:val="single" w:sz="4" w:color="000000"/>
            </w:tcBorders>
          </w:tcPr>
          <w:p w14:paraId="CA170012">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最大/ns</w:t>
            </w:r>
          </w:p>
        </w:tc>
        <w:tc>
          <w:tcPr>
            <w:tcW w:type="dxa" w:w="1260"/>
            <w:tcBorders>
              <w:top w:val="single" w:sz="10" w:color="000000"/>
              <w:bottom w:val="single" w:sz="4" w:color="000000"/>
            </w:tcBorders>
          </w:tcPr>
          <w:p w14:paraId="CA170013">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MAD/ns</w:t>
            </w:r>
          </w:p>
        </w:tc>
      </w:tr>
      <w:tr>
        <w:trPr>
          <w:trHeight w:val="520" w:hRule="atLeast"/>
          <w:cantSplit/>
        </w:trPr>
        <w:tc>
          <w:tcPr>
            <w:tcW w:type="dxa" w:w="1397"/>
            <w:tcBorders>
              <w:top w:val="nil" w:sz="10" w:color="000000"/>
              <w:bottom w:val="nil" w:sz="10" w:color="000000"/>
            </w:tcBorders>
          </w:tcPr>
          <w:p w14:paraId="CA170014">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预热</w:t>
            </w:r>
          </w:p>
        </w:tc>
        <w:tc>
          <w:tcPr>
            <w:tcW w:type="dxa" w:w="1260"/>
            <w:tcBorders>
              <w:top w:val="nil" w:sz="10" w:color="000000"/>
              <w:bottom w:val="nil" w:sz="10" w:color="000000"/>
            </w:tcBorders>
          </w:tcPr>
          <w:p w14:paraId="CA170015">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25280</w:t>
            </w:r>
          </w:p>
        </w:tc>
        <w:tc>
          <w:tcPr>
            <w:tcW w:type="dxa" w:w="1260"/>
            <w:tcBorders>
              <w:top w:val="nil" w:sz="10" w:color="000000"/>
              <w:bottom w:val="nil" w:sz="10" w:color="000000"/>
            </w:tcBorders>
          </w:tcPr>
          <w:p w14:paraId="CA170016">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39314</w:t>
            </w:r>
          </w:p>
        </w:tc>
        <w:tc>
          <w:tcPr>
            <w:tcW w:type="dxa" w:w="1260"/>
            <w:tcBorders>
              <w:top w:val="nil" w:sz="10" w:color="000000"/>
              <w:bottom w:val="nil" w:sz="10" w:color="000000"/>
            </w:tcBorders>
          </w:tcPr>
          <w:p w14:paraId="CA170017">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39865</w:t>
            </w:r>
          </w:p>
        </w:tc>
        <w:tc>
          <w:tcPr>
            <w:tcW w:type="dxa" w:w="1260"/>
            <w:tcBorders>
              <w:top w:val="nil" w:sz="10" w:color="000000"/>
              <w:bottom w:val="nil" w:sz="10" w:color="000000"/>
            </w:tcBorders>
          </w:tcPr>
          <w:p w14:paraId="CA170018">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42099</w:t>
            </w:r>
          </w:p>
        </w:tc>
        <w:tc>
          <w:tcPr>
            <w:tcW w:type="dxa" w:w="1260"/>
            <w:tcBorders>
              <w:top w:val="nil" w:sz="10" w:color="000000"/>
              <w:bottom w:val="nil" w:sz="10" w:color="000000"/>
            </w:tcBorders>
          </w:tcPr>
          <w:p w14:paraId="CA170019">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61005</w:t>
            </w:r>
          </w:p>
        </w:tc>
        <w:tc>
          <w:tcPr>
            <w:tcW w:type="dxa" w:w="1260"/>
            <w:tcBorders>
              <w:top w:val="nil" w:sz="10" w:color="000000"/>
              <w:bottom w:val="nil" w:sz="10" w:color="000000"/>
            </w:tcBorders>
          </w:tcPr>
          <w:p w14:paraId="CA17001A">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130</w:t>
            </w:r>
          </w:p>
        </w:tc>
      </w:tr>
      <w:tr>
        <w:trPr>
          <w:trHeight w:val="520" w:hRule="atLeast"/>
          <w:cantSplit/>
        </w:trPr>
        <w:tc>
          <w:tcPr>
            <w:tcW w:type="dxa" w:w="1397"/>
            <w:tcBorders>
              <w:top w:val="nil" w:sz="10" w:color="000000"/>
              <w:bottom w:val="single" w:sz="10" w:color="000000"/>
            </w:tcBorders>
          </w:tcPr>
          <w:p w14:paraId="CA17001B">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主阶段</w:t>
            </w:r>
          </w:p>
        </w:tc>
        <w:tc>
          <w:tcPr>
            <w:tcW w:type="dxa" w:w="1260"/>
            <w:tcBorders>
              <w:top w:val="nil" w:sz="10" w:color="000000"/>
              <w:bottom w:val="single" w:sz="10" w:color="000000"/>
            </w:tcBorders>
          </w:tcPr>
          <w:p w14:paraId="CA17001C">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101248</w:t>
            </w:r>
          </w:p>
        </w:tc>
        <w:tc>
          <w:tcPr>
            <w:tcW w:type="dxa" w:w="1260"/>
            <w:tcBorders>
              <w:top w:val="nil" w:sz="10" w:color="000000"/>
              <w:bottom w:val="single" w:sz="10" w:color="000000"/>
            </w:tcBorders>
          </w:tcPr>
          <w:p w14:paraId="CA17001D">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39274</w:t>
            </w:r>
          </w:p>
        </w:tc>
        <w:tc>
          <w:tcPr>
            <w:tcW w:type="dxa" w:w="1260"/>
            <w:tcBorders>
              <w:top w:val="nil" w:sz="10" w:color="000000"/>
              <w:bottom w:val="single" w:sz="10" w:color="000000"/>
            </w:tcBorders>
          </w:tcPr>
          <w:p w14:paraId="CA17001E">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39844</w:t>
            </w:r>
          </w:p>
        </w:tc>
        <w:tc>
          <w:tcPr>
            <w:tcW w:type="dxa" w:w="1260"/>
            <w:tcBorders>
              <w:top w:val="nil" w:sz="10" w:color="000000"/>
              <w:bottom w:val="single" w:sz="10" w:color="000000"/>
            </w:tcBorders>
          </w:tcPr>
          <w:p w14:paraId="CA17001F">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41498</w:t>
            </w:r>
          </w:p>
        </w:tc>
        <w:tc>
          <w:tcPr>
            <w:tcW w:type="dxa" w:w="1260"/>
            <w:tcBorders>
              <w:top w:val="nil" w:sz="10" w:color="000000"/>
              <w:bottom w:val="single" w:sz="10" w:color="000000"/>
            </w:tcBorders>
          </w:tcPr>
          <w:p w14:paraId="CA170020">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82996</w:t>
            </w:r>
          </w:p>
        </w:tc>
        <w:tc>
          <w:tcPr>
            <w:tcW w:type="dxa" w:w="1260"/>
            <w:tcBorders>
              <w:top w:val="nil" w:sz="10" w:color="000000"/>
              <w:bottom w:val="single" w:sz="10" w:color="000000"/>
            </w:tcBorders>
          </w:tcPr>
          <w:p w14:paraId="CA170021">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90</w:t>
            </w:r>
          </w:p>
        </w:tc>
      </w:tr>
    </w:tbl>
    <w:p w14:paraId="CA170022">
      <w:pPr>
        <w:pStyle w:val="RWBody"/>
        <w:widowControl/>
        <w:adjustRightInd w:val="0"/>
        <w:snapToGrid w:val="0"/>
        <w:spacing w:line="480" w:lineRule="exact"/>
      </w:pPr>
      <w:r>
        <w:rPr>
          <w:rFonts w:ascii="楷体_GB2312" w:hAnsi="Times New Roman" w:eastAsia="楷体_GB2312"/>
          <w:bCs/>
          <w:sz w:val="28"/>
          <w:szCs w:val="28"/>
        </w:rPr>
        <w:t>主阶段平均耗时的精确值为3993729753/101248 ns。完整调用窗口总和与首间隙、相邻间隙总和、尾间隙，按顺序构成主阶段总时长的分解：</w:t>
      </w:r>
    </w:p>
    <w:p w14:paraId="CA170023">
      <w:pPr>
        <w:pStyle w:val="RWBody"/>
        <w:keepLines/>
        <w:widowControl/>
        <w:tabs>
          <w:tab w:pos="4819" w:val="center"/>
          <w:tab w:pos="9638" w:val="right"/>
        </w:tabs>
        <w:spacing w:line="360" w:lineRule="auto" w:before="140" w:after="160"/>
        <w:ind w:firstLine="0"/>
        <w:snapToGrid w:val="0"/>
      </w:pPr>
      <w:r>
        <w:tab/>
      </w:r>
      <m:oMath>
        <m:r>
          <m:rPr>
            <m:sty m:val="p"/>
          </m:rPr>
          <w:rPr>
            <w:sz w:val="28"/>
          </w:rPr>
          <m:t>4002203951=3993729753+60+8460192+13946 ns</m:t>
        </m:r>
      </m:oMath>
      <w:r>
        <w:rPr>
          <w:rFonts w:ascii="Times New Roman" w:hAnsi="Times New Roman" w:eastAsia="SimSun"/>
          <w:sz w:val="22"/>
        </w:rPr>
        <w:tab/>
        <w:t>(5-7)</w:t>
      </w:r>
    </w:p>
    <w:p w14:paraId="CA170024">
      <w:pPr>
        <w:pStyle w:val="RWBody"/>
        <w:widowControl/>
        <w:adjustRightInd w:val="0"/>
        <w:snapToGrid w:val="0"/>
        <w:spacing w:line="480" w:lineRule="exact"/>
      </w:pPr>
      <w:r>
        <w:rPr>
          <w:rFonts w:ascii="楷体_GB2312" w:hAnsi="Times New Roman" w:eastAsia="楷体_GB2312"/>
          <w:bCs/>
          <w:sz w:val="28"/>
          <w:szCs w:val="28"/>
        </w:rPr>
        <w:t>式（5-7）按调用内外的时间划分主观察时长，与频率观测窗口的覆盖率是两种不同分解。计时窗口之外的时间不能直接解释为频率未知的时间。主阶段P99与最大值还表明，即使平均频率满足事前要求，个别调用仍可能明显变慢；当前数据不足以把这些长尾归因于某一个硬件或系统因素。</w:t>
      </w:r>
    </w:p>
    <w:bookmarkEnd w:id="542"/>
    <w:bookmarkStart w:id="544" w:name="rw_heading_repeatability_20261010"/>
    <w:p w14:paraId="CA170025">
      <w:pPr>
        <w:pStyle w:val="RWSection"/>
        <w:spacing w:before="240" w:after="240" w:line="360" w:lineRule="auto"/>
        <w:keepNext/>
        <w:keepLines/>
        <w:outlineLvl w:val="1"/>
      </w:pPr>
      <w:bookmarkStart w:id="9018" w:name="paper_heading_9018"/>
      <w:r>
        <w:rPr>
          <w:rFonts w:ascii="Times New Roman" w:hAnsi="Times New Roman" w:eastAsia="黑体" w:cs="Times New Roman"/>
          <w:sz w:val="28"/>
          <w:szCs w:val="28"/>
          <w:b/>
        </w:rPr>
        <w:t>5.10　空窗口开销与完整调用的运行间变异</w:t>
      </w:r>
      <w:bookmarkEnd w:id="9018"/>
    </w:p>
    <w:p w14:paraId="CA170026">
      <w:pPr>
        <w:pStyle w:val="RWBody"/>
        <w:widowControl/>
        <w:adjustRightInd w:val="0"/>
        <w:snapToGrid w:val="0"/>
        <w:spacing w:line="480" w:lineRule="exact"/>
      </w:pPr>
      <w:r>
        <w:rPr>
          <w:rFonts w:ascii="楷体_GB2312" w:hAnsi="Times New Roman" w:eastAsia="楷体_GB2312"/>
          <w:bCs/>
          <w:sz w:val="28"/>
          <w:szCs w:val="28"/>
        </w:rPr>
        <w:t>后续两项实验仍在Ryzen 9 9950X裸金属和Ubuntu 24.04.4上进行，使用GCC 13.3.0编译的普通优化程序。它们仅设置采集进程的CPU亲和性，没有申请CPU独占或调整频率。时间来自原始单调时钟，标称分辨率为1 ns。由于输入、预热及资源条件与受控窗口实验不同，本节约30.7 μs的中位时间不能与上节约39.3 μs直接组成算法加速比。</w:t>
      </w:r>
    </w:p>
    <w:p w14:paraId="CA170027">
      <w:pPr>
        <w:pStyle w:val="RWBody"/>
        <w:widowControl/>
        <w:adjustRightInd w:val="0"/>
        <w:snapToGrid w:val="0"/>
        <w:spacing w:line="480" w:lineRule="exact"/>
      </w:pPr>
      <w:r>
        <w:rPr>
          <w:rFonts w:ascii="楷体_GB2312" w:hAnsi="Times New Roman" w:eastAsia="楷体_GB2312"/>
          <w:bCs/>
          <w:sz w:val="28"/>
          <w:szCs w:val="28"/>
        </w:rPr>
        <w:t>空窗口实验连续执行三个新进程，每个先预热1000次，再记录100000次相邻读钟之间的时间差，共保存303000个窗口、606000次采样读钟，不执行密码算法。两个时间戳均取得后再转换单位，以减少窗口内的附加处理。表5.13列出主阶段空窗口内的分布，三个进程均没有零增量。</w:t>
      </w:r>
    </w:p>
    <w:p w14:paraId="CA170028">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表5.13　主阶段空窗口时间差</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397"/>
        <w:gridCol w:w="1260"/>
        <w:gridCol w:w="1260"/>
        <w:gridCol w:w="1260"/>
        <w:gridCol w:w="1260"/>
        <w:gridCol w:w="1260"/>
        <w:gridCol w:w="1260"/>
      </w:tblGrid>
      <w:tr>
        <w:trPr>
          <w:trHeight w:val="520" w:hRule="atLeast"/>
          <w:cantSplit/>
          <w:tblHeader w:val="1"/>
        </w:trPr>
        <w:tc>
          <w:tcPr>
            <w:tcW w:type="dxa" w:w="1397"/>
            <w:tcBorders>
              <w:top w:val="single" w:sz="10" w:color="000000"/>
              <w:bottom w:val="single" w:sz="4" w:color="000000"/>
            </w:tcBorders>
          </w:tcPr>
          <w:p w14:paraId="CA170029">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进程</w:t>
            </w:r>
          </w:p>
        </w:tc>
        <w:tc>
          <w:tcPr>
            <w:tcW w:type="dxa" w:w="1260"/>
            <w:tcBorders>
              <w:top w:val="single" w:sz="10" w:color="000000"/>
              <w:bottom w:val="single" w:sz="4" w:color="000000"/>
            </w:tcBorders>
          </w:tcPr>
          <w:p w14:paraId="CA17002A">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最小/ns</w:t>
            </w:r>
          </w:p>
        </w:tc>
        <w:tc>
          <w:tcPr>
            <w:tcW w:type="dxa" w:w="1260"/>
            <w:tcBorders>
              <w:top w:val="single" w:sz="10" w:color="000000"/>
              <w:bottom w:val="single" w:sz="4" w:color="000000"/>
            </w:tcBorders>
          </w:tcPr>
          <w:p w14:paraId="CA17002B">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P50/ns</w:t>
            </w:r>
          </w:p>
        </w:tc>
        <w:tc>
          <w:tcPr>
            <w:tcW w:type="dxa" w:w="1260"/>
            <w:tcBorders>
              <w:top w:val="single" w:sz="10" w:color="000000"/>
              <w:bottom w:val="single" w:sz="4" w:color="000000"/>
            </w:tcBorders>
          </w:tcPr>
          <w:p w14:paraId="CA17002C">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P90/ns</w:t>
            </w:r>
          </w:p>
        </w:tc>
        <w:tc>
          <w:tcPr>
            <w:tcW w:type="dxa" w:w="1260"/>
            <w:tcBorders>
              <w:top w:val="single" w:sz="10" w:color="000000"/>
              <w:bottom w:val="single" w:sz="4" w:color="000000"/>
            </w:tcBorders>
          </w:tcPr>
          <w:p w14:paraId="CA17002D">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P99/ns</w:t>
            </w:r>
          </w:p>
        </w:tc>
        <w:tc>
          <w:tcPr>
            <w:tcW w:type="dxa" w:w="1260"/>
            <w:tcBorders>
              <w:top w:val="single" w:sz="10" w:color="000000"/>
              <w:bottom w:val="single" w:sz="4" w:color="000000"/>
            </w:tcBorders>
          </w:tcPr>
          <w:p w14:paraId="CA17002E">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最大/ns</w:t>
            </w:r>
          </w:p>
        </w:tc>
        <w:tc>
          <w:tcPr>
            <w:tcW w:type="dxa" w:w="1260"/>
            <w:tcBorders>
              <w:top w:val="single" w:sz="10" w:color="000000"/>
              <w:bottom w:val="single" w:sz="4" w:color="000000"/>
            </w:tcBorders>
          </w:tcPr>
          <w:p w14:paraId="CA17002F">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MAD/ns</w:t>
            </w:r>
          </w:p>
        </w:tc>
      </w:tr>
      <w:tr>
        <w:trPr>
          <w:trHeight w:val="520" w:hRule="atLeast"/>
          <w:cantSplit/>
        </w:trPr>
        <w:tc>
          <w:tcPr>
            <w:tcW w:type="dxa" w:w="1397"/>
            <w:tcBorders>
              <w:top w:val="nil" w:sz="10" w:color="000000"/>
              <w:bottom w:val="nil" w:sz="10" w:color="000000"/>
            </w:tcBorders>
          </w:tcPr>
          <w:p w14:paraId="CA170030">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空窗1</w:t>
            </w:r>
          </w:p>
        </w:tc>
        <w:tc>
          <w:tcPr>
            <w:tcW w:type="dxa" w:w="1260"/>
            <w:tcBorders>
              <w:top w:val="nil" w:sz="10" w:color="000000"/>
              <w:bottom w:val="nil" w:sz="10" w:color="000000"/>
            </w:tcBorders>
          </w:tcPr>
          <w:p w14:paraId="CA170031">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10</w:t>
            </w:r>
          </w:p>
        </w:tc>
        <w:tc>
          <w:tcPr>
            <w:tcW w:type="dxa" w:w="1260"/>
            <w:tcBorders>
              <w:top w:val="nil" w:sz="10" w:color="000000"/>
              <w:bottom w:val="nil" w:sz="10" w:color="000000"/>
            </w:tcBorders>
          </w:tcPr>
          <w:p w14:paraId="CA170032">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20</w:t>
            </w:r>
          </w:p>
        </w:tc>
        <w:tc>
          <w:tcPr>
            <w:tcW w:type="dxa" w:w="1260"/>
            <w:tcBorders>
              <w:top w:val="nil" w:sz="10" w:color="000000"/>
              <w:bottom w:val="nil" w:sz="10" w:color="000000"/>
            </w:tcBorders>
          </w:tcPr>
          <w:p w14:paraId="CA170033">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20</w:t>
            </w:r>
          </w:p>
        </w:tc>
        <w:tc>
          <w:tcPr>
            <w:tcW w:type="dxa" w:w="1260"/>
            <w:tcBorders>
              <w:top w:val="nil" w:sz="10" w:color="000000"/>
              <w:bottom w:val="nil" w:sz="10" w:color="000000"/>
            </w:tcBorders>
          </w:tcPr>
          <w:p w14:paraId="CA170034">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21</w:t>
            </w:r>
          </w:p>
        </w:tc>
        <w:tc>
          <w:tcPr>
            <w:tcW w:type="dxa" w:w="1260"/>
            <w:tcBorders>
              <w:top w:val="nil" w:sz="10" w:color="000000"/>
              <w:bottom w:val="nil" w:sz="10" w:color="000000"/>
            </w:tcBorders>
          </w:tcPr>
          <w:p w14:paraId="CA170035">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2004</w:t>
            </w:r>
          </w:p>
        </w:tc>
        <w:tc>
          <w:tcPr>
            <w:tcW w:type="dxa" w:w="1260"/>
            <w:tcBorders>
              <w:top w:val="nil" w:sz="10" w:color="000000"/>
              <w:bottom w:val="nil" w:sz="10" w:color="000000"/>
            </w:tcBorders>
          </w:tcPr>
          <w:p w14:paraId="CA170036">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w:t>
            </w:r>
          </w:p>
        </w:tc>
      </w:tr>
      <w:tr>
        <w:trPr>
          <w:trHeight w:val="520" w:hRule="atLeast"/>
          <w:cantSplit/>
        </w:trPr>
        <w:tc>
          <w:tcPr>
            <w:tcW w:type="dxa" w:w="1397"/>
            <w:tcBorders>
              <w:top w:val="nil" w:sz="10" w:color="000000"/>
              <w:bottom w:val="nil" w:sz="10" w:color="000000"/>
            </w:tcBorders>
          </w:tcPr>
          <w:p w14:paraId="CA170037">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空窗2</w:t>
            </w:r>
          </w:p>
        </w:tc>
        <w:tc>
          <w:tcPr>
            <w:tcW w:type="dxa" w:w="1260"/>
            <w:tcBorders>
              <w:top w:val="nil" w:sz="10" w:color="000000"/>
              <w:bottom w:val="nil" w:sz="10" w:color="000000"/>
            </w:tcBorders>
          </w:tcPr>
          <w:p w14:paraId="CA170038">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10</w:t>
            </w:r>
          </w:p>
        </w:tc>
        <w:tc>
          <w:tcPr>
            <w:tcW w:type="dxa" w:w="1260"/>
            <w:tcBorders>
              <w:top w:val="nil" w:sz="10" w:color="000000"/>
              <w:bottom w:val="nil" w:sz="10" w:color="000000"/>
            </w:tcBorders>
          </w:tcPr>
          <w:p w14:paraId="CA170039">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20</w:t>
            </w:r>
          </w:p>
        </w:tc>
        <w:tc>
          <w:tcPr>
            <w:tcW w:type="dxa" w:w="1260"/>
            <w:tcBorders>
              <w:top w:val="nil" w:sz="10" w:color="000000"/>
              <w:bottom w:val="nil" w:sz="10" w:color="000000"/>
            </w:tcBorders>
          </w:tcPr>
          <w:p w14:paraId="CA17003A">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20</w:t>
            </w:r>
          </w:p>
        </w:tc>
        <w:tc>
          <w:tcPr>
            <w:tcW w:type="dxa" w:w="1260"/>
            <w:tcBorders>
              <w:top w:val="nil" w:sz="10" w:color="000000"/>
              <w:bottom w:val="nil" w:sz="10" w:color="000000"/>
            </w:tcBorders>
          </w:tcPr>
          <w:p w14:paraId="CA17003B">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21</w:t>
            </w:r>
          </w:p>
        </w:tc>
        <w:tc>
          <w:tcPr>
            <w:tcW w:type="dxa" w:w="1260"/>
            <w:tcBorders>
              <w:top w:val="nil" w:sz="10" w:color="000000"/>
              <w:bottom w:val="nil" w:sz="10" w:color="000000"/>
            </w:tcBorders>
          </w:tcPr>
          <w:p w14:paraId="CA17003C">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1603</w:t>
            </w:r>
          </w:p>
        </w:tc>
        <w:tc>
          <w:tcPr>
            <w:tcW w:type="dxa" w:w="1260"/>
            <w:tcBorders>
              <w:top w:val="nil" w:sz="10" w:color="000000"/>
              <w:bottom w:val="nil" w:sz="10" w:color="000000"/>
            </w:tcBorders>
          </w:tcPr>
          <w:p w14:paraId="CA17003D">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w:t>
            </w:r>
          </w:p>
        </w:tc>
      </w:tr>
      <w:tr>
        <w:trPr>
          <w:trHeight w:val="520" w:hRule="atLeast"/>
          <w:cantSplit/>
        </w:trPr>
        <w:tc>
          <w:tcPr>
            <w:tcW w:type="dxa" w:w="1397"/>
            <w:tcBorders>
              <w:top w:val="nil" w:sz="10" w:color="000000"/>
              <w:bottom w:val="single" w:sz="10" w:color="000000"/>
            </w:tcBorders>
          </w:tcPr>
          <w:p w14:paraId="CA17003E">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空窗3</w:t>
            </w:r>
          </w:p>
        </w:tc>
        <w:tc>
          <w:tcPr>
            <w:tcW w:type="dxa" w:w="1260"/>
            <w:tcBorders>
              <w:top w:val="nil" w:sz="10" w:color="000000"/>
              <w:bottom w:val="single" w:sz="10" w:color="000000"/>
            </w:tcBorders>
          </w:tcPr>
          <w:p w14:paraId="CA17003F">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10</w:t>
            </w:r>
          </w:p>
        </w:tc>
        <w:tc>
          <w:tcPr>
            <w:tcW w:type="dxa" w:w="1260"/>
            <w:tcBorders>
              <w:top w:val="nil" w:sz="10" w:color="000000"/>
              <w:bottom w:val="single" w:sz="10" w:color="000000"/>
            </w:tcBorders>
          </w:tcPr>
          <w:p w14:paraId="CA170040">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20</w:t>
            </w:r>
          </w:p>
        </w:tc>
        <w:tc>
          <w:tcPr>
            <w:tcW w:type="dxa" w:w="1260"/>
            <w:tcBorders>
              <w:top w:val="nil" w:sz="10" w:color="000000"/>
              <w:bottom w:val="single" w:sz="10" w:color="000000"/>
            </w:tcBorders>
          </w:tcPr>
          <w:p w14:paraId="CA170041">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20</w:t>
            </w:r>
          </w:p>
        </w:tc>
        <w:tc>
          <w:tcPr>
            <w:tcW w:type="dxa" w:w="1260"/>
            <w:tcBorders>
              <w:top w:val="nil" w:sz="10" w:color="000000"/>
              <w:bottom w:val="single" w:sz="10" w:color="000000"/>
            </w:tcBorders>
          </w:tcPr>
          <w:p w14:paraId="CA170042">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21</w:t>
            </w:r>
          </w:p>
        </w:tc>
        <w:tc>
          <w:tcPr>
            <w:tcW w:type="dxa" w:w="1260"/>
            <w:tcBorders>
              <w:top w:val="nil" w:sz="10" w:color="000000"/>
              <w:bottom w:val="single" w:sz="10" w:color="000000"/>
            </w:tcBorders>
          </w:tcPr>
          <w:p w14:paraId="CA170043">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501</w:t>
            </w:r>
          </w:p>
        </w:tc>
        <w:tc>
          <w:tcPr>
            <w:tcW w:type="dxa" w:w="1260"/>
            <w:tcBorders>
              <w:top w:val="nil" w:sz="10" w:color="000000"/>
              <w:bottom w:val="single" w:sz="10" w:color="000000"/>
            </w:tcBorders>
          </w:tcPr>
          <w:p w14:paraId="CA170044">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0</w:t>
            </w:r>
          </w:p>
        </w:tc>
      </w:tr>
    </w:tbl>
    <w:p w14:paraId="CA170045">
      <w:pPr>
        <w:pStyle w:val="RWBody"/>
        <w:widowControl/>
        <w:adjustRightInd w:val="0"/>
        <w:snapToGrid w:val="0"/>
        <w:spacing w:line="480" w:lineRule="exact"/>
      </w:pPr>
      <w:r>
        <w:rPr>
          <w:rFonts w:ascii="楷体_GB2312" w:hAnsi="Times New Roman" w:eastAsia="楷体_GB2312"/>
          <w:bCs/>
          <w:sz w:val="28"/>
          <w:szCs w:val="28"/>
        </w:rPr>
        <w:t>标称分辨率1 ns、最小正观察值10 ns以及P50/P99为20/21 ns描述的是不同性质。空窗口时间差不等于两次读钟操作的完整调用成本；中位数绝对偏差为零，也不表示物理误差为零。因此本文不从完整调用时间中扣除20 ns。全部18行描述结果和180个统计量经独立整数计算核对一致，普通及动态软件检查各两项通过。</w:t>
      </w:r>
    </w:p>
    <w:p w14:paraId="CA170046">
      <w:pPr>
        <w:pStyle w:val="RWBody"/>
        <w:widowControl/>
        <w:adjustRightInd w:val="0"/>
        <w:snapToGrid w:val="0"/>
        <w:spacing w:line="480" w:lineRule="exact"/>
      </w:pPr>
      <w:r>
        <w:rPr>
          <w:rFonts w:ascii="楷体_GB2312" w:hAnsi="Times New Roman" w:eastAsia="楷体_GB2312"/>
          <w:bCs/>
          <w:sz w:val="28"/>
          <w:szCs w:val="28"/>
        </w:rPr>
        <w:t>完整调用实验固定使用同一个公开NIST用例，两次相邻连接批次各启动三个进程，共用同一普通程序和同一次系统启动。每个进程在一次设置调用后，分别计时25000次预热及25000次主阶段调用。计时覆盖外部接口检查与完整解封装；返回结果在结束读钟后与独立预期值核对，再作清理。内存分配与文件写入也位于窗口外。具体用例标识和程序信息见附录。</w:t>
      </w:r>
    </w:p>
    <w:p w14:paraId="CA170047">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表5.14　固定公开输入的六进程主阶段完整调用</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657"/>
        <w:gridCol w:w="1460"/>
        <w:gridCol w:w="1460"/>
        <w:gridCol w:w="1460"/>
        <w:gridCol w:w="1460"/>
        <w:gridCol w:w="1460"/>
      </w:tblGrid>
      <w:tr>
        <w:trPr>
          <w:trHeight w:val="520" w:hRule="atLeast"/>
          <w:cantSplit/>
          <w:tblHeader w:val="1"/>
        </w:trPr>
        <w:tc>
          <w:tcPr>
            <w:tcW w:type="dxa" w:w="1657"/>
            <w:tcBorders>
              <w:top w:val="single" w:sz="10" w:color="000000"/>
              <w:bottom w:val="single" w:sz="4" w:color="000000"/>
            </w:tcBorders>
          </w:tcPr>
          <w:p w14:paraId="CA170048">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批次/进程</w:t>
            </w:r>
          </w:p>
        </w:tc>
        <w:tc>
          <w:tcPr>
            <w:tcW w:type="dxa" w:w="1460"/>
            <w:tcBorders>
              <w:top w:val="single" w:sz="10" w:color="000000"/>
              <w:bottom w:val="single" w:sz="4" w:color="000000"/>
            </w:tcBorders>
          </w:tcPr>
          <w:p w14:paraId="CA170049">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P50/ns</w:t>
            </w:r>
          </w:p>
        </w:tc>
        <w:tc>
          <w:tcPr>
            <w:tcW w:type="dxa" w:w="1460"/>
            <w:tcBorders>
              <w:top w:val="single" w:sz="10" w:color="000000"/>
              <w:bottom w:val="single" w:sz="4" w:color="000000"/>
            </w:tcBorders>
          </w:tcPr>
          <w:p w14:paraId="CA17004A">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P90/ns</w:t>
            </w:r>
          </w:p>
        </w:tc>
        <w:tc>
          <w:tcPr>
            <w:tcW w:type="dxa" w:w="1460"/>
            <w:tcBorders>
              <w:top w:val="single" w:sz="10" w:color="000000"/>
              <w:bottom w:val="single" w:sz="4" w:color="000000"/>
            </w:tcBorders>
          </w:tcPr>
          <w:p w14:paraId="CA17004B">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P99/ns</w:t>
            </w:r>
          </w:p>
        </w:tc>
        <w:tc>
          <w:tcPr>
            <w:tcW w:type="dxa" w:w="1460"/>
            <w:tcBorders>
              <w:top w:val="single" w:sz="10" w:color="000000"/>
              <w:bottom w:val="single" w:sz="4" w:color="000000"/>
            </w:tcBorders>
          </w:tcPr>
          <w:p w14:paraId="CA17004C">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最大/ns</w:t>
            </w:r>
          </w:p>
        </w:tc>
        <w:tc>
          <w:tcPr>
            <w:tcW w:type="dxa" w:w="1460"/>
            <w:tcBorders>
              <w:top w:val="single" w:sz="10" w:color="000000"/>
              <w:bottom w:val="single" w:sz="4" w:color="000000"/>
            </w:tcBorders>
          </w:tcPr>
          <w:p w14:paraId="CA17004D">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MAD/ns</w:t>
            </w:r>
          </w:p>
        </w:tc>
      </w:tr>
      <w:tr>
        <w:trPr>
          <w:trHeight w:val="520" w:hRule="atLeast"/>
          <w:cantSplit/>
        </w:trPr>
        <w:tc>
          <w:tcPr>
            <w:tcW w:type="dxa" w:w="1657"/>
            <w:tcBorders>
              <w:top w:val="nil" w:sz="10" w:color="000000"/>
              <w:bottom w:val="nil" w:sz="10" w:color="000000"/>
            </w:tcBorders>
          </w:tcPr>
          <w:p w14:paraId="CA17004E">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第一批1</w:t>
            </w:r>
          </w:p>
        </w:tc>
        <w:tc>
          <w:tcPr>
            <w:tcW w:type="dxa" w:w="1460"/>
            <w:tcBorders>
              <w:top w:val="nil" w:sz="10" w:color="000000"/>
              <w:bottom w:val="nil" w:sz="10" w:color="000000"/>
            </w:tcBorders>
          </w:tcPr>
          <w:p w14:paraId="CA17004F">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30678</w:t>
            </w:r>
          </w:p>
        </w:tc>
        <w:tc>
          <w:tcPr>
            <w:tcW w:type="dxa" w:w="1460"/>
            <w:tcBorders>
              <w:top w:val="nil" w:sz="10" w:color="000000"/>
              <w:bottom w:val="nil" w:sz="10" w:color="000000"/>
            </w:tcBorders>
          </w:tcPr>
          <w:p w14:paraId="CA170050">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30728</w:t>
            </w:r>
          </w:p>
        </w:tc>
        <w:tc>
          <w:tcPr>
            <w:tcW w:type="dxa" w:w="1460"/>
            <w:tcBorders>
              <w:top w:val="nil" w:sz="10" w:color="000000"/>
              <w:bottom w:val="nil" w:sz="10" w:color="000000"/>
            </w:tcBorders>
          </w:tcPr>
          <w:p w14:paraId="CA170051">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32020</w:t>
            </w:r>
          </w:p>
        </w:tc>
        <w:tc>
          <w:tcPr>
            <w:tcW w:type="dxa" w:w="1460"/>
            <w:tcBorders>
              <w:top w:val="nil" w:sz="10" w:color="000000"/>
              <w:bottom w:val="nil" w:sz="10" w:color="000000"/>
            </w:tcBorders>
          </w:tcPr>
          <w:p w14:paraId="CA170052">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56266</w:t>
            </w:r>
          </w:p>
        </w:tc>
        <w:tc>
          <w:tcPr>
            <w:tcW w:type="dxa" w:w="1460"/>
            <w:tcBorders>
              <w:top w:val="nil" w:sz="10" w:color="000000"/>
              <w:bottom w:val="nil" w:sz="10" w:color="000000"/>
            </w:tcBorders>
          </w:tcPr>
          <w:p w14:paraId="CA170053">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21</w:t>
            </w:r>
          </w:p>
        </w:tc>
      </w:tr>
      <w:tr>
        <w:trPr>
          <w:trHeight w:val="520" w:hRule="atLeast"/>
          <w:cantSplit/>
        </w:trPr>
        <w:tc>
          <w:tcPr>
            <w:tcW w:type="dxa" w:w="1657"/>
            <w:tcBorders>
              <w:top w:val="nil" w:sz="10" w:color="000000"/>
              <w:bottom w:val="nil" w:sz="10" w:color="000000"/>
            </w:tcBorders>
          </w:tcPr>
          <w:p w14:paraId="CA170054">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第一批2</w:t>
            </w:r>
          </w:p>
        </w:tc>
        <w:tc>
          <w:tcPr>
            <w:tcW w:type="dxa" w:w="1460"/>
            <w:tcBorders>
              <w:top w:val="nil" w:sz="10" w:color="000000"/>
              <w:bottom w:val="nil" w:sz="10" w:color="000000"/>
            </w:tcBorders>
          </w:tcPr>
          <w:p w14:paraId="CA170055">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30718</w:t>
            </w:r>
          </w:p>
        </w:tc>
        <w:tc>
          <w:tcPr>
            <w:tcW w:type="dxa" w:w="1460"/>
            <w:tcBorders>
              <w:top w:val="nil" w:sz="10" w:color="000000"/>
              <w:bottom w:val="nil" w:sz="10" w:color="000000"/>
            </w:tcBorders>
          </w:tcPr>
          <w:p w14:paraId="CA170056">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30758</w:t>
            </w:r>
          </w:p>
        </w:tc>
        <w:tc>
          <w:tcPr>
            <w:tcW w:type="dxa" w:w="1460"/>
            <w:tcBorders>
              <w:top w:val="nil" w:sz="10" w:color="000000"/>
              <w:bottom w:val="nil" w:sz="10" w:color="000000"/>
            </w:tcBorders>
          </w:tcPr>
          <w:p w14:paraId="CA170057">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32070</w:t>
            </w:r>
          </w:p>
        </w:tc>
        <w:tc>
          <w:tcPr>
            <w:tcW w:type="dxa" w:w="1460"/>
            <w:tcBorders>
              <w:top w:val="nil" w:sz="10" w:color="000000"/>
              <w:bottom w:val="nil" w:sz="10" w:color="000000"/>
            </w:tcBorders>
          </w:tcPr>
          <w:p w14:paraId="CA170058">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52839</w:t>
            </w:r>
          </w:p>
        </w:tc>
        <w:tc>
          <w:tcPr>
            <w:tcW w:type="dxa" w:w="1460"/>
            <w:tcBorders>
              <w:top w:val="nil" w:sz="10" w:color="000000"/>
              <w:bottom w:val="nil" w:sz="10" w:color="000000"/>
            </w:tcBorders>
          </w:tcPr>
          <w:p w14:paraId="CA170059">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21</w:t>
            </w:r>
          </w:p>
        </w:tc>
      </w:tr>
      <w:tr>
        <w:trPr>
          <w:trHeight w:val="520" w:hRule="atLeast"/>
          <w:cantSplit/>
        </w:trPr>
        <w:tc>
          <w:tcPr>
            <w:tcW w:type="dxa" w:w="1657"/>
            <w:tcBorders>
              <w:top w:val="nil" w:sz="10" w:color="000000"/>
              <w:bottom w:val="nil" w:sz="10" w:color="000000"/>
            </w:tcBorders>
          </w:tcPr>
          <w:p w14:paraId="CA17005A">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第一批3</w:t>
            </w:r>
          </w:p>
        </w:tc>
        <w:tc>
          <w:tcPr>
            <w:tcW w:type="dxa" w:w="1460"/>
            <w:tcBorders>
              <w:top w:val="nil" w:sz="10" w:color="000000"/>
              <w:bottom w:val="nil" w:sz="10" w:color="000000"/>
            </w:tcBorders>
          </w:tcPr>
          <w:p w14:paraId="CA17005B">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30707</w:t>
            </w:r>
          </w:p>
        </w:tc>
        <w:tc>
          <w:tcPr>
            <w:tcW w:type="dxa" w:w="1460"/>
            <w:tcBorders>
              <w:top w:val="nil" w:sz="10" w:color="000000"/>
              <w:bottom w:val="nil" w:sz="10" w:color="000000"/>
            </w:tcBorders>
          </w:tcPr>
          <w:p w14:paraId="CA17005C">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30757</w:t>
            </w:r>
          </w:p>
        </w:tc>
        <w:tc>
          <w:tcPr>
            <w:tcW w:type="dxa" w:w="1460"/>
            <w:tcBorders>
              <w:top w:val="nil" w:sz="10" w:color="000000"/>
              <w:bottom w:val="nil" w:sz="10" w:color="000000"/>
            </w:tcBorders>
          </w:tcPr>
          <w:p w14:paraId="CA17005D">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32000</w:t>
            </w:r>
          </w:p>
        </w:tc>
        <w:tc>
          <w:tcPr>
            <w:tcW w:type="dxa" w:w="1460"/>
            <w:tcBorders>
              <w:top w:val="nil" w:sz="10" w:color="000000"/>
              <w:bottom w:val="nil" w:sz="10" w:color="000000"/>
            </w:tcBorders>
          </w:tcPr>
          <w:p w14:paraId="CA17005E">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44915</w:t>
            </w:r>
          </w:p>
        </w:tc>
        <w:tc>
          <w:tcPr>
            <w:tcW w:type="dxa" w:w="1460"/>
            <w:tcBorders>
              <w:top w:val="nil" w:sz="10" w:color="000000"/>
              <w:bottom w:val="nil" w:sz="10" w:color="000000"/>
            </w:tcBorders>
          </w:tcPr>
          <w:p w14:paraId="CA17005F">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30</w:t>
            </w:r>
          </w:p>
        </w:tc>
      </w:tr>
      <w:tr>
        <w:trPr>
          <w:trHeight w:val="520" w:hRule="atLeast"/>
          <w:cantSplit/>
        </w:trPr>
        <w:tc>
          <w:tcPr>
            <w:tcW w:type="dxa" w:w="1657"/>
            <w:tcBorders>
              <w:top w:val="nil" w:sz="10" w:color="000000"/>
              <w:bottom w:val="nil" w:sz="10" w:color="000000"/>
            </w:tcBorders>
          </w:tcPr>
          <w:p w14:paraId="CA170060">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第二批1</w:t>
            </w:r>
          </w:p>
        </w:tc>
        <w:tc>
          <w:tcPr>
            <w:tcW w:type="dxa" w:w="1460"/>
            <w:tcBorders>
              <w:top w:val="nil" w:sz="10" w:color="000000"/>
              <w:bottom w:val="nil" w:sz="10" w:color="000000"/>
            </w:tcBorders>
          </w:tcPr>
          <w:p w14:paraId="CA170061">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30678</w:t>
            </w:r>
          </w:p>
        </w:tc>
        <w:tc>
          <w:tcPr>
            <w:tcW w:type="dxa" w:w="1460"/>
            <w:tcBorders>
              <w:top w:val="nil" w:sz="10" w:color="000000"/>
              <w:bottom w:val="nil" w:sz="10" w:color="000000"/>
            </w:tcBorders>
          </w:tcPr>
          <w:p w14:paraId="CA170062">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30737</w:t>
            </w:r>
          </w:p>
        </w:tc>
        <w:tc>
          <w:tcPr>
            <w:tcW w:type="dxa" w:w="1460"/>
            <w:tcBorders>
              <w:top w:val="nil" w:sz="10" w:color="000000"/>
              <w:bottom w:val="nil" w:sz="10" w:color="000000"/>
            </w:tcBorders>
          </w:tcPr>
          <w:p w14:paraId="CA170063">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32010</w:t>
            </w:r>
          </w:p>
        </w:tc>
        <w:tc>
          <w:tcPr>
            <w:tcW w:type="dxa" w:w="1460"/>
            <w:tcBorders>
              <w:top w:val="nil" w:sz="10" w:color="000000"/>
              <w:bottom w:val="nil" w:sz="10" w:color="000000"/>
            </w:tcBorders>
          </w:tcPr>
          <w:p w14:paraId="CA170064">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53951</w:t>
            </w:r>
          </w:p>
        </w:tc>
        <w:tc>
          <w:tcPr>
            <w:tcW w:type="dxa" w:w="1460"/>
            <w:tcBorders>
              <w:top w:val="nil" w:sz="10" w:color="000000"/>
              <w:bottom w:val="nil" w:sz="10" w:color="000000"/>
            </w:tcBorders>
          </w:tcPr>
          <w:p w14:paraId="CA170065">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30</w:t>
            </w:r>
          </w:p>
        </w:tc>
      </w:tr>
      <w:tr>
        <w:trPr>
          <w:trHeight w:val="520" w:hRule="atLeast"/>
          <w:cantSplit/>
        </w:trPr>
        <w:tc>
          <w:tcPr>
            <w:tcW w:type="dxa" w:w="1657"/>
            <w:tcBorders>
              <w:top w:val="nil" w:sz="10" w:color="000000"/>
              <w:bottom w:val="nil" w:sz="10" w:color="000000"/>
            </w:tcBorders>
          </w:tcPr>
          <w:p w14:paraId="CA170066">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第二批2</w:t>
            </w:r>
          </w:p>
        </w:tc>
        <w:tc>
          <w:tcPr>
            <w:tcW w:type="dxa" w:w="1460"/>
            <w:tcBorders>
              <w:top w:val="nil" w:sz="10" w:color="000000"/>
              <w:bottom w:val="nil" w:sz="10" w:color="000000"/>
            </w:tcBorders>
          </w:tcPr>
          <w:p w14:paraId="CA170067">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30678</w:t>
            </w:r>
          </w:p>
        </w:tc>
        <w:tc>
          <w:tcPr>
            <w:tcW w:type="dxa" w:w="1460"/>
            <w:tcBorders>
              <w:top w:val="nil" w:sz="10" w:color="000000"/>
              <w:bottom w:val="nil" w:sz="10" w:color="000000"/>
            </w:tcBorders>
          </w:tcPr>
          <w:p w14:paraId="CA170068">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30727</w:t>
            </w:r>
          </w:p>
        </w:tc>
        <w:tc>
          <w:tcPr>
            <w:tcW w:type="dxa" w:w="1460"/>
            <w:tcBorders>
              <w:top w:val="nil" w:sz="10" w:color="000000"/>
              <w:bottom w:val="nil" w:sz="10" w:color="000000"/>
            </w:tcBorders>
          </w:tcPr>
          <w:p w14:paraId="CA170069">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32000</w:t>
            </w:r>
          </w:p>
        </w:tc>
        <w:tc>
          <w:tcPr>
            <w:tcW w:type="dxa" w:w="1460"/>
            <w:tcBorders>
              <w:top w:val="nil" w:sz="10" w:color="000000"/>
              <w:bottom w:val="nil" w:sz="10" w:color="000000"/>
            </w:tcBorders>
          </w:tcPr>
          <w:p w14:paraId="CA17006A">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59922</w:t>
            </w:r>
          </w:p>
        </w:tc>
        <w:tc>
          <w:tcPr>
            <w:tcW w:type="dxa" w:w="1460"/>
            <w:tcBorders>
              <w:top w:val="nil" w:sz="10" w:color="000000"/>
              <w:bottom w:val="nil" w:sz="10" w:color="000000"/>
            </w:tcBorders>
          </w:tcPr>
          <w:p w14:paraId="CA17006B">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30</w:t>
            </w:r>
          </w:p>
        </w:tc>
      </w:tr>
      <w:tr>
        <w:trPr>
          <w:trHeight w:val="520" w:hRule="atLeast"/>
          <w:cantSplit/>
        </w:trPr>
        <w:tc>
          <w:tcPr>
            <w:tcW w:type="dxa" w:w="1657"/>
            <w:tcBorders>
              <w:top w:val="nil" w:sz="10" w:color="000000"/>
              <w:bottom w:val="single" w:sz="10" w:color="000000"/>
            </w:tcBorders>
          </w:tcPr>
          <w:p w14:paraId="CA17006C">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第二批3</w:t>
            </w:r>
          </w:p>
        </w:tc>
        <w:tc>
          <w:tcPr>
            <w:tcW w:type="dxa" w:w="1460"/>
            <w:tcBorders>
              <w:top w:val="nil" w:sz="10" w:color="000000"/>
              <w:bottom w:val="single" w:sz="10" w:color="000000"/>
            </w:tcBorders>
          </w:tcPr>
          <w:p w14:paraId="CA17006D">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30687</w:t>
            </w:r>
          </w:p>
        </w:tc>
        <w:tc>
          <w:tcPr>
            <w:tcW w:type="dxa" w:w="1460"/>
            <w:tcBorders>
              <w:top w:val="nil" w:sz="10" w:color="000000"/>
              <w:bottom w:val="single" w:sz="10" w:color="000000"/>
            </w:tcBorders>
          </w:tcPr>
          <w:p w14:paraId="CA17006E">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30728</w:t>
            </w:r>
          </w:p>
        </w:tc>
        <w:tc>
          <w:tcPr>
            <w:tcW w:type="dxa" w:w="1460"/>
            <w:tcBorders>
              <w:top w:val="nil" w:sz="10" w:color="000000"/>
              <w:bottom w:val="single" w:sz="10" w:color="000000"/>
            </w:tcBorders>
          </w:tcPr>
          <w:p w14:paraId="CA17006F">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32020</w:t>
            </w:r>
          </w:p>
        </w:tc>
        <w:tc>
          <w:tcPr>
            <w:tcW w:type="dxa" w:w="1460"/>
            <w:tcBorders>
              <w:top w:val="nil" w:sz="10" w:color="000000"/>
              <w:bottom w:val="single" w:sz="10" w:color="000000"/>
            </w:tcBorders>
          </w:tcPr>
          <w:p w14:paraId="CA170070">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43862</w:t>
            </w:r>
          </w:p>
        </w:tc>
        <w:tc>
          <w:tcPr>
            <w:tcW w:type="dxa" w:w="1460"/>
            <w:tcBorders>
              <w:top w:val="nil" w:sz="10" w:color="000000"/>
              <w:bottom w:val="single" w:sz="10" w:color="000000"/>
            </w:tcBorders>
          </w:tcPr>
          <w:p w14:paraId="CA170071">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29</w:t>
            </w:r>
          </w:p>
        </w:tc>
      </w:tr>
    </w:tbl>
    <w:p w14:paraId="CA170072">
      <w:pPr>
        <w:pStyle w:val="RWBody"/>
        <w:widowControl/>
        <w:adjustRightInd w:val="0"/>
        <w:snapToGrid w:val="0"/>
        <w:spacing w:line="480" w:lineRule="exact"/>
      </w:pPr>
      <w:r>
        <w:rPr>
          <w:rFonts w:ascii="楷体_GB2312" w:hAnsi="Times New Roman" w:eastAsia="楷体_GB2312"/>
          <w:bCs/>
          <w:sz w:val="28"/>
          <w:szCs w:val="28"/>
        </w:rPr>
        <w:t>每个进程的主阶段均有25000次调用，六个P50的最大值与最小值相差40 ns，P99相差70 ns。这些是本次有限运行中的观察范围，不是误差上界或统计等价界。预热与主阶段共300000条计时记录均保留，预热最大值达到68449 ns。包括功能检查和设置过程后，总密码算法调用为300138次，其分类计数在附录列明，不把所有操作都计作正式解封装样本。</w:t>
      </w:r>
    </w:p>
    <w:p w14:paraId="CA170073">
      <w:pPr>
        <w:pStyle w:val="RWBody"/>
        <w:widowControl/>
        <w:adjustRightInd w:val="0"/>
        <w:snapToGrid w:val="0"/>
        <w:spacing w:line="480" w:lineRule="exact"/>
      </w:pPr>
      <w:r>
        <w:rPr>
          <w:rFonts w:ascii="楷体_GB2312" w:hAnsi="Times New Roman" w:eastAsia="楷体_GB2312"/>
          <w:bCs/>
          <w:sz w:val="28"/>
          <w:szCs w:val="28"/>
        </w:rPr>
        <w:t>36行描述结果、360个统计量和六个进程的阶段时间总和经独立计算核对一致。主阶段墙钟时间能够分解为各计时窗口之和与窗口间间隔，预热到主阶段的过渡也单独保留。两批采样边界约隔346.446秒，仍属于同机近邻运行。频率文件前后相同只说明两个检查时点一致，不能证明整个实验期间频率不变，也不能将六个进程视为长期独立重复。</w:t>
      </w:r>
    </w:p>
    <w:p w14:paraId="CA170074">
      <w:pPr>
        <w:pStyle w:val="RWBody"/>
        <w:widowControl/>
        <w:adjustRightInd w:val="0"/>
        <w:snapToGrid w:val="0"/>
        <w:spacing w:line="480" w:lineRule="exact"/>
      </w:pPr>
      <w:r>
        <w:rPr>
          <w:rFonts w:ascii="楷体_GB2312" w:hAnsi="Times New Roman" w:eastAsia="楷体_GB2312"/>
          <w:bCs/>
          <w:sz w:val="28"/>
          <w:szCs w:val="28"/>
        </w:rPr>
        <w:t>两项补充实验分别说明当前读钟程序的空窗口行为和完整参考调用的运行间变异。它们没有增加新的密文类别比较，因而不能用于补充防护检出率或真实总体的第一类错误率。认证失败、辅助记录更正以及进程回收过程均保存在原始材料中，最终分析没有改写原始时间或追加样本。</w:t>
      </w:r>
    </w:p>
    <w:p>
      <w:pPr>
        <w:pStyle w:val="RWSection"/>
        <w:spacing w:before="240" w:after="240" w:line="360" w:lineRule="auto"/>
        <w:keepNext/>
        <w:keepLines/>
        <w:outlineLvl w:val="1"/>
      </w:pPr>
      <w:bookmarkStart w:id="9003" w:name="paper_heading_9003"/>
      <w:r>
        <w:rPr>
          <w:rFonts w:ascii="Times New Roman" w:hAnsi="Times New Roman" w:eastAsia="黑体" w:cs="Times New Roman"/>
          <w:sz w:val="28"/>
          <w:szCs w:val="28"/>
          <w:b/>
        </w:rPr>
        <w:t>5.11　综合结果与有效性讨论</w:t>
      </w:r>
      <w:bookmarkEnd w:id="9003"/>
    </w:p>
    <w:p>
      <w:pPr>
        <w:pStyle w:val="RWBody"/>
        <w:widowControl/>
        <w:adjustRightInd w:val="0"/>
        <w:snapToGrid w:val="0"/>
        <w:spacing w:line="480" w:lineRule="exact"/>
      </w:pPr>
      <w:r>
        <w:rPr>
          <w:rFonts w:ascii="楷体_GB2312" w:hAnsi="Times New Roman" w:eastAsia="楷体_GB2312"/>
          <w:bCs/>
          <w:sz w:val="28"/>
          <w:szCs w:val="28"/>
        </w:rPr>
        <w:t>全部结果需要回到第1章的研究问题解释。功能层面，独立向量与接口测试说明已覆盖用例保持标准要求；实现层面，源码与编译后程序检查说明被比较对象确实具有所讨论的处理方式；统计层面，既定规则给出了防护前后观察和固定任务的精确计数。三者组合使结论可追溯，但不存在某一个通过项能够单独替代其余两项。</w:t>
      </w:r>
    </w:p>
    <w:p>
      <w:pPr>
        <w:pStyle w:val="RWBody"/>
        <w:widowControl/>
        <w:adjustRightInd w:val="0"/>
        <w:snapToGrid w:val="0"/>
        <w:spacing w:line="480" w:lineRule="exact"/>
      </w:pPr>
      <w:r>
        <w:rPr>
          <w:rFonts w:ascii="楷体_GB2312" w:hAnsi="Times New Roman" w:eastAsia="楷体_GB2312"/>
          <w:bCs/>
          <w:sz w:val="28"/>
          <w:szCs w:val="28"/>
        </w:rPr>
        <w:t>防护结果中最直接的观察，是同机人工分支对照出现分组差异，而掩码对照在同样五组预定测试中未再检出。这个现象与消除秘密相关条件分支的设计意图一致。不过，重复密文、运行序列依赖及局部优化条件仍限制因果解释。因而，本作品采用“在该环境与原规则下未再检出”的结论，不把它改写为所有输入、所有编译器和所有处理器都满足常数时间。</w:t>
      </w:r>
    </w:p>
    <w:p>
      <w:pPr>
        <w:pStyle w:val="RWBody"/>
        <w:widowControl/>
        <w:adjustRightInd w:val="0"/>
        <w:snapToGrid w:val="0"/>
        <w:spacing w:line="480" w:lineRule="exact"/>
      </w:pPr>
      <w:r>
        <w:rPr>
          <w:rFonts w:ascii="楷体_GB2312" w:hAnsi="Times New Roman" w:eastAsia="楷体_GB2312"/>
          <w:bCs/>
          <w:sz w:val="28"/>
          <w:szCs w:val="28"/>
        </w:rPr>
        <w:t>性能结果则体现另一种特点：典型调用较集中，较慢调用仍然存在。图5.9将同一组六进程的P50、P99和最大值同时展示。中位数相差40 ns，说明这六次近邻运行的中部位置较接近；最大值在43.862至59.922 μs之间，说明有限次数中的尾部并未完全重合。两种观察并不矛盾，前者不能代替后者，也不能直接构成精度保证。</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3200643"/>
            <wp:effectExtent b="0" l="0" r="0" t="0"/>
            <wp:docPr descr="figure-5-9" title="" id="9002" name="Figure 5-9"/>
            <a:graphic>
              <a:graphicData uri="http://schemas.openxmlformats.org/drawingml/2006/picture">
                <pic:pic>
                  <pic:nvPicPr>
                    <pic:cNvPr descr="ppt-render/figure-02.png" id="15" name="Picture"/>
                    <pic:cNvPicPr>
                      <a:picLocks noChangeArrowheads="1" noChangeAspect="1"/>
                    </pic:cNvPicPr>
                  </pic:nvPicPr>
                  <pic:blipFill>
                    <a:blip r:embed="rIdPaper9002"/>
                    <a:stretch>
                      <a:fillRect/>
                    </a:stretch>
                  </pic:blipFill>
                  <pic:spPr bwMode="auto">
                    <a:xfrm>
                      <a:off x="0" y="0"/>
                      <a:ext cx="5688000" cy="3200643"/>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图5.9　固定输入六进程的完整调用分布摘要。每进程主阶段25000次调用；符号分别表示P50、P99和最大值，横线连接描述指标，不是置信区间。</w:t>
      </w:r>
    </w:p>
    <w:p>
      <w:pPr>
        <w:pStyle w:val="RWBody"/>
        <w:widowControl/>
        <w:adjustRightInd w:val="0"/>
        <w:snapToGrid w:val="0"/>
        <w:spacing w:line="480" w:lineRule="exact"/>
      </w:pPr>
      <w:r>
        <w:rPr>
          <w:rFonts w:ascii="楷体_GB2312" w:hAnsi="Times New Roman" w:eastAsia="楷体_GB2312"/>
          <w:bCs/>
          <w:sz w:val="28"/>
          <w:szCs w:val="28"/>
        </w:rPr>
        <w:t>空窗口结果用于理解读钟行为，不能作为固定常数从完整调用中扣除。空窗口与完整调用之间插入的程序处理不同，对缓存、调度和指令执行的影响也不同。类似地，受控窗口实验的39.274 μs主阶段中位数与后续固定输入实验约30.7 μs的中位数来自不同条件。把两者做成加速比，会把输入和环境变化错误地归因于算法改进。系统性能研究对测量偏差的讨论说明，实验设置本身可能改变比较方向[19]。</w:t>
      </w:r>
    </w:p>
    <w:p>
      <w:pPr>
        <w:pStyle w:val="RWBody"/>
        <w:widowControl/>
        <w:adjustRightInd w:val="0"/>
        <w:snapToGrid w:val="0"/>
        <w:spacing w:line="480" w:lineRule="exact"/>
      </w:pPr>
      <w:r>
        <w:rPr>
          <w:rFonts w:ascii="楷体_GB2312" w:hAnsi="Times New Roman" w:eastAsia="楷体_GB2312"/>
          <w:bCs/>
          <w:sz w:val="28"/>
          <w:szCs w:val="28"/>
        </w:rPr>
        <w:t>统计计算效率的证据相对集中。跨语言比较首先说明固定任务可以更快得到相同结果；预先导入基线后，方向保持；同语言比较再减少语言与启动成本的混杂；一次新构建后的三个进程继续观察到六个非零任务中位比低于1。图5.10保留这六个任务的逐进程值。证据支持的是所测试输入与构建下的计算开销下降，不是对任意规模的复杂度保证，也不是检验功效提高。</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3200643"/>
            <wp:effectExtent b="0" l="0" r="0" t="0"/>
            <wp:docPr descr="figure-5-10" title="" id="9003" name="Figure 5-10"/>
            <a:graphic>
              <a:graphicData uri="http://schemas.openxmlformats.org/drawingml/2006/picture">
                <pic:pic>
                  <pic:nvPicPr>
                    <pic:cNvPr descr="ppt-render/figure-02.png" id="15" name="Picture"/>
                    <pic:cNvPicPr>
                      <a:picLocks noChangeArrowheads="1" noChangeAspect="1"/>
                    </pic:cNvPicPr>
                  </pic:nvPicPr>
                  <pic:blipFill>
                    <a:blip r:embed="rIdPaper9003"/>
                    <a:stretch>
                      <a:fillRect/>
                    </a:stretch>
                  </pic:blipFill>
                  <pic:spPr bwMode="auto">
                    <a:xfrm>
                      <a:off x="0" y="0"/>
                      <a:ext cx="5688000" cy="3200643"/>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图5.10　干净重建后三个进程的统计计算耗时比。每点为一个任务十对窗口比值的中位数；仅展示六个非零任务，全零边界任务仍保留在表A.3。</w:t>
      </w:r>
    </w:p>
    <w:p>
      <w:pPr>
        <w:pStyle w:val="RWBody"/>
        <w:widowControl/>
        <w:adjustRightInd w:val="0"/>
        <w:snapToGrid w:val="0"/>
        <w:spacing w:line="480" w:lineRule="exact"/>
      </w:pPr>
      <w:r>
        <w:rPr>
          <w:rFonts w:ascii="楷体_GB2312" w:hAnsi="Times New Roman" w:eastAsia="楷体_GB2312"/>
          <w:bCs/>
          <w:sz w:val="28"/>
          <w:szCs w:val="28"/>
        </w:rPr>
        <w:t>有限模型与固定时间记录的置换校验分别检查概率规则及其数值实现。共同符号反例尤其重要：即使每个差值边际对称，若实际只允许全局共同翻转，就不能把所有独立符号组合当成真实随机状态。错误的概率空间可以给出数值上很小的p值。由此可见，完整枚举的价值是把所规定的空间算准确；空间是否适合数据，仍属于实验设计与统计假设的判断。</w:t>
      </w:r>
    </w:p>
    <w:p>
      <w:pPr>
        <w:pStyle w:val="RWBody"/>
        <w:widowControl/>
        <w:adjustRightInd w:val="0"/>
        <w:snapToGrid w:val="0"/>
        <w:spacing w:line="480" w:lineRule="exact"/>
      </w:pPr>
      <w:r>
        <w:rPr>
          <w:rFonts w:ascii="楷体_GB2312" w:hAnsi="Times New Roman" w:eastAsia="楷体_GB2312"/>
          <w:bCs/>
          <w:sz w:val="28"/>
          <w:szCs w:val="28"/>
        </w:rPr>
        <w:t>本研究的有效性限制主要来自比较条件和推广范围。单机近邻重复不足以替代独立环境；同一固定输入不足以覆盖密文总体；名义检验未处理的序列依赖会限制显著性解释；平均时间差置信区间还需要未观测潜在结果的条件。报告保留这些限制，是为了说明下一步需要哪类证据，而不是以更多调用数掩盖现有设计的不足。</w:t>
      </w:r>
    </w:p>
    <w:bookmarkEnd w:id="544"/>
    <w:bookmarkEnd w:id="88"/>
    <w:bookmarkStart w:id="92" w:name="第6章-作品特色与应用前景"/>
    <w:p>
      <w:pPr>
        <w:pStyle w:val="RWChapter"/>
        <w:spacing w:before="240" w:after="240" w:line="360" w:lineRule="auto"/>
        <w:keepNext/>
        <w:keepLines/>
        <w:outlineLvl w:val="0"/>
      </w:pPr>
      <w:bookmarkStart w:id="532" w:name="rw_heading_32"/>
      <w:r>
        <w:rPr>
          <w:rFonts w:hint="eastAsia" w:ascii="华文楷体" w:hAnsi="华文楷体" w:eastAsia="华文楷体"/>
          <w:sz w:val="30"/>
          <w:szCs w:val="30"/>
          <w:b/>
        </w:rPr>
        <w:t xml:space="preserve">第6章</w:t>
      </w:r>
      <w:r>
        <w:rPr>
          <w:rFonts w:hint="eastAsia" w:ascii="华文楷体" w:hAnsi="华文楷体" w:eastAsia="华文楷体"/>
          <w:sz w:val="30"/>
          <w:szCs w:val="30"/>
          <w:b/>
        </w:rPr>
        <w:t xml:space="preserve">　</w:t>
      </w:r>
      <w:r>
        <w:rPr>
          <w:rFonts w:hint="eastAsia" w:ascii="华文楷体" w:hAnsi="华文楷体" w:eastAsia="华文楷体"/>
          <w:sz w:val="30"/>
          <w:szCs w:val="30"/>
          <w:b/>
        </w:rPr>
        <w:t xml:space="preserve">作品特色与应用前景</w:t>
      </w:r>
      <w:bookmarkEnd w:id="532"/>
    </w:p>
    <w:bookmarkStart w:id="89" w:name="面向固定任务的专用复算效率"/>
    <w:p>
      <w:pPr>
        <w:pStyle w:val="RWSection"/>
        <w:spacing w:before="240" w:after="240" w:line="360" w:lineRule="auto"/>
        <w:keepNext/>
        <w:keepLines/>
        <w:outlineLvl w:val="1"/>
      </w:pPr>
      <w:bookmarkStart w:id="533" w:name="rw_heading_33"/>
      <w:r>
        <w:rPr>
          <w:rFonts w:ascii="Times New Roman" w:hAnsi="Times New Roman" w:eastAsia="黑体" w:cs="Times New Roman"/>
          <w:sz w:val="28"/>
          <w:szCs w:val="28"/>
          <w:b/>
        </w:rPr>
        <w:t xml:space="preserve">6.1　</w:t>
      </w:r>
      <w:r>
        <w:rPr>
          <w:rFonts w:ascii="Times New Roman" w:hAnsi="Times New Roman" w:eastAsia="黑体" w:cs="Times New Roman"/>
          <w:sz w:val="28"/>
          <w:szCs w:val="28"/>
          <w:b/>
        </w:rPr>
        <w:t xml:space="preserve">面向固定任务的专用复算效率</w:t>
      </w:r>
      <w:bookmarkEnd w:id="533"/>
    </w:p>
    <w:p>
      <w:pPr>
        <w:pStyle w:val="RWBody"/>
        <w:widowControl/>
        <w:adjustRightInd w:val="0"/>
        <w:snapToGrid w:val="0"/>
        <w:spacing w:line="480" w:lineRule="exact"/>
      </w:pPr>
      <w:r>
        <w:rPr>
          <w:rFonts w:ascii="楷体_GB2312" w:hAnsi="Times New Roman" w:eastAsia="楷体_GB2312"/>
          <w:bCs/>
          <w:sz w:val="28"/>
          <w:szCs w:val="28"/>
        </w:rPr>
        <w:t>统计计算的效率改进建立在结果一致的基础上。八个固定任务先核对相同置换集合中的尾计数，再比较总运行时间；基线预先导入后，差异方向保持。随后采用同语言比较，并在一次干净重建后的三个新进程中重复观察到六个非零任务的中位耗时比低于1。这些结果逐步减少对启动方式和单一旧程序的依赖，支持所测试任务的计算开销下降。</w:t>
      </w:r>
    </w:p>
    <w:p>
      <w:pPr>
        <w:pStyle w:val="RWBody"/>
        <w:widowControl/>
        <w:adjustRightInd w:val="0"/>
        <w:snapToGrid w:val="0"/>
        <w:spacing w:line="480" w:lineRule="exact"/>
      </w:pPr>
      <w:r>
        <w:rPr>
          <w:rFonts w:ascii="楷体_GB2312" w:hAnsi="Times New Roman" w:eastAsia="楷体_GB2312"/>
          <w:bCs/>
          <w:sz w:val="28"/>
          <w:szCs w:val="28"/>
        </w:rPr>
        <w:t>这种改进适用于需要多次核查同一组统计结果的场景。统计量、置换集合及并列值处理规则保持不变，使两种计算方法回答同一个问题；输入范围检查则避免以整数溢出换取表面速度。验证的重点因此是相同工作量下能否更快得到相同结果，八个既定任务之外的性能与检出能力仍需另行评价。</w:t>
      </w:r>
    </w:p>
    <w:bookmarkEnd w:id="89"/>
    <w:bookmarkStart w:id="90" w:name="数据资格与解释范围的一体化设计"/>
    <w:p>
      <w:pPr>
        <w:pStyle w:val="RWSection"/>
        <w:spacing w:before="240" w:after="240" w:line="360" w:lineRule="auto"/>
        <w:keepNext/>
        <w:keepLines/>
        <w:outlineLvl w:val="1"/>
      </w:pPr>
      <w:bookmarkStart w:id="9019" w:name="paper_heading_9019"/>
      <w:r>
        <w:rPr>
          <w:rFonts w:ascii="Times New Roman" w:hAnsi="Times New Roman" w:eastAsia="黑体" w:cs="Times New Roman"/>
          <w:sz w:val="28"/>
          <w:szCs w:val="28"/>
          <w:b/>
        </w:rPr>
        <w:t>6.2　数据检查与统计假设的明确区分</w:t>
      </w:r>
      <w:bookmarkEnd w:id="9019"/>
    </w:p>
    <w:p>
      <w:pPr>
        <w:pStyle w:val="RWBody"/>
        <w:widowControl/>
        <w:adjustRightInd w:val="0"/>
        <w:snapToGrid w:val="0"/>
        <w:spacing w:line="480" w:lineRule="exact"/>
      </w:pPr>
      <w:r>
        <w:rPr>
          <w:rFonts w:ascii="楷体_GB2312" w:hAnsi="Times New Roman" w:eastAsia="楷体_GB2312"/>
          <w:bCs/>
          <w:sz w:val="28"/>
          <w:szCs w:val="28"/>
        </w:rPr>
        <w:t>系统把数据完整性检查、统计方法的适用条件与数值输出分别说明。文件能够读取，不代表运行已经完成；p值较小，也不代表数据满足检验的前提。对于已知的不适用情况，系统先给出原因，再决定能够进行描述统计还是置换计算。这样，读者不必从一组输出数字反推其隐藏条件。</w:t>
      </w:r>
    </w:p>
    <w:p>
      <w:pPr>
        <w:pStyle w:val="RWBody"/>
        <w:widowControl/>
        <w:adjustRightInd w:val="0"/>
        <w:snapToGrid w:val="0"/>
        <w:spacing w:line="480" w:lineRule="exact"/>
      </w:pPr>
      <w:r>
        <w:rPr>
          <w:rFonts w:ascii="楷体_GB2312" w:hAnsi="Times New Roman" w:eastAsia="楷体_GB2312"/>
          <w:bCs/>
          <w:sz w:val="28"/>
          <w:szCs w:val="28"/>
        </w:rPr>
        <w:t>数值验证中的共同符号反例说明，错误的置换集合会改变第一类错误概率；固定观测值的标签计算则展示了条件概率的含义。两类例子帮助读者理解统计假设为何影响结论。系统仍需要研究者判断真实实验是否符合这些假设，程序只能核对已有记录和明确声明，不能替代实验设计。</w:t>
      </w:r>
    </w:p>
    <w:p w14:paraId="CA170075">
      <w:pPr>
        <w:pStyle w:val="RWBody"/>
        <w:widowControl/>
        <w:adjustRightInd w:val="0"/>
        <w:snapToGrid w:val="0"/>
        <w:spacing w:line="480" w:lineRule="exact"/>
      </w:pPr>
      <w:r>
        <w:rPr>
          <w:rFonts w:ascii="楷体_GB2312" w:hAnsi="Times New Roman" w:eastAsia="楷体_GB2312"/>
          <w:bCs/>
          <w:sz w:val="28"/>
          <w:szCs w:val="28"/>
        </w:rPr>
        <w:t>测量部分同样区分时钟声明、空窗口分布和完整程序的重复运行。三个量分别回答读钟接口宣称什么、当前读钟程序观察到什么以及完整任务运行如何波动。均值区间的有限样本分析进一步说明，在缺少关键前提时，一个形式正确的区间仍可能无法获得有用的覆盖保证。这样的区分使作品的结论能够被逐项检查。</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表6.1</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作品特色及其验证依据</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2494"/>
        <w:gridCol w:w="3515"/>
        <w:gridCol w:w="2948"/>
      </w:tblGrid>
      <w:tr>
        <w:trPr>
          <w:trHeight w:val="520" w:hRule="atLeast"/>
          <w:tblHeader w:val="on"/>
          <w:cantSplit/>
          <w:tblHeader/>
        </w:trPr>
        <w:tc>
          <w:tcPr>
            <w:tcW w:type="dxa" w:w="2494"/>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特色</w:t>
            </w:r>
          </w:p>
        </w:tc>
        <w:tc>
          <w:tcPr>
            <w:tcW w:type="dxa" w:w="3515"/>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验证依据</w:t>
            </w:r>
          </w:p>
        </w:tc>
        <w:tc>
          <w:tcPr>
            <w:tcW w:type="dxa" w:w="2948"/>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适用范围</w:t>
            </w:r>
          </w:p>
        </w:tc>
      </w:tr>
      <w:tr>
        <w:trPr>
          <w:trHeight w:val="520" w:hRule="atLeast"/>
          <w:cantSplit/>
        </w:trPr>
        <w:tc>
          <w:tcPr>
            <w:tcW w:type="dxa" w:w="249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专用整数精确置换计算</w:t>
            </w:r>
          </w:p>
        </w:tc>
        <w:tc>
          <w:tcPr>
            <w:tcW w:type="dxa" w:w="351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八个任务对照及预先导入复核</w:t>
            </w:r>
          </w:p>
        </w:tc>
        <w:tc>
          <w:tcPr>
            <w:tcW w:type="dxa" w:w="2948"/>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固定任务的流程效率</w:t>
            </w:r>
          </w:p>
        </w:tc>
      </w:tr>
      <w:tr>
        <w:trPr>
          <w:trHeight w:val="520" w:hRule="atLeast"/>
          <w:cantSplit/>
        </w:trPr>
        <w:tc>
          <w:tcPr>
            <w:tcW w:type="dxa" w:w="249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数据检查与统计判断分别报告</w:t>
            </w:r>
          </w:p>
        </w:tc>
        <w:tc>
          <w:tcPr>
            <w:tcW w:type="dxa" w:w="351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缺失、矛盾及依赖数据检查</w:t>
            </w:r>
          </w:p>
        </w:tc>
        <w:tc>
          <w:tcPr>
            <w:tcW w:type="dxa" w:w="2948"/>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输入限制与统计适用范围</w:t>
            </w:r>
          </w:p>
        </w:tc>
      </w:tr>
      <w:tr>
        <w:trPr>
          <w:trHeight w:val="520" w:hRule="atLeast"/>
          <w:cantSplit/>
        </w:trPr>
        <w:tc>
          <w:tcPr>
            <w:tcW w:type="dxa" w:w="249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有限模型可完整核对</w:t>
            </w:r>
          </w:p>
        </w:tc>
        <w:tc>
          <w:tcPr>
            <w:tcW w:type="dxa" w:w="351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40964份计数与独立核对</w:t>
            </w:r>
          </w:p>
        </w:tc>
        <w:tc>
          <w:tcPr>
            <w:tcW w:type="dxa" w:w="2948"/>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固定有限概率模型</w:t>
            </w:r>
          </w:p>
        </w:tc>
      </w:tr>
      <w:tr>
        <w:trPr>
          <w:trHeight w:val="520" w:hRule="atLeast"/>
          <w:cantSplit/>
        </w:trPr>
        <w:tc>
          <w:tcPr>
            <w:tcW w:type="dxa" w:w="249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固定时间记录的置换校验</w:t>
            </w:r>
          </w:p>
        </w:tc>
        <w:tc>
          <w:tcPr>
            <w:tcW w:type="dxa" w:w="351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六块24576种采集后赋予的标签</w:t>
            </w:r>
          </w:p>
        </w:tc>
        <w:tc>
          <w:tcPr>
            <w:tcW w:type="dxa" w:w="2948"/>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给定时间的独立标签模型</w:t>
            </w:r>
          </w:p>
        </w:tc>
      </w:tr>
      <w:tr>
        <w:trPr>
          <w:trHeight w:val="520" w:hRule="atLeast"/>
          <w:cantSplit/>
        </w:trPr>
        <w:tc>
          <w:tcPr>
            <w:tcW w:type="dxa" w:w="2494"/>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材料与报告可重建</w:t>
            </w:r>
          </w:p>
        </w:tc>
        <w:tc>
          <w:tcPr>
            <w:tcW w:type="dxa" w:w="3515"/>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封存包新目录授权复算</w:t>
            </w:r>
          </w:p>
        </w:tc>
        <w:tc>
          <w:tcPr>
            <w:tcW w:type="dxa" w:w="2948"/>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固定版本、材料及执行记录</w:t>
            </w:r>
          </w:p>
        </w:tc>
      </w:tr>
    </w:tbl>
    <w:bookmarkEnd w:id="90"/>
    <w:bookmarkStart w:id="91" w:name="本地审计与密码工程教学"/>
    <w:p>
      <w:pPr>
        <w:pStyle w:val="RWSection"/>
        <w:spacing w:before="240" w:after="240" w:line="360" w:lineRule="auto"/>
        <w:keepNext/>
        <w:keepLines/>
        <w:outlineLvl w:val="1"/>
      </w:pPr>
      <w:bookmarkStart w:id="535" w:name="rw_heading_35"/>
      <w:r>
        <w:rPr>
          <w:rFonts w:ascii="Times New Roman" w:hAnsi="Times New Roman" w:eastAsia="黑体" w:cs="Times New Roman"/>
          <w:sz w:val="28"/>
          <w:szCs w:val="28"/>
          <w:b/>
        </w:rPr>
        <w:t xml:space="preserve">6.3　</w:t>
      </w:r>
      <w:r>
        <w:rPr>
          <w:rFonts w:ascii="Times New Roman" w:hAnsi="Times New Roman" w:eastAsia="黑体" w:cs="Times New Roman"/>
          <w:sz w:val="28"/>
          <w:szCs w:val="28"/>
          <w:b/>
        </w:rPr>
        <w:t xml:space="preserve">本地审计与密码工程教学</w:t>
      </w:r>
      <w:bookmarkEnd w:id="535"/>
    </w:p>
    <w:p>
      <w:pPr>
        <w:pStyle w:val="RWBody"/>
        <w:widowControl/>
        <w:adjustRightInd w:val="0"/>
        <w:snapToGrid w:val="0"/>
        <w:spacing w:line="480" w:lineRule="exact"/>
      </w:pPr>
      <w:r>
        <w:rPr>
          <w:rFonts w:ascii="楷体_GB2312" w:hAnsi="Times New Roman" w:eastAsia="楷体_GB2312"/>
          <w:bCs/>
          <w:sz w:val="28"/>
          <w:szCs w:val="28"/>
        </w:rPr>
        <w:t>在密码工程开发中，本作品可用于先验证功能与接口，再保存普通运行记录，最后按材料条件选择描述或统计分析。开发者能够借此检查修改是否改变输出处理规则、报告是否对应被测程序，以及性能差异是否受到构建条件影响。由于原始记录、成本和报告能够相互对应，复核过程不必从零整理散落文件。</w:t>
      </w:r>
    </w:p>
    <w:p>
      <w:pPr>
        <w:pStyle w:val="RWBody"/>
        <w:widowControl/>
        <w:adjustRightInd w:val="0"/>
        <w:snapToGrid w:val="0"/>
        <w:spacing w:line="480" w:lineRule="exact"/>
      </w:pPr>
      <w:r>
        <w:rPr>
          <w:rFonts w:ascii="楷体_GB2312" w:hAnsi="Times New Roman" w:eastAsia="楷体_GB2312"/>
          <w:bCs/>
          <w:sz w:val="28"/>
          <w:szCs w:val="28"/>
        </w:rPr>
        <w:t xml:space="preserve">在密码实现教学中，系统适合展示“算法正确”与“实现性质”之间的区别。学生可以阅读已归档的历史案例，比较源码意图、实际产物和统计输出，理解未检出与安全证明之间的距离。不含秘密数据的有限模型则提供清楚的概率空间，使适用条件、离散阈值和全零边界能够通过完整计数得到说明。</w:t>
      </w:r>
    </w:p>
    <w:p>
      <w:pPr>
        <w:pStyle w:val="RWBody"/>
        <w:widowControl/>
        <w:adjustRightInd w:val="0"/>
        <w:snapToGrid w:val="0"/>
        <w:spacing w:line="480" w:lineRule="exact"/>
      </w:pPr>
      <w:r>
        <w:rPr>
          <w:rFonts w:ascii="楷体_GB2312" w:hAnsi="Times New Roman" w:eastAsia="楷体_GB2312"/>
          <w:bCs/>
          <w:sz w:val="28"/>
          <w:szCs w:val="28"/>
        </w:rPr>
        <w:t xml:space="preserve">上述应用均以本地环境、固定</w:t>
      </w:r>
      <w:r>
        <w:rPr>
          <w:rFonts w:ascii="楷体_GB2312" w:hAnsi="Times New Roman" w:eastAsia="楷体_GB2312"/>
          <w:bCs/>
          <w:sz w:val="28"/>
          <w:szCs w:val="28"/>
        </w:rPr>
        <w:t xml:space="preserve"> ML-KEM-768 </w:t>
      </w:r>
      <w:r>
        <w:rPr>
          <w:rFonts w:ascii="楷体_GB2312" w:hAnsi="Times New Roman" w:eastAsia="楷体_GB2312"/>
          <w:bCs/>
          <w:sz w:val="28"/>
          <w:szCs w:val="28"/>
        </w:rPr>
        <w:t xml:space="preserve">便携实现及已说明的数据范围为前提。迁移至其他处理器、优化条件或后端时，需要重新核对产物和运行证据；应用到其他统计任务时，也需要重新检查交换依据与样本单位，不能仅复用本报告中的比值或阈值说明。</w:t>
      </w:r>
    </w:p>
    <w:p>
      <w:pPr>
        <w:pStyle w:val="RWSection"/>
        <w:spacing w:before="240" w:after="240" w:line="360" w:lineRule="auto"/>
        <w:keepNext/>
        <w:keepLines/>
        <w:outlineLvl w:val="1"/>
      </w:pPr>
      <w:bookmarkStart w:id="9004" w:name="paper_heading_9004"/>
      <w:r>
        <w:rPr>
          <w:rFonts w:ascii="Times New Roman" w:hAnsi="Times New Roman" w:eastAsia="黑体" w:cs="Times New Roman"/>
          <w:sz w:val="28"/>
          <w:szCs w:val="28"/>
          <w:b/>
        </w:rPr>
        <w:t>6.4　后续改进的优先顺序</w:t>
      </w:r>
      <w:bookmarkEnd w:id="9004"/>
    </w:p>
    <w:p>
      <w:pPr>
        <w:pStyle w:val="RWBody"/>
        <w:widowControl/>
        <w:adjustRightInd w:val="0"/>
        <w:snapToGrid w:val="0"/>
        <w:spacing w:line="480" w:lineRule="exact"/>
      </w:pPr>
      <w:r>
        <w:rPr>
          <w:rFonts w:ascii="楷体_GB2312" w:hAnsi="Times New Roman" w:eastAsia="楷体_GB2312"/>
          <w:bCs/>
          <w:sz w:val="28"/>
          <w:szCs w:val="28"/>
        </w:rPr>
        <w:t>后续工作首先应确定希望分辨的效应。若目标是发现特定输入类别的时间差异，需要明确类别定义、比较方向和检验假设；若目标是说明防护开销足够小，则应给出有工程意义的容许差异。两种目标对实验安排和统计方法的要求不同，不能只使用同一个“通过”状态概括。</w:t>
      </w:r>
    </w:p>
    <w:p>
      <w:pPr>
        <w:pStyle w:val="RWBody"/>
        <w:widowControl/>
        <w:adjustRightInd w:val="0"/>
        <w:snapToGrid w:val="0"/>
        <w:spacing w:line="480" w:lineRule="exact"/>
      </w:pPr>
      <w:r>
        <w:rPr>
          <w:rFonts w:ascii="楷体_GB2312" w:hAnsi="Times New Roman" w:eastAsia="楷体_GB2312"/>
          <w:bCs/>
          <w:sz w:val="28"/>
          <w:szCs w:val="28"/>
        </w:rPr>
        <w:t>在测量设计上，应优先补充能够改变结论的重复层次。当前已有同机进程间描述，下一步若主张跨环境稳定性，就需要新的硬件、编译设置或独立运行条件，并预先规定如何比较。若主要疑问是连续调用的相依影响，则需要针对运行次序和间隔作设计。盲目增加同一进程中的调用次数，未必能回答这些问题。</w:t>
      </w:r>
    </w:p>
    <w:p>
      <w:pPr>
        <w:pStyle w:val="RWBody"/>
        <w:widowControl/>
        <w:adjustRightInd w:val="0"/>
        <w:snapToGrid w:val="0"/>
        <w:spacing w:line="480" w:lineRule="exact"/>
      </w:pPr>
      <w:r>
        <w:rPr>
          <w:rFonts w:ascii="楷体_GB2312" w:hAnsi="Times New Roman" w:eastAsia="楷体_GB2312"/>
          <w:bCs/>
          <w:sz w:val="28"/>
          <w:szCs w:val="28"/>
        </w:rPr>
        <w:t>在统计解释上，平均时间差、分布差异和实质等价应分别处理。弱零假设不要求每个单位的效应都相同，因此不能直接沿用尖锐零假设的有限样本结论[13]。本文给出的区间下界保留了尚未验证的前提，后续应先判断这些前提能否由设计或外部知识支持，再决定区间能够报告到何种程度。</w:t>
      </w:r>
    </w:p>
    <w:p>
      <w:pPr>
        <w:pStyle w:val="RWBody"/>
        <w:widowControl/>
        <w:adjustRightInd w:val="0"/>
        <w:snapToGrid w:val="0"/>
        <w:spacing w:line="480" w:lineRule="exact"/>
      </w:pPr>
      <w:r>
        <w:rPr>
          <w:rFonts w:ascii="楷体_GB2312" w:hAnsi="Times New Roman" w:eastAsia="楷体_GB2312"/>
          <w:bCs/>
          <w:sz w:val="28"/>
          <w:szCs w:val="28"/>
        </w:rPr>
        <w:t>在应用上，系统更适合作为固定实现的本地检查与复现工具。将其用于其他算法或其他架构之前，需要重新明确密码功能、可观察信息和计时范围；将结果用于实际部署决策之前，还需要结合更全面的实现审查。现有程序与文档能够提供起点，不能替代应用场景本身的安全要求。</w:t>
      </w:r>
    </w:p>
    <w:bookmarkEnd w:id="91"/>
    <w:bookmarkEnd w:id="92"/>
    <w:bookmarkStart w:id="95" w:name="第7章-总结与展望"/>
    <w:p>
      <w:pPr>
        <w:pStyle w:val="RWChapter"/>
        <w:spacing w:before="240" w:after="240" w:line="360" w:lineRule="auto"/>
        <w:keepNext/>
        <w:keepLines/>
        <w:outlineLvl w:val="0"/>
      </w:pPr>
      <w:bookmarkStart w:id="536" w:name="rw_heading_36"/>
      <w:r>
        <w:rPr>
          <w:rFonts w:hint="eastAsia" w:ascii="华文楷体" w:hAnsi="华文楷体" w:eastAsia="华文楷体"/>
          <w:sz w:val="30"/>
          <w:szCs w:val="30"/>
          <w:b/>
        </w:rPr>
        <w:t xml:space="preserve">第7章</w:t>
      </w:r>
      <w:r>
        <w:rPr>
          <w:rFonts w:hint="eastAsia" w:ascii="华文楷体" w:hAnsi="华文楷体" w:eastAsia="华文楷体"/>
          <w:sz w:val="30"/>
          <w:szCs w:val="30"/>
          <w:b/>
        </w:rPr>
        <w:t xml:space="preserve">　</w:t>
      </w:r>
      <w:r>
        <w:rPr>
          <w:rFonts w:hint="eastAsia" w:ascii="华文楷体" w:hAnsi="华文楷体" w:eastAsia="华文楷体"/>
          <w:sz w:val="30"/>
          <w:szCs w:val="30"/>
          <w:b/>
        </w:rPr>
        <w:t xml:space="preserve">总结与展望</w:t>
      </w:r>
      <w:bookmarkEnd w:id="536"/>
    </w:p>
    <w:bookmarkStart w:id="93" w:name="工作总结"/>
    <w:p>
      <w:pPr>
        <w:pStyle w:val="RWSection"/>
        <w:spacing w:before="240" w:after="240" w:line="360" w:lineRule="auto"/>
        <w:keepNext/>
        <w:keepLines/>
        <w:outlineLvl w:val="1"/>
      </w:pPr>
      <w:bookmarkStart w:id="537" w:name="rw_heading_37"/>
      <w:r>
        <w:rPr>
          <w:rFonts w:ascii="Times New Roman" w:hAnsi="Times New Roman" w:eastAsia="黑体" w:cs="Times New Roman"/>
          <w:sz w:val="28"/>
          <w:szCs w:val="28"/>
          <w:b/>
        </w:rPr>
        <w:t xml:space="preserve">7.1　</w:t>
      </w:r>
      <w:r>
        <w:rPr>
          <w:rFonts w:ascii="Times New Roman" w:hAnsi="Times New Roman" w:eastAsia="黑体" w:cs="Times New Roman"/>
          <w:sz w:val="28"/>
          <w:szCs w:val="28"/>
          <w:b/>
        </w:rPr>
        <w:t xml:space="preserve">工作总结</w:t>
      </w:r>
      <w:bookmarkEnd w:id="537"/>
    </w:p>
    <w:p>
      <w:pPr>
        <w:pStyle w:val="RWBody"/>
        <w:widowControl/>
        <w:adjustRightInd w:val="0"/>
        <w:snapToGrid w:val="0"/>
        <w:spacing w:line="480" w:lineRule="exact"/>
      </w:pPr>
      <w:r>
        <w:rPr>
          <w:rFonts w:ascii="楷体_GB2312" w:hAnsi="Times New Roman" w:eastAsia="楷体_GB2312"/>
          <w:bCs/>
          <w:sz w:val="28"/>
          <w:szCs w:val="28"/>
        </w:rPr>
        <w:t>本作品围绕ML-KEM-768解封装的本地时间侧信道评估，完成了功能验证、时间采集、统计计算及离线复现的统一流程。固定上游版本和独立公开向量明确了被测对象及功能要求；相同长度的多类输入、完整调用计时和原始记录保留，使测量过程能够检查；源码、编译后程序与统计输出分别用于讨论可能的时间差异来源。</w:t>
      </w:r>
    </w:p>
    <w:p w14:paraId="CA140006">
      <w:pPr>
        <w:pStyle w:val="RWBody"/>
        <w:widowControl/>
        <w:adjustRightInd w:val="0"/>
        <w:snapToGrid w:val="0"/>
        <w:spacing w:line="480" w:lineRule="exact"/>
      </w:pPr>
      <w:r>
        <w:rPr>
          <w:rFonts w:ascii="楷体_GB2312" w:hAnsi="Times New Roman" w:eastAsia="楷体_GB2312"/>
          <w:bCs/>
          <w:sz w:val="28"/>
          <w:szCs w:val="28"/>
        </w:rPr>
        <w:t>在同机人工对照中，掩码选择实现对五组预定测试均未再检出原分组差异。这一结果提供特定环境及检验规则下的防护观察，仍受重复密文与序列依赖限制。统计计算方面，八个固定任务与SciPy的精确尾计数一致，同语言比较及重新构建后的三个进程均支持六个非零任务的计算开销下降；效率收益属于统计分析过程，不属于密码运算加速。</w:t>
      </w:r>
    </w:p>
    <w:p w14:paraId="CA160022">
      <w:pPr>
        <w:pStyle w:val="RWBody"/>
        <w:widowControl/>
        <w:adjustRightInd w:val="0"/>
        <w:snapToGrid w:val="0"/>
        <w:spacing w:line="480" w:lineRule="exact"/>
      </w:pPr>
      <w:r>
        <w:rPr>
          <w:rFonts w:ascii="楷体_GB2312" w:hAnsi="Times New Roman" w:eastAsia="楷体_GB2312"/>
          <w:bCs/>
          <w:sz w:val="28"/>
          <w:szCs w:val="28"/>
        </w:rPr>
        <w:t>裸金属受控测量保存126528次完整调用，200个反馈区间满足事前工程要求，完整位于主阶段的观测窗口覆盖99.4948%的主观察时间。独立的空窗口实验和六进程完整调用实验进一步描述了读钟行为与近邻运行变异。全部普通长尾、预热和时间总和均保留，以便检查典型耗时与偶发较慢调用。</w:t>
      </w:r>
    </w:p>
    <w:p>
      <w:pPr>
        <w:pStyle w:val="RWBody"/>
        <w:widowControl/>
        <w:adjustRightInd w:val="0"/>
        <w:snapToGrid w:val="0"/>
        <w:spacing w:line="480" w:lineRule="exact"/>
      </w:pPr>
      <w:r>
        <w:rPr>
          <w:rFonts w:ascii="楷体_GB2312" w:hAnsi="Times New Roman" w:eastAsia="楷体_GB2312"/>
          <w:bCs/>
          <w:sz w:val="28"/>
          <w:szCs w:val="28"/>
        </w:rPr>
        <w:t>本作品将功能验证、实现检查和统计分析连接到同一组可追溯材料，使评审者能够从结论返回比较条件与原始记录。已完成的实验支持特定条件下的防护观察，以及固定置换任务的计算开销下降。早期仍有差异的测试、未完成的比较和均值区间尚未满足的前提，共同限定了这些结论的适用范围，也为后续实验确定了需要回答的问题。</w:t>
      </w:r>
    </w:p>
    <w:bookmarkEnd w:id="93"/>
    <w:bookmarkStart w:id="94" w:name="现有限制与后续工作"/>
    <w:p>
      <w:pPr>
        <w:pStyle w:val="RWSection"/>
        <w:spacing w:before="240" w:after="240" w:line="360" w:lineRule="auto"/>
        <w:keepNext/>
        <w:keepLines/>
        <w:outlineLvl w:val="1"/>
      </w:pPr>
      <w:bookmarkStart w:id="538" w:name="rw_heading_38"/>
      <w:r>
        <w:rPr>
          <w:rFonts w:ascii="Times New Roman" w:hAnsi="Times New Roman" w:eastAsia="黑体" w:cs="Times New Roman"/>
          <w:sz w:val="28"/>
          <w:szCs w:val="28"/>
          <w:b/>
        </w:rPr>
        <w:t xml:space="preserve">7.2　</w:t>
      </w:r>
      <w:r>
        <w:rPr>
          <w:rFonts w:ascii="Times New Roman" w:hAnsi="Times New Roman" w:eastAsia="黑体" w:cs="Times New Roman"/>
          <w:sz w:val="28"/>
          <w:szCs w:val="28"/>
          <w:b/>
        </w:rPr>
        <w:t xml:space="preserve">现有限制与后续工作</w:t>
      </w:r>
      <w:bookmarkEnd w:id="538"/>
    </w:p>
    <w:p>
      <w:pPr>
        <w:pStyle w:val="RWBody"/>
        <w:widowControl/>
        <w:adjustRightInd w:val="0"/>
        <w:snapToGrid w:val="0"/>
        <w:spacing w:line="480" w:lineRule="exact"/>
      </w:pPr>
      <w:r>
        <w:rPr>
          <w:rFonts w:ascii="楷体_GB2312" w:hAnsi="Times New Roman" w:eastAsia="楷体_GB2312"/>
          <w:bCs/>
          <w:sz w:val="28"/>
          <w:szCs w:val="28"/>
        </w:rPr>
        <w:t xml:space="preserve">后续工作需要在已有同机防护复测基础上，进一步解释重复密文、序列相依以及</w:t>
      </w:r>
      <w:r>
        <w:rPr>
          <w:rFonts w:ascii="楷体_GB2312" w:hAnsi="Times New Roman" w:eastAsia="楷体_GB2312"/>
          <w:bCs/>
          <w:sz w:val="28"/>
          <w:szCs w:val="28"/>
        </w:rPr>
        <w:t xml:space="preserve"> KVM </w:t>
      </w:r>
      <w:r>
        <w:rPr>
          <w:rFonts w:ascii="楷体_GB2312" w:hAnsi="Times New Roman" w:eastAsia="楷体_GB2312"/>
          <w:bCs/>
          <w:sz w:val="28"/>
          <w:szCs w:val="28"/>
        </w:rPr>
        <w:t xml:space="preserve">调度对名义检验的影响。当前五个种子的掩码形态均未再检出，支持该人工对照在固定环境和原检验下的改善观察；跨环境稳定性、完整因果分离以及全库恒时性质仍不能由此推出。普通性能与防护效果继续按各自的数据和方法解释。</w:t>
      </w:r>
    </w:p>
    <w:p>
      <w:pPr>
        <w:pStyle w:val="RWBody"/>
        <w:widowControl/>
        <w:adjustRightInd w:val="0"/>
        <w:snapToGrid w:val="0"/>
        <w:spacing w:line="480" w:lineRule="exact"/>
      </w:pPr>
      <w:r>
        <w:rPr>
          <w:rFonts w:ascii="楷体_GB2312" w:hAnsi="Times New Roman" w:eastAsia="楷体_GB2312"/>
          <w:bCs/>
          <w:sz w:val="28"/>
          <w:szCs w:val="28"/>
        </w:rPr>
        <w:t xml:space="preserve">其次，固定任务的效率优势尚不能外推至任意数据规模或所有统计场景。当前成对单位上限为20，超过该范围需要重新选择计算策略和验证边界；有限模型也不是实际密码时间噪声的完整描述。扩展工作应继续保留失败、低检出及不利结果，而不是仅选择能够强化结论的条件。</w:t>
      </w:r>
    </w:p>
    <w:p>
      <w:pPr>
        <w:pStyle w:val="RWBody"/>
        <w:widowControl/>
        <w:adjustRightInd w:val="0"/>
        <w:snapToGrid w:val="0"/>
        <w:spacing w:line="480" w:lineRule="exact"/>
      </w:pPr>
      <w:r>
        <w:rPr>
          <w:rFonts w:ascii="楷体_GB2312" w:hAnsi="Times New Roman" w:eastAsia="楷体_GB2312"/>
          <w:bCs/>
          <w:sz w:val="28"/>
          <w:szCs w:val="28"/>
        </w:rPr>
        <w:t>若后续目标是证明两个实现的平均开销足够接近，需要事先给出具有工程意义的容许差异，并获得适用的置信区间。单纯未检出显著差异并不等于等价。本文已分析原均值区间的条件覆盖下界，但潜在结果中的最大方差贡献比例、无残留影响和无干扰等条件尚未在真实实验中得到确认，现有4至20个单位不能据此获得名义覆盖率保证。</w:t>
      </w:r>
    </w:p>
    <w:p w14:paraId="CA160023">
      <w:pPr>
        <w:pStyle w:val="RWBody"/>
        <w:widowControl/>
        <w:adjustRightInd w:val="0"/>
        <w:snapToGrid w:val="0"/>
        <w:spacing w:line="480" w:lineRule="exact"/>
      </w:pPr>
      <w:r>
        <w:rPr>
          <w:rFonts w:ascii="楷体_GB2312" w:hAnsi="Times New Roman" w:eastAsia="楷体_GB2312"/>
          <w:bCs/>
          <w:sz w:val="28"/>
          <w:szCs w:val="28"/>
        </w:rPr>
        <w:t>后续测量应围绕拟区分的差异量级确定精度要求，并选择与之匹配的输入、运行时长和重复层次。当前空窗口及六进程结果只描述特定程序、输入和近邻运行，尚不能代表长期稳定性或独立环境。进一步工作应优先补充会改变研究结论的证据，而不是仅增加调用次数。测量要求和正式统计确认仍有未完成部分，具体状态保留在验收材料中。</w:t>
      </w:r>
    </w:p>
    <w:bookmarkEnd w:id="94"/>
    <w:bookmarkEnd w:id="95"/>
    <w:bookmarkStart w:id="96" w:name="参考文献"/>
    <w:p>
      <w:pPr>
        <w:pStyle w:val="RWChapter"/>
        <w:spacing w:before="240" w:after="240" w:line="360" w:lineRule="auto"/>
        <w:keepNext/>
        <w:keepLines/>
        <w:outlineLvl w:val="0"/>
        <w:pageBreakBefore/>
      </w:pPr>
      <w:bookmarkStart w:id="539" w:name="rw_heading_39"/>
      <w:r>
        <w:rPr>
          <w:rFonts w:hint="eastAsia" w:ascii="华文楷体" w:hAnsi="华文楷体" w:eastAsia="华文楷体"/>
          <w:sz w:val="30"/>
          <w:szCs w:val="30"/>
          <w:b/>
        </w:rPr>
        <w:t xml:space="preserve">参考文献</w:t>
      </w:r>
      <w:bookmarkEnd w:id="539"/>
    </w:p>
    <w:p w14:paraId="CA140007">
      <w:pPr>
        <w:pStyle w:val="RWBody"/>
        <w:widowControl/>
        <w:adjustRightInd w:val="0"/>
        <w:snapToGrid w:val="0"/>
        <w:spacing w:line="480" w:lineRule="exact"/>
      </w:pPr>
      <w:r>
        <w:rPr>
          <w:rFonts w:ascii="楷体_GB2312" w:hAnsi="Times New Roman" w:eastAsia="楷体_GB2312"/>
          <w:bCs/>
          <w:sz w:val="28"/>
          <w:szCs w:val="28"/>
        </w:rPr>
        <w:t xml:space="preserve">[1] NIST. Module-Lattice-Based Key-Encapsulation Mechanism Standard. FIPS 203, 2024. https://csrc.nist.gov/pubs/fips/203/final . 潜在修正工作簿（2026-10-09核对）：https://csrc.nist.gov/files/pubs/fips/203/final/docs/fips-203-potential-updates.xlsx 。</w:t>
      </w:r>
    </w:p>
    <w:p>
      <w:pPr>
        <w:pStyle w:val="RWBody"/>
        <w:widowControl/>
        <w:adjustRightInd w:val="0"/>
        <w:snapToGrid w:val="0"/>
        <w:spacing w:line="480" w:lineRule="exact"/>
      </w:pPr>
      <w:r>
        <w:rPr>
          <w:rFonts w:ascii="楷体_GB2312" w:hAnsi="Times New Roman" w:eastAsia="楷体_GB2312"/>
          <w:bCs/>
          <w:sz w:val="28"/>
          <w:szCs w:val="28"/>
        </w:rPr>
        <w:t xml:space="preserve">[2] pq-code-package. mlkem-native: Formal Verification — Scope, Assumptions, Risks. </w:t>
      </w:r>
      <w:r>
        <w:rPr>
          <w:rFonts w:ascii="楷体_GB2312" w:hAnsi="Times New Roman" w:eastAsia="楷体_GB2312"/>
          <w:bCs/>
          <w:sz w:val="28"/>
          <w:szCs w:val="28"/>
        </w:rPr>
        <w:t xml:space="preserve">固定提交</w:t>
      </w:r>
      <w:r>
        <w:rPr>
          <w:rFonts w:ascii="楷体_GB2312" w:hAnsi="Times New Roman" w:eastAsia="楷体_GB2312"/>
          <w:bCs/>
          <w:sz w:val="28"/>
          <w:szCs w:val="28"/>
        </w:rPr>
        <w:t xml:space="preserve"> b3ba7b32773e657dd37f6f87bce82528459ad8a4. https://github.com/pq-code-package/mlkem-native/blob/b3ba7b32773e657dd37f6f87bce82528459ad8a4/SOUNDNESS.md .</w:t>
      </w:r>
    </w:p>
    <w:p>
      <w:pPr>
        <w:pStyle w:val="RWBody"/>
        <w:widowControl/>
        <w:adjustRightInd w:val="0"/>
        <w:snapToGrid w:val="0"/>
        <w:spacing w:line="480" w:lineRule="exact"/>
      </w:pPr>
      <w:r>
        <w:rPr>
          <w:rFonts w:ascii="楷体_GB2312" w:hAnsi="Times New Roman" w:eastAsia="楷体_GB2312"/>
          <w:bCs/>
          <w:sz w:val="28"/>
          <w:szCs w:val="28"/>
        </w:rPr>
        <w:t>[3] Reparaz O, Balasch J, Verbauwhede I. Dude, is my code constant time? Design, Automation &amp; Test in Europe, 2017:1697–1702. DOI:10.23919/DATE.2017.7927267.</w:t>
      </w:r>
    </w:p>
    <w:p>
      <w:pPr>
        <w:pStyle w:val="RWBody"/>
        <w:widowControl/>
        <w:adjustRightInd w:val="0"/>
        <w:snapToGrid w:val="0"/>
        <w:spacing w:line="480" w:lineRule="exact"/>
      </w:pPr>
      <w:r>
        <w:rPr>
          <w:rFonts w:ascii="楷体_GB2312" w:hAnsi="Times New Roman" w:eastAsia="楷体_GB2312"/>
          <w:bCs/>
          <w:sz w:val="28"/>
          <w:szCs w:val="28"/>
        </w:rPr>
        <w:t xml:space="preserve">[4] Dunsche M, et al. With Great Power Come Great Side Channels: Statistical Timing Side-Channel Analyses with Bounded Type-1 Errors. USENIX Security, 2024. https://www.usenix.org/conference/usenixsecurity24/presentation/dunsche . 正式勘误：https://www.usenix.org/system/files/sec24_errata_dunsche.pdf .</w:t>
      </w:r>
      <w:r>
        <w:rPr>
          <w:rFonts w:ascii="楷体_GB2312" w:hAnsi="Times New Roman" w:eastAsia="楷体_GB2312"/>
          <w:bCs/>
          <w:sz w:val="28"/>
          <w:szCs w:val="28"/>
        </w:rPr>
        <w:t xml:space="preserve"/>
      </w:r>
    </w:p>
    <w:p>
      <w:pPr>
        <w:pStyle w:val="RWBody"/>
        <w:widowControl/>
        <w:adjustRightInd w:val="0"/>
        <w:snapToGrid w:val="0"/>
        <w:spacing w:line="480" w:lineRule="exact"/>
      </w:pPr>
      <w:r>
        <w:rPr>
          <w:rFonts w:ascii="楷体_GB2312" w:hAnsi="Times New Roman" w:eastAsia="楷体_GB2312"/>
          <w:bCs/>
          <w:sz w:val="28"/>
          <w:szCs w:val="28"/>
        </w:rPr>
        <w:t>[5] Virtanen P, Gommers R, Oliphant T E, et al. SciPy 1.0: fundamental algorithms for scientific computing in Python. Nature Methods, 2020, 17:261–272. DOI:10.1038/s41592-019-0686-2. 本文对照环境为SciPy 1.16.3与NumPy 2.3.5，具体置换规则见正文与复现材料。</w:t>
      </w:r>
    </w:p>
    <w:p>
      <w:pPr>
        <w:pStyle w:val="RWBody"/>
        <w:widowControl/>
        <w:adjustRightInd w:val="0"/>
        <w:snapToGrid w:val="0"/>
        <w:spacing w:line="480" w:lineRule="exact"/>
      </w:pPr>
      <w:r>
        <w:rPr>
          <w:rFonts w:ascii="楷体_GB2312" w:hAnsi="Times New Roman" w:eastAsia="楷体_GB2312"/>
          <w:bCs/>
          <w:sz w:val="28"/>
          <w:szCs w:val="28"/>
        </w:rPr>
        <w:t xml:space="preserve">[6] clangover 项目. 历史 Kyber 编译行为资料. 固定提交7f4d5dc162b77c362a34a0d52949f7a3e1b16d81. https://github.com/antoonpurnal/clangover .</w:t>
      </w:r>
      <w:r>
        <w:rPr>
          <w:rFonts w:ascii="楷体_GB2312" w:hAnsi="Times New Roman" w:eastAsia="楷体_GB2312"/>
          <w:bCs/>
          <w:sz w:val="28"/>
          <w:szCs w:val="28"/>
        </w:rPr>
        <w:t xml:space="preserve"/>
      </w:r>
      <w:r>
        <w:rPr>
          <w:rFonts w:ascii="楷体_GB2312" w:hAnsi="Times New Roman" w:eastAsia="楷体_GB2312"/>
          <w:bCs/>
          <w:sz w:val="28"/>
          <w:szCs w:val="28"/>
        </w:rPr>
        <w:t xml:space="preserve"/>
      </w:r>
      <w:r>
        <w:rPr>
          <w:rFonts w:ascii="楷体_GB2312" w:hAnsi="Times New Roman" w:eastAsia="楷体_GB2312"/>
          <w:bCs/>
          <w:sz w:val="28"/>
          <w:szCs w:val="28"/>
        </w:rPr>
        <w:t xml:space="preserve"/>
      </w:r>
      <w:r>
        <w:rPr>
          <w:rFonts w:ascii="楷体_GB2312" w:hAnsi="Times New Roman" w:eastAsia="楷体_GB2312"/>
          <w:bCs/>
          <w:sz w:val="28"/>
          <w:szCs w:val="28"/>
        </w:rPr>
        <w:t xml:space="preserve"/>
      </w:r>
      <w:r>
        <w:rPr>
          <w:rFonts w:ascii="楷体_GB2312" w:hAnsi="Times New Roman" w:eastAsia="楷体_GB2312"/>
          <w:bCs/>
          <w:sz w:val="28"/>
          <w:szCs w:val="28"/>
        </w:rPr>
        <w:t xml:space="preserve"/>
      </w:r>
      <w:r>
        <w:rPr>
          <w:rFonts w:ascii="楷体_GB2312" w:hAnsi="Times New Roman" w:eastAsia="楷体_GB2312"/>
          <w:bCs/>
          <w:sz w:val="28"/>
          <w:szCs w:val="28"/>
        </w:rPr>
        <w:t xml:space="preserve"/>
      </w:r>
      <w:r>
        <w:rPr>
          <w:rFonts w:ascii="楷体_GB2312" w:hAnsi="Times New Roman" w:eastAsia="楷体_GB2312"/>
          <w:bCs/>
          <w:sz w:val="28"/>
          <w:szCs w:val="28"/>
        </w:rPr>
        <w:t xml:space="preserve"/>
      </w:r>
      <w:r>
        <w:rPr>
          <w:rFonts w:ascii="楷体_GB2312" w:hAnsi="Times New Roman" w:eastAsia="楷体_GB2312"/>
          <w:bCs/>
          <w:sz w:val="28"/>
          <w:szCs w:val="28"/>
        </w:rPr>
        <w:t xml:space="preserve"/>
      </w:r>
      <w:r>
        <w:rPr>
          <w:rFonts w:ascii="楷体_GB2312" w:hAnsi="Times New Roman" w:eastAsia="楷体_GB2312"/>
          <w:bCs/>
          <w:sz w:val="28"/>
          <w:szCs w:val="28"/>
        </w:rPr>
        <w:t xml:space="preserve"/>
      </w:r>
      <w:r>
        <w:rPr>
          <w:rFonts w:ascii="楷体_GB2312" w:hAnsi="Times New Roman" w:eastAsia="楷体_GB2312"/>
          <w:bCs/>
          <w:sz w:val="28"/>
          <w:szCs w:val="28"/>
        </w:rPr>
        <w:t xml:space="preserve"/>
      </w:r>
      <w:r>
        <w:rPr>
          <w:rFonts w:ascii="楷体_GB2312" w:hAnsi="Times New Roman" w:eastAsia="楷体_GB2312"/>
          <w:bCs/>
          <w:sz w:val="28"/>
          <w:szCs w:val="28"/>
        </w:rPr>
        <w:t xml:space="preserve"/>
      </w:r>
    </w:p>
    <w:p>
      <w:pPr>
        <w:pStyle w:val="RWBody"/>
        <w:widowControl/>
        <w:adjustRightInd w:val="0"/>
        <w:snapToGrid w:val="0"/>
        <w:spacing w:line="480" w:lineRule="exact"/>
      </w:pPr>
      <w:r>
        <w:rPr>
          <w:rFonts w:ascii="楷体_GB2312" w:hAnsi="Times New Roman" w:eastAsia="楷体_GB2312"/>
          <w:bCs/>
          <w:sz w:val="28"/>
          <w:szCs w:val="28"/>
        </w:rPr>
        <w:t xml:space="preserve">[7] Dunsche M, et al. SILENT: A New Lens on Statistics in Software Timing Side Channels. arXiv:2504.19821v1, 2025. https://arxiv.org/abs/2504.19821 .</w:t>
      </w:r>
    </w:p>
    <w:p>
      <w:pPr>
        <w:pStyle w:val="RWBody"/>
        <w:widowControl/>
        <w:adjustRightInd w:val="0"/>
        <w:snapToGrid w:val="0"/>
        <w:spacing w:line="480" w:lineRule="exact"/>
      </w:pPr>
      <w:r>
        <w:rPr>
          <w:rFonts w:ascii="楷体_GB2312" w:hAnsi="Times New Roman" w:eastAsia="楷体_GB2312"/>
          <w:bCs/>
          <w:sz w:val="28"/>
          <w:szCs w:val="28"/>
        </w:rPr>
        <w:t xml:space="preserve">[8] Brumley B B. SoK: The Constant Time Model. WOOT, 2026. https://www.usenix.org/conference/woot26/presentation/brumley .</w:t>
      </w:r>
    </w:p>
    <w:p>
      <w:pPr>
        <w:pStyle w:val="RWBody"/>
        <w:widowControl/>
        <w:adjustRightInd w:val="0"/>
        <w:snapToGrid w:val="0"/>
        <w:spacing w:line="480" w:lineRule="exact"/>
      </w:pPr>
      <w:r>
        <w:rPr>
          <w:rFonts w:ascii="楷体_GB2312" w:hAnsi="Times New Roman" w:eastAsia="楷体_GB2312"/>
          <w:bCs/>
          <w:sz w:val="28"/>
          <w:szCs w:val="28"/>
        </w:rPr>
        <w:t xml:space="preserve">[9] Diaconis P, Holmes S. Gray codes for randomization procedures. Statistics and Computing, 1994, 4:287–302. DOI:10.1007/BF00156752.</w:t>
      </w:r>
    </w:p>
    <w:p>
      <w:pPr>
        <w:pStyle w:val="RWBody"/>
        <w:widowControl/>
        <w:adjustRightInd w:val="0"/>
        <w:snapToGrid w:val="0"/>
        <w:spacing w:line="480" w:lineRule="exact"/>
      </w:pPr>
      <w:r>
        <w:rPr>
          <w:rFonts w:ascii="楷体_GB2312" w:hAnsi="Times New Roman" w:eastAsia="楷体_GB2312"/>
          <w:bCs/>
          <w:sz w:val="28"/>
          <w:szCs w:val="28"/>
        </w:rPr>
        <w:t xml:space="preserve">[10] Hemerik J, Goeman J. Exact testing with random permutations. TEST, 2018, 27:811–825. DOI:10.1007/s11749-017-0571-1.</w:t>
      </w:r>
    </w:p>
    <w:p>
      <w:pPr>
        <w:pStyle w:val="RWBody"/>
        <w:widowControl/>
        <w:adjustRightInd w:val="0"/>
        <w:snapToGrid w:val="0"/>
        <w:spacing w:line="480" w:lineRule="exact"/>
      </w:pPr>
      <w:r>
        <w:rPr>
          <w:rFonts w:ascii="楷体_GB2312" w:hAnsi="Times New Roman" w:eastAsia="楷体_GB2312"/>
          <w:bCs/>
          <w:sz w:val="28"/>
          <w:szCs w:val="28"/>
        </w:rPr>
        <w:t xml:space="preserve">[11] Schneider M, et al. Breaking Bad: How Compilers Break Constant-Time Implementations. ASIA CCS, 2025:1690–1706. DOI:10.1145/3708821.3733909.</w:t>
      </w:r>
    </w:p>
    <w:p w14:paraId="CA150002">
      <w:pPr>
        <w:pStyle w:val="RWBody"/>
        <w:widowControl/>
        <w:adjustRightInd w:val="0"/>
        <w:snapToGrid w:val="0"/>
        <w:spacing w:line="480" w:lineRule="exact"/>
      </w:pPr>
      <w:r>
        <w:rPr>
          <w:rFonts w:ascii="楷体_GB2312" w:hAnsi="Times New Roman" w:eastAsia="楷体_GB2312"/>
          <w:bCs/>
          <w:sz w:val="28"/>
          <w:szCs w:val="28"/>
        </w:rPr>
        <w:t xml:space="preserve">[12] Imai K. Variance identification and efficiency analysis in randomized experiments under the matched-pair design. Statistics in Medicine, 2008, 27(24):4857–4873. DOI:10.1002/sim.3337.</w:t>
      </w:r>
    </w:p>
    <w:p w14:paraId="CA150003">
      <w:pPr>
        <w:pStyle w:val="RWBody"/>
        <w:widowControl/>
        <w:adjustRightInd w:val="0"/>
        <w:snapToGrid w:val="0"/>
        <w:spacing w:line="480" w:lineRule="exact"/>
      </w:pPr>
      <w:r>
        <w:rPr>
          <w:rFonts w:ascii="楷体_GB2312" w:hAnsi="Times New Roman" w:eastAsia="楷体_GB2312"/>
          <w:bCs/>
          <w:sz w:val="28"/>
          <w:szCs w:val="28"/>
        </w:rPr>
        <w:t xml:space="preserve">[13] Wu J, Ding P. Randomization Tests for Weak Null Hypotheses in Randomized Experiments. Journal of the American Statistical Association, 2021, 116(536):1898–1913. DOI:10.1080/01621459.2020.1750415.</w:t>
      </w:r>
    </w:p>
    <w:p w14:paraId="CA150004">
      <w:pPr>
        <w:pStyle w:val="RWBody"/>
        <w:widowControl/>
        <w:adjustRightInd w:val="0"/>
        <w:snapToGrid w:val="0"/>
        <w:spacing w:line="480" w:lineRule="exact"/>
      </w:pPr>
      <w:r>
        <w:rPr>
          <w:rFonts w:ascii="楷体_GB2312" w:hAnsi="Times New Roman" w:eastAsia="楷体_GB2312"/>
          <w:bCs/>
          <w:sz w:val="28"/>
          <w:szCs w:val="28"/>
        </w:rPr>
        <w:t xml:space="preserve">[14] Hoeffding W. Probability Inequalities for Sums of Bounded Random Variables. Journal of the American Statistical Association, 1963, 58(301):13–30. DOI:10.1080/01621459.1963.10500830.</w:t>
      </w:r>
    </w:p>
    <w:p w14:paraId="CA160027">
      <w:pPr>
        <w:pStyle w:val="RWBody"/>
        <w:widowControl/>
        <w:adjustRightInd w:val="0"/>
        <w:snapToGrid w:val="0"/>
        <w:spacing w:line="480" w:lineRule="exact"/>
      </w:pPr>
      <w:r>
        <w:rPr>
          <w:rFonts w:ascii="楷体_GB2312" w:hAnsi="Times New Roman" w:eastAsia="楷体_GB2312"/>
          <w:bCs/>
          <w:sz w:val="28"/>
          <w:szCs w:val="28"/>
        </w:rPr>
        <w:t xml:space="preserve">[15] Linux kernel contributors. arch/x86/kernel/cpu/aperfmperf.c, fixed tag v6.17. https://raw.githubusercontent.com/torvalds/linux/v6.17/arch/x86/kernel/cpu/aperfmperf.c (accessed 2026-10-10).</w:t>
      </w:r>
    </w:p>
    <w:p w14:paraId="CA170076">
      <w:pPr>
        <w:pStyle w:val="RWBody"/>
        <w:widowControl/>
        <w:adjustRightInd w:val="0"/>
        <w:snapToGrid w:val="0"/>
        <w:spacing w:line="480" w:lineRule="exact"/>
      </w:pPr>
      <w:r>
        <w:rPr>
          <w:rFonts w:ascii="楷体_GB2312" w:hAnsi="Times New Roman" w:eastAsia="楷体_GB2312"/>
          <w:bCs/>
          <w:sz w:val="28"/>
          <w:szCs w:val="28"/>
        </w:rPr>
        <w:t xml:space="preserve">[16] Tyurin I. New estimates of the convergence rate in the Lyapunov theorem. arXiv:0912.0726v1, 2009. https://arxiv.org/abs/0912.0726v1 . 研究预印本；本文使用一般独立结果所允许的保守常数1，定向核查式(1)与定理7，未重现计算证书。</w:t>
      </w:r>
    </w:p>
    <w:p w14:paraId="CA170076">
      <w:pPr>
        <w:pStyle w:val="RWBody"/>
        <w:widowControl/>
        <w:adjustRightInd w:val="0"/>
        <w:snapToGrid w:val="0"/>
        <w:spacing w:line="480" w:lineRule="exact"/>
      </w:pPr>
      <w:r>
        <w:rPr>
          <w:rFonts w:ascii="楷体_GB2312" w:hAnsi="Times New Roman" w:eastAsia="楷体_GB2312"/>
          <w:bCs/>
          <w:sz w:val="28"/>
          <w:szCs w:val="28"/>
        </w:rPr>
        <w:t>[17] Stodden V, McNutt M, Bailey D H, et al. Enhancing reproducibility for computational methods. Science, 2016, 354(6317):1240–1241. DOI:10.1126/science.aah6168.</w:t>
      </w:r>
    </w:p>
    <w:p w14:paraId="CA170076">
      <w:pPr>
        <w:pStyle w:val="RWBody"/>
        <w:widowControl/>
        <w:adjustRightInd w:val="0"/>
        <w:snapToGrid w:val="0"/>
        <w:spacing w:line="480" w:lineRule="exact"/>
      </w:pPr>
      <w:r>
        <w:rPr>
          <w:rFonts w:ascii="楷体_GB2312" w:hAnsi="Times New Roman" w:eastAsia="楷体_GB2312"/>
          <w:bCs/>
          <w:sz w:val="28"/>
          <w:szCs w:val="28"/>
        </w:rPr>
        <w:t>[18] Kalibera T, Jones R. Rigorous Benchmarking in Reasonable Time. Proceedings of the 2013 International Symposium on Memory Management, 2013:63–74. DOI:10.1145/2464157.2464160. 本文查阅作者存档修订版。</w:t>
      </w:r>
    </w:p>
    <w:p w14:paraId="CA170076">
      <w:pPr>
        <w:pStyle w:val="RWBody"/>
        <w:widowControl/>
        <w:adjustRightInd w:val="0"/>
        <w:snapToGrid w:val="0"/>
        <w:spacing w:line="480" w:lineRule="exact"/>
      </w:pPr>
      <w:r>
        <w:rPr>
          <w:rFonts w:ascii="楷体_GB2312" w:hAnsi="Times New Roman" w:eastAsia="楷体_GB2312"/>
          <w:bCs/>
          <w:sz w:val="28"/>
          <w:szCs w:val="28"/>
        </w:rPr>
        <w:t>[19] Mytkowicz T, Diwan A, Hauswirth M, Sweeney P F. Producing Wrong Data Without Doing Anything Obviously Wrong! Proceedings of ASPLOS, 2009:265–276. DOI:10.1145/1508244.1508275.</w:t>
      </w:r>
    </w:p>
    <w:p w14:paraId="CA170076">
      <w:pPr>
        <w:pStyle w:val="RWBody"/>
        <w:widowControl/>
        <w:adjustRightInd w:val="0"/>
        <w:snapToGrid w:val="0"/>
        <w:spacing w:line="480" w:lineRule="exact"/>
      </w:pPr>
      <w:r>
        <w:rPr>
          <w:rFonts w:ascii="楷体_GB2312" w:hAnsi="Times New Roman" w:eastAsia="楷体_GB2312"/>
          <w:bCs/>
          <w:sz w:val="28"/>
          <w:szCs w:val="28"/>
        </w:rPr>
        <w:t>[20] Almeida J B, Barbosa M, Barthe G, Dupressoir F, Emmi M. Verifying Constant-Time Implementations. 25th USENIX Security Symposium, 2016:53–70. https://www.usenix.org/conference/usenixsecurity16/technical-sessions/presentation/almeida .</w:t>
      </w:r>
    </w:p>
    <w:p w14:paraId="CA170076">
      <w:pPr>
        <w:pStyle w:val="RWBody"/>
        <w:widowControl/>
        <w:adjustRightInd w:val="0"/>
        <w:snapToGrid w:val="0"/>
        <w:spacing w:line="480" w:lineRule="exact"/>
      </w:pPr>
      <w:r>
        <w:rPr>
          <w:rFonts w:ascii="楷体_GB2312" w:hAnsi="Times New Roman" w:eastAsia="楷体_GB2312"/>
          <w:bCs/>
          <w:sz w:val="28"/>
          <w:szCs w:val="28"/>
        </w:rPr>
        <w:t>[21] Rousseeuw P J, Croux C. Alternatives to the Median Absolute Deviation. Journal of the American Statistical Association, 1993, 88(424):1273–1283. DOI:10.1080/01621459.1993.10476408.</w:t>
      </w:r>
    </w:p>
    <w:p w14:paraId="CA170076">
      <w:pPr>
        <w:pStyle w:val="RWBody"/>
        <w:widowControl/>
        <w:adjustRightInd w:val="0"/>
        <w:snapToGrid w:val="0"/>
        <w:spacing w:line="480" w:lineRule="exact"/>
      </w:pPr>
      <w:r>
        <w:rPr>
          <w:rFonts w:ascii="楷体_GB2312" w:hAnsi="Times New Roman" w:eastAsia="楷体_GB2312"/>
          <w:bCs/>
          <w:sz w:val="28"/>
          <w:szCs w:val="28"/>
        </w:rPr>
        <w:t>[22] Mann H B, Whitney D R. On a Test of Whether one of Two Random Variables is Stochastically Larger than the Other. The Annals of Mathematical Statistics, 1947, 18(1):50–60. DOI:10.1214/aoms/1177730491.</w:t>
      </w:r>
    </w:p>
    <w:bookmarkEnd w:id="96"/>
    <w:bookmarkStart w:id="97" w:name="附录a-实验材料与结论对应关系"/>
    <w:p>
      <w:pPr>
        <w:pStyle w:val="RWChapter"/>
        <w:spacing w:before="240" w:after="240" w:line="360" w:lineRule="auto"/>
        <w:keepNext/>
        <w:keepLines/>
        <w:outlineLvl w:val="0"/>
        <w:pageBreakBefore/>
      </w:pPr>
      <w:bookmarkStart w:id="540" w:name="rw_heading_40"/>
      <w:r>
        <w:rPr>
          <w:rFonts w:hint="eastAsia" w:ascii="华文楷体" w:hAnsi="华文楷体" w:eastAsia="华文楷体"/>
          <w:sz w:val="30"/>
          <w:szCs w:val="30"/>
          <w:b/>
        </w:rPr>
        <w:t xml:space="preserve">附录A</w:t>
      </w:r>
      <w:r>
        <w:rPr>
          <w:rFonts w:hint="eastAsia" w:ascii="华文楷体" w:hAnsi="华文楷体" w:eastAsia="华文楷体"/>
          <w:sz w:val="30"/>
          <w:szCs w:val="30"/>
          <w:b/>
        </w:rPr>
        <w:t xml:space="preserve">　</w:t>
      </w:r>
      <w:r>
        <w:rPr>
          <w:rFonts w:hint="eastAsia" w:ascii="华文楷体" w:hAnsi="华文楷体" w:eastAsia="华文楷体"/>
          <w:sz w:val="30"/>
          <w:szCs w:val="30"/>
          <w:b/>
        </w:rPr>
        <w:t xml:space="preserve">实验材料与结论对应关系</w:t>
      </w:r>
      <w:bookmarkEnd w:id="540"/>
    </w:p>
    <w:p>
      <w:pPr>
        <w:pStyle w:val="RWBody"/>
        <w:widowControl/>
        <w:adjustRightInd w:val="0"/>
        <w:snapToGrid w:val="0"/>
        <w:spacing w:line="480" w:lineRule="exact"/>
      </w:pPr>
      <w:r>
        <w:rPr>
          <w:rFonts w:ascii="楷体_GB2312" w:hAnsi="Times New Roman" w:eastAsia="楷体_GB2312"/>
          <w:bCs/>
          <w:sz w:val="28"/>
          <w:szCs w:val="28"/>
        </w:rPr>
        <w:t xml:space="preserve">正文中的实验数字均对应已保存的原始记录或</w:t>
      </w:r>
      <w:r>
        <w:rPr>
          <w:rFonts w:ascii="楷体_GB2312" w:hAnsi="Times New Roman" w:eastAsia="楷体_GB2312"/>
          <w:bCs/>
          <w:sz w:val="28"/>
          <w:szCs w:val="28"/>
        </w:rPr>
        <w:t xml:space="preserve"> C </w:t>
      </w:r>
      <w:r>
        <w:rPr>
          <w:rFonts w:ascii="楷体_GB2312" w:hAnsi="Times New Roman" w:eastAsia="楷体_GB2312"/>
          <w:bCs/>
          <w:sz w:val="28"/>
          <w:szCs w:val="28"/>
        </w:rPr>
        <w:t xml:space="preserve">输出。下表提供材料索引，帮助复核人员区分平台、对象及结果类型。目录以项目根目录为起点，完整文件清单及摘要随相应证据保存；内部原件与匿名分发副本按各自清单解释，不混用摘要。</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表A.1</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主要材料索引</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964"/>
        <w:gridCol w:w="5386"/>
        <w:gridCol w:w="2608"/>
      </w:tblGrid>
      <w:tr>
        <w:trPr>
          <w:trHeight w:val="520" w:hRule="atLeast"/>
          <w:tblHeader w:val="on"/>
          <w:cantSplit/>
          <w:tblHeader/>
        </w:trPr>
        <w:tc>
          <w:tcPr>
            <w:tcW w:type="dxa" w:w="964"/>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编号</w:t>
            </w:r>
          </w:p>
        </w:tc>
        <w:tc>
          <w:tcPr>
            <w:tcW w:type="dxa" w:w="5386"/>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材料与位置</w:t>
            </w:r>
          </w:p>
        </w:tc>
        <w:tc>
          <w:tcPr>
            <w:tcW w:type="dxa" w:w="2608"/>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本文使用范围</w:t>
            </w:r>
          </w:p>
        </w:tc>
      </w:tr>
      <w:tr>
        <w:trPr>
          <w:trHeight w:val="520" w:hRule="atLeast"/>
          <w:cantSplit/>
        </w:trPr>
        <w:tc>
          <w:tcPr>
            <w:tcW w:type="dxa" w:w="964"/>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E01</w:t>
            </w:r>
          </w:p>
        </w:tc>
        <w:tc>
          <w:tcPr>
            <w:tcW w:type="dxa" w:w="5386"/>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docs/evidence/native-reference-20261007</w:t>
            </w:r>
          </w:p>
        </w:tc>
        <w:tc>
          <w:tcPr>
            <w:tcW w:type="dxa" w:w="2608"/>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前置普通参考与读钟检查</w:t>
            </w:r>
          </w:p>
        </w:tc>
      </w:tr>
      <w:tr>
        <w:trPr>
          <w:trHeight w:val="520" w:hRule="atLeast"/>
          <w:cantSplit/>
        </w:trPr>
        <w:tc>
          <w:tcPr>
            <w:tcW w:type="dxa" w:w="964"/>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E02</w:t>
            </w:r>
          </w:p>
        </w:tc>
        <w:tc>
          <w:tcPr>
            <w:tcW w:type="dxa" w:w="5386"/>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docs/evidence/native-final-20261007/performance</w:t>
            </w:r>
          </w:p>
        </w:tc>
        <w:tc>
          <w:tcPr>
            <w:tcW w:type="dxa" w:w="2608"/>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图5.2；表5.3、5.4；附录B</w:t>
            </w:r>
          </w:p>
        </w:tc>
      </w:tr>
      <w:tr>
        <w:trPr>
          <w:trHeight w:val="520" w:hRule="atLeast"/>
          <w:cantSplit/>
        </w:trPr>
        <w:tc>
          <w:tcPr>
            <w:tcW w:type="dxa" w:w="964"/>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N01</w:t>
            </w:r>
          </w:p>
        </w:tc>
        <w:tc>
          <w:tcPr>
            <w:tcW w:type="dxa" w:w="5386"/>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docs/evidence/candidate-round-20261007/native</w:t>
            </w:r>
          </w:p>
        </w:tc>
        <w:tc>
          <w:tcPr>
            <w:tcW w:type="dxa" w:w="2608"/>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图5.3；表5.5；原生检查</w:t>
            </w:r>
          </w:p>
        </w:tc>
      </w:tr>
      <w:tr>
        <w:trPr>
          <w:trHeight w:val="520" w:hRule="atLeast"/>
          <w:cantSplit/>
        </w:trPr>
        <w:tc>
          <w:tcPr>
            <w:tcW w:type="dxa" w:w="964"/>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H01</w:t>
            </w:r>
          </w:p>
        </w:tc>
        <w:tc>
          <w:tcPr>
            <w:tcW w:type="dxa" w:w="5386"/>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docs/evidence/statistics-multiseed</w:t>
            </w:r>
          </w:p>
        </w:tc>
        <w:tc>
          <w:tcPr>
            <w:tcW w:type="dxa" w:w="2608"/>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表5.9；历史案例限制</w:t>
            </w:r>
          </w:p>
        </w:tc>
      </w:tr>
      <w:tr>
        <w:trPr>
          <w:trHeight w:val="520" w:hRule="atLeast"/>
          <w:cantSplit/>
        </w:trPr>
        <w:tc>
          <w:tcPr>
            <w:tcW w:type="dxa" w:w="964"/>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C01</w:t>
            </w:r>
          </w:p>
        </w:tc>
        <w:tc>
          <w:tcPr>
            <w:tcW w:type="dxa" w:w="5386"/>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docs/evidence/controlled-comparison-20261007</w:t>
            </w:r>
          </w:p>
        </w:tc>
        <w:tc>
          <w:tcPr>
            <w:tcW w:type="dxa" w:w="2608"/>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图5.4；表5.6完整进程</w:t>
            </w:r>
          </w:p>
        </w:tc>
      </w:tr>
      <w:tr>
        <w:trPr>
          <w:trHeight w:val="520" w:hRule="atLeast"/>
          <w:cantSplit/>
        </w:trPr>
        <w:tc>
          <w:tcPr>
            <w:tcW w:type="dxa" w:w="964"/>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C02</w:t>
            </w:r>
          </w:p>
        </w:tc>
        <w:tc>
          <w:tcPr>
            <w:tcW w:type="dxa" w:w="5386"/>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docs/evidence/finite-calibration-20261007</w:t>
            </w:r>
          </w:p>
        </w:tc>
        <w:tc>
          <w:tcPr>
            <w:tcW w:type="dxa" w:w="2608"/>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图5.5；表5.7</w:t>
            </w:r>
          </w:p>
        </w:tc>
      </w:tr>
      <w:tr>
        <w:trPr>
          <w:trHeight w:val="520" w:hRule="atLeast"/>
          <w:cantSplit/>
        </w:trPr>
        <w:tc>
          <w:tcPr>
            <w:tcW w:type="dxa" w:w="964"/>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C03</w:t>
            </w:r>
          </w:p>
        </w:tc>
        <w:tc>
          <w:tcPr>
            <w:tcW w:type="dxa" w:w="5386"/>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docs/evidence/warm-replay-20261007</w:t>
            </w:r>
          </w:p>
        </w:tc>
        <w:tc>
          <w:tcPr>
            <w:tcW w:type="dxa" w:w="2608"/>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图5.4；表5.6预导入</w:t>
            </w:r>
          </w:p>
        </w:tc>
      </w:tr>
      <w:tr>
        <w:trPr>
          <w:trHeight w:val="520" w:hRule="atLeast"/>
          <w:cantSplit/>
        </w:trPr>
        <w:tc>
          <w:tcPr>
            <w:tcW w:type="dxa" w:w="964"/>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C04</w:t>
            </w:r>
          </w:p>
        </w:tc>
        <w:tc>
          <w:tcPr>
            <w:tcW w:type="dxa" w:w="5386"/>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docs/evidence/reference-label-control-20261007</w:t>
            </w:r>
          </w:p>
        </w:tc>
        <w:tc>
          <w:tcPr>
            <w:tcW w:type="dxa" w:w="2608"/>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图5.6；表5.8</w:t>
            </w:r>
          </w:p>
        </w:tc>
      </w:tr>
      <w:tr>
        <w:trPr>
          <w:trHeight w:val="520" w:hRule="atLeast"/>
          <w:cantSplit/>
        </w:trPr>
        <w:tc>
          <w:tcPr>
            <w:tcW w:type="dxa" w:w="964"/>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R07</w:t>
            </w:r>
          </w:p>
        </w:tc>
        <w:tc>
          <w:tcPr>
            <w:tcW w:type="dxa" w:w="5386"/>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docs/evidence/r07-linux-20261008</w:t>
            </w:r>
          </w:p>
        </w:tc>
        <w:tc>
          <w:tcPr>
            <w:tcW w:type="dxa" w:w="2608"/>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图5.7；表5.10；同机人工机制复测</w:t>
            </w:r>
          </w:p>
        </w:tc>
      </w:tr>
      <w:tr>
        <w:trPr>
          <w:trHeight w:val="520" w:hRule="atLeast"/>
          <w:cantSplit/>
        </w:trPr>
        <w:tc>
          <w:tcPr>
            <w:tcW w:type="dxa" w:w="964"/>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V3-R</w:t>
            </w:r>
          </w:p>
        </w:tc>
        <w:tc>
          <w:tcPr>
            <w:tcW w:type="dxa" w:w="5386"/>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docs/evidence/author-proxy-v3-20261008</w:t>
            </w:r>
          </w:p>
        </w:tc>
        <w:tc>
          <w:tcPr>
            <w:tcW w:type="dxa" w:w="2608"/>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封存v3授权代理重跑</w:t>
            </w:r>
          </w:p>
        </w:tc>
      </w:tr>
      <w:tr>
        <w:trPr>
          <w:trHeight w:val="520" w:hRule="atLeast"/>
          <w:cantSplit/>
        </w:trPr>
        <w:tc>
          <w:tcPr>
            <w:tcW w:type="dxa" w:w="964"/>
            <w:tcBorders>
              <w:top w:val="nil" w:sz="10" w:color="000000"/>
              <w:bottom w:val="nil" w:sz="10" w:color="000000"/>
            </w:tcBorders>
          </w:tcPr>
          <w:p w14:paraId="CA170077">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G2-T</w:t>
            </w:r>
          </w:p>
        </w:tc>
        <w:tc>
          <w:tcPr>
            <w:tcW w:type="dxa" w:w="5386"/>
            <w:tcBorders>
              <w:top w:val="nil" w:sz="10" w:color="000000"/>
              <w:bottom w:val="nil" w:sz="10" w:color="000000"/>
            </w:tcBorders>
          </w:tcPr>
          <w:p w14:paraId="CA170078">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docs/evidence/g2-timing-description-20261010</w:t>
            </w:r>
          </w:p>
        </w:tc>
        <w:tc>
          <w:tcPr>
            <w:tcW w:type="dxa" w:w="2608"/>
            <w:tcBorders>
              <w:top w:val="nil" w:sz="10" w:color="000000"/>
              <w:bottom w:val="nil" w:sz="10" w:color="000000"/>
            </w:tcBorders>
          </w:tcPr>
          <w:p w14:paraId="CA170079">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表5.12；式5-7；54行原值描述</w:t>
            </w:r>
          </w:p>
        </w:tc>
      </w:tr>
      <w:tr>
        <w:trPr>
          <w:trHeight w:val="520" w:hRule="atLeast"/>
          <w:cantSplit/>
        </w:trPr>
        <w:tc>
          <w:tcPr>
            <w:tcW w:type="dxa" w:w="964"/>
            <w:tcBorders>
              <w:top w:val="nil" w:sz="10" w:color="000000"/>
              <w:bottom w:val="nil" w:sz="10" w:color="000000"/>
            </w:tcBorders>
          </w:tcPr>
          <w:p w14:paraId="CA17007A">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W-F</w:t>
            </w:r>
          </w:p>
        </w:tc>
        <w:tc>
          <w:tcPr>
            <w:tcW w:type="dxa" w:w="5386"/>
            <w:tcBorders>
              <w:top w:val="nil" w:sz="10" w:color="000000"/>
              <w:bottom w:val="nil" w:sz="10" w:color="000000"/>
            </w:tcBorders>
          </w:tcPr>
          <w:p w14:paraId="CA17007B">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docs/research/aris-weak-mean-finite-20261010</w:t>
            </w:r>
          </w:p>
        </w:tc>
        <w:tc>
          <w:tcPr>
            <w:tcW w:type="dxa" w:w="2608"/>
            <w:tcBorders>
              <w:top w:val="nil" w:sz="10" w:color="000000"/>
              <w:bottom w:val="nil" w:sz="10" w:color="000000"/>
            </w:tcBorders>
          </w:tcPr>
          <w:p w14:paraId="CA17007C">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第4.5节；原区间有限下界与解析复核</w:t>
            </w:r>
          </w:p>
        </w:tc>
      </w:tr>
      <w:tr>
        <w:trPr>
          <w:trHeight w:val="520" w:hRule="atLeast"/>
          <w:cantSplit/>
        </w:trPr>
        <w:tc>
          <w:tcPr>
            <w:tcW w:type="dxa" w:w="964"/>
            <w:tcBorders>
              <w:top w:val="nil" w:sz="10" w:color="000000"/>
              <w:bottom w:val="nil" w:sz="10" w:color="000000"/>
            </w:tcBorders>
          </w:tcPr>
          <w:p w14:paraId="CA17007D">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RAW-C</w:t>
            </w:r>
          </w:p>
        </w:tc>
        <w:tc>
          <w:tcPr>
            <w:tcW w:type="dxa" w:w="5386"/>
            <w:tcBorders>
              <w:top w:val="nil" w:sz="10" w:color="000000"/>
              <w:bottom w:val="nil" w:sz="10" w:color="000000"/>
            </w:tcBorders>
          </w:tcPr>
          <w:p w14:paraId="CA17007E">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docs/evidence/raw-clock-20261010</w:t>
            </w:r>
          </w:p>
        </w:tc>
        <w:tc>
          <w:tcPr>
            <w:tcW w:type="dxa" w:w="2608"/>
            <w:tcBorders>
              <w:top w:val="nil" w:sz="10" w:color="000000"/>
              <w:bottom w:val="nil" w:sz="10" w:color="000000"/>
            </w:tcBorders>
          </w:tcPr>
          <w:p w14:paraId="CA17007F">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表5.13；303000空pair及18行描述</w:t>
            </w:r>
          </w:p>
        </w:tc>
      </w:tr>
      <w:tr>
        <w:trPr>
          <w:trHeight w:val="520" w:hRule="atLeast"/>
          <w:cantSplit/>
        </w:trPr>
        <w:tc>
          <w:tcPr>
            <w:tcW w:type="dxa" w:w="964"/>
            <w:tcBorders>
              <w:top w:val="nil" w:sz="10" w:color="000000"/>
              <w:bottom w:val="single" w:sz="10" w:color="000000"/>
            </w:tcBorders>
          </w:tcPr>
          <w:p w14:paraId="CA170080">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REP-6</w:t>
            </w:r>
          </w:p>
        </w:tc>
        <w:tc>
          <w:tcPr>
            <w:tcW w:type="dxa" w:w="5386"/>
            <w:tcBorders>
              <w:top w:val="nil" w:sz="10" w:color="000000"/>
              <w:bottom w:val="single" w:sz="10" w:color="000000"/>
            </w:tcBorders>
          </w:tcPr>
          <w:p w14:paraId="CA170081">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docs/evidence/ordinary-repeatability-20261010</w:t>
            </w:r>
          </w:p>
        </w:tc>
        <w:tc>
          <w:tcPr>
            <w:tcW w:type="dxa" w:w="2608"/>
            <w:tcBorders>
              <w:top w:val="nil" w:sz="10" w:color="000000"/>
              <w:bottom w:val="single" w:sz="10" w:color="000000"/>
            </w:tcBorders>
          </w:tcPr>
          <w:p w14:paraId="CA170082">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表5.14；两批六进程及36行描述</w:t>
            </w:r>
          </w:p>
        </w:tc>
      </w:tr>
    </w:tbl>
    <w:p>
      <w:pPr>
        <w:pStyle w:val="RWBody"/>
        <w:widowControl/>
        <w:adjustRightInd w:val="0"/>
        <w:snapToGrid w:val="0"/>
        <w:spacing w:line="480" w:lineRule="exact"/>
      </w:pPr>
      <w:r>
        <w:rPr>
          <w:rFonts w:ascii="楷体_GB2312" w:hAnsi="Times New Roman" w:eastAsia="楷体_GB2312"/>
          <w:bCs/>
          <w:sz w:val="28"/>
          <w:szCs w:val="28"/>
        </w:rPr>
        <w:t>表A.1使用的编号用于定位材料。封存软件包的SHA-256为58d6a60460952cec2a9c1cbc478f35a36e904ecab44252fc594fb98df34f5d26，源码清单SHA-256为601a1020f30e17fc6a072d35f24f43e33acf87153f8cef8bf1c70475dad0a938。复现时应先核对清单，再使用对应版本构建；文件一致与统计结论成立是两个不同问题。</w:t>
      </w:r>
    </w:p>
    <w:p>
      <w:pPr>
        <w:pStyle w:val="RWBody"/>
        <w:widowControl/>
        <w:adjustRightInd w:val="0"/>
        <w:snapToGrid w:val="0"/>
        <w:spacing w:line="480" w:lineRule="exact"/>
      </w:pPr>
      <w:r>
        <w:rPr>
          <w:rFonts w:ascii="楷体_GB2312" w:hAnsi="Times New Roman" w:eastAsia="楷体_GB2312"/>
          <w:bCs/>
          <w:sz w:val="28"/>
          <w:szCs w:val="28"/>
        </w:rPr>
        <w:t>2026年10月8日的早期裸金属记录位于docs/evidence/baremetal-ryzen-20261008，与同日虚拟机复测分别保存。机器为Ryzen 9 9950X，系统为Ubuntu 24.04.4。调速器保持节能设置，没有锁定频率。该批数据仅描述当时的实际运行，不作为后续受控窗口实验的重复。</w:t>
      </w:r>
    </w:p>
    <w:p>
      <w:pPr>
        <w:pStyle w:val="RWBody"/>
        <w:widowControl/>
        <w:adjustRightInd w:val="0"/>
        <w:snapToGrid w:val="0"/>
        <w:spacing w:line="480" w:lineRule="exact"/>
      </w:pPr>
      <w:r>
        <w:rPr>
          <w:rFonts w:ascii="楷体_GB2312" w:hAnsi="Times New Roman" w:eastAsia="楷体_GB2312"/>
          <w:bCs/>
          <w:sz w:val="28"/>
          <w:szCs w:val="28"/>
        </w:rPr>
        <w:t>该批普通性能包含18次运行，每次3000条正式记录；人工对照包含20次运行，每次25000条正式记录。短演示有60条记录，有限模型与固定时间标签计算分别为40964份和24576份。记录未配置CPU亲和性，使用系统单调时钟，单位为纳秒；本批没有另行生成分组统计报告。</w:t>
      </w:r>
    </w:p>
    <w:p>
      <w:pPr>
        <w:pStyle w:val="RWBody"/>
        <w:widowControl/>
        <w:adjustRightInd w:val="0"/>
        <w:snapToGrid w:val="0"/>
        <w:spacing w:line="480" w:lineRule="exact"/>
      </w:pPr>
      <w:r>
        <w:rPr>
          <w:rFonts w:ascii="楷体_GB2312" w:hAnsi="Times New Roman" w:eastAsia="楷体_GB2312"/>
          <w:bCs/>
          <w:sz w:val="28"/>
          <w:szCs w:val="28"/>
        </w:rPr>
        <w:t>在这份普通性能报告中，掩码对照相对参考实现的平均差为147.350555556 ns，相对开销为0.004913136，探索性区间为[53.755111111, 272.396055556] ns。</w:t>
      </w:r>
    </w:p>
    <w:p>
      <w:pPr>
        <w:pStyle w:val="RWBody"/>
        <w:widowControl/>
        <w:adjustRightInd w:val="0"/>
        <w:snapToGrid w:val="0"/>
        <w:spacing w:line="480" w:lineRule="exact"/>
      </w:pPr>
      <w:r>
        <w:rPr>
          <w:rFonts w:ascii="楷体_GB2312" w:hAnsi="Times New Roman" w:eastAsia="楷体_GB2312"/>
          <w:bCs/>
          <w:sz w:val="28"/>
          <w:szCs w:val="28"/>
        </w:rPr>
        <w:t>正常优化对照相对参考实现的平均差为66.029277778 ns，相对开销为0.002201626，探索性区间为[22.683222222, 103.365777778] ns。以上比例以小数记录，保留原输出精度便于核对，不表示计时具有相同物理精度。</w:t>
      </w:r>
    </w:p>
    <w:p>
      <w:pPr>
        <w:pStyle w:val="RWBody"/>
        <w:widowControl/>
        <w:adjustRightInd w:val="0"/>
        <w:snapToGrid w:val="0"/>
        <w:spacing w:line="480" w:lineRule="exact"/>
      </w:pPr>
      <w:r>
        <w:rPr>
          <w:rFonts w:ascii="楷体_GB2312" w:hAnsi="Times New Roman" w:eastAsia="楷体_GB2312"/>
          <w:bCs/>
          <w:sz w:val="28"/>
          <w:szCs w:val="28"/>
        </w:rPr>
        <w:t>本批正式调用合计54000次，预热1800次，区间使用运行对独立同分布的探索性自助法模型。原报告记录完整结束，匿名源码标识为SOURCE-RYZEN-01；这一名称用于查找文件，不是版本控制系统的提交号。</w:t>
      </w:r>
    </w:p>
    <w:p>
      <w:pPr>
        <w:pStyle w:val="RWBody"/>
        <w:widowControl/>
        <w:adjustRightInd w:val="0"/>
        <w:snapToGrid w:val="0"/>
        <w:spacing w:line="480" w:lineRule="exact"/>
      </w:pPr>
      <w:r>
        <w:rPr>
          <w:rFonts w:ascii="楷体_GB2312" w:hAnsi="Times New Roman" w:eastAsia="楷体_GB2312"/>
          <w:bCs/>
          <w:sz w:val="28"/>
          <w:szCs w:val="28"/>
        </w:rPr>
        <w:t>该批原始类别分析中，人工分支对照的每份记录均有七项比较显著，预定主比较也显著；参考实现、掩码对照与正常优化对照均未检出。以上为对应原检验规则的观察结果，不能据此作全库常数时间结论。</w:t>
      </w:r>
    </w:p>
    <w:p>
      <w:pPr>
        <w:pStyle w:val="RWBody"/>
        <w:widowControl/>
        <w:adjustRightInd w:val="0"/>
        <w:snapToGrid w:val="0"/>
        <w:spacing w:line="480" w:lineRule="exact"/>
      </w:pPr>
      <w:r>
        <w:rPr>
          <w:rFonts w:ascii="楷体_GB2312" w:hAnsi="Times New Roman" w:eastAsia="楷体_GB2312"/>
          <w:bCs/>
          <w:sz w:val="28"/>
          <w:szCs w:val="28"/>
        </w:rPr>
        <w:t>二十次人工对照运行按实现分段执行，因而实现差异与时间状态可能混杂。普通性能的六个运行块则覆盖六种方法次序，两种实验安排不同。固定时间标签计算实际读取既有虚拟机数据，并未在这台裸金属机器重新采集原始时间。</w:t>
      </w:r>
    </w:p>
    <w:p w14:paraId="CA160024">
      <w:pPr>
        <w:pStyle w:val="RWBody"/>
        <w:widowControl/>
        <w:adjustRightInd w:val="0"/>
        <w:snapToGrid w:val="0"/>
        <w:spacing w:line="480" w:lineRule="exact"/>
      </w:pPr>
      <w:r>
        <w:rPr>
          <w:rFonts w:ascii="楷体_GB2312" w:hAnsi="Times New Roman" w:eastAsia="楷体_GB2312"/>
          <w:bCs/>
          <w:sz w:val="28"/>
          <w:szCs w:val="28"/>
        </w:rPr>
        <w:t>本批动态检查构建曾因符号转换警告被当作错误而终止，退出码为2；原编译诊断和对应文件保留在目录内。这一失败不被后续其他构建的通过结果覆盖。后续受控测量另取得第5.9节的平均频率观察，但不改变本批未锁定频率的事实。</w:t>
      </w:r>
    </w:p>
    <w:p w14:paraId="CA160025">
      <w:pPr>
        <w:pStyle w:val="RWBody"/>
        <w:widowControl/>
        <w:adjustRightInd w:val="0"/>
        <w:snapToGrid w:val="0"/>
        <w:spacing w:line="480" w:lineRule="exact"/>
      </w:pPr>
      <w:r>
        <w:rPr>
          <w:rFonts w:ascii="楷体_GB2312" w:hAnsi="Times New Roman" w:eastAsia="楷体_GB2312"/>
          <w:bCs/>
          <w:sz w:val="28"/>
          <w:szCs w:val="28"/>
        </w:rPr>
        <w:t>公开问题来源及固定版本适用性说明分别见docs/upstream-security-review.md与docs/current-version-defense-review.md，验收状态见docs/full-work-acceptance.md。本次修订只使用已有数字，没有新增密码采集。正文20幅图均由代码生成，随报告保存PDF、SVG与PNG；数据图的来源和绘图程序另有清单。封面沿用官方模板标志。</w:t>
      </w:r>
    </w:p>
    <w:bookmarkEnd w:id="97"/>
    <w:bookmarkStart w:id="98" w:name="附录b-普通性能的完整分位数"/>
    <w:p w14:paraId="CA130029">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表A.2　同语言完整统计计算的固定任务耗时比</w:t>
      </w:r>
    </w:p>
    <w:tbl>
      <w:tblPr>
        <w:tblStyle w:val="Table"/>
        <w:tblW w:type="dxa" w:w="8957"/>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907"/>
        <w:gridCol w:w="1587"/>
        <w:gridCol w:w="2665"/>
        <w:gridCol w:w="3798"/>
      </w:tblGrid>
      <w:tr>
        <w:trPr>
          <w:trHeight w:val="520" w:hRule="atLeast"/>
          <w:tblHeader w:val="on"/>
          <w:cantSplit/>
          <w:tblHeader/>
        </w:trPr>
        <w:tc>
          <w:tcPr>
            <w:tcW w:type="dxa" w:w="907"/>
            <w:tcBorders>
              <w:top w:val="single" w:sz="10" w:color="000000"/>
              <w:bottom w:val="single" w:sz="4" w:color="000000"/>
            </w:tcBorders>
          </w:tcPr>
          <w:p w14:paraId="CA130005">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任务</w:t>
            </w:r>
          </w:p>
        </w:tc>
        <w:tc>
          <w:tcPr>
            <w:tcW w:type="dxa" w:w="1587"/>
            <w:tcBorders>
              <w:top w:val="single" w:sz="10" w:color="000000"/>
              <w:bottom w:val="single" w:sz="4" w:color="000000"/>
            </w:tcBorders>
          </w:tcPr>
          <w:p w14:paraId="CA130006">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非零差数量</w:t>
            </w:r>
          </w:p>
        </w:tc>
        <w:tc>
          <w:tcPr>
            <w:tcW w:type="dxa" w:w="2665"/>
            <w:tcBorders>
              <w:top w:val="single" w:sz="10" w:color="000000"/>
              <w:bottom w:val="single" w:sz="4" w:color="000000"/>
            </w:tcBorders>
          </w:tcPr>
          <w:p w14:paraId="CA130007">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增量/完整求和中位比</w:t>
            </w:r>
          </w:p>
        </w:tc>
        <w:tc>
          <w:tcPr>
            <w:tcW w:type="dxa" w:w="3798"/>
            <w:tcBorders>
              <w:top w:val="single" w:sz="10" w:color="000000"/>
              <w:bottom w:val="single" w:sz="4" w:color="000000"/>
            </w:tcBorders>
          </w:tcPr>
          <w:p w14:paraId="CA130008">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十对比值最小—最大</w:t>
            </w:r>
          </w:p>
        </w:tc>
      </w:tr>
      <w:tr>
        <w:trPr>
          <w:trHeight w:val="520" w:hRule="atLeast"/>
          <w:cantSplit/>
        </w:trPr>
        <w:tc>
          <w:tcPr>
            <w:tcW w:type="dxa" w:w="907"/>
            <w:tcBorders>
              <w:top w:val="nil" w:sz="10" w:color="000000"/>
              <w:bottom w:val="nil" w:sz="10" w:color="000000"/>
            </w:tcBorders>
          </w:tcPr>
          <w:p w14:paraId="CA130009">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w:t>
            </w:r>
          </w:p>
        </w:tc>
        <w:tc>
          <w:tcPr>
            <w:tcW w:type="dxa" w:w="1587"/>
            <w:tcBorders>
              <w:top w:val="nil" w:sz="10" w:color="000000"/>
              <w:bottom w:val="nil" w:sz="10" w:color="000000"/>
            </w:tcBorders>
          </w:tcPr>
          <w:p w14:paraId="CA13000A">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20</w:t>
            </w:r>
          </w:p>
        </w:tc>
        <w:tc>
          <w:tcPr>
            <w:tcW w:type="dxa" w:w="2665"/>
            <w:tcBorders>
              <w:top w:val="nil" w:sz="10" w:color="000000"/>
              <w:bottom w:val="nil" w:sz="10" w:color="000000"/>
            </w:tcBorders>
          </w:tcPr>
          <w:p w14:paraId="CA13000B">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0.265067</w:t>
            </w:r>
          </w:p>
        </w:tc>
        <w:tc>
          <w:tcPr>
            <w:tcW w:type="dxa" w:w="3798"/>
            <w:tcBorders>
              <w:top w:val="nil" w:sz="10" w:color="000000"/>
              <w:bottom w:val="nil" w:sz="10" w:color="000000"/>
            </w:tcBorders>
          </w:tcPr>
          <w:p w14:paraId="CA13000C">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0.241923—0.275621</w:t>
            </w:r>
          </w:p>
        </w:tc>
      </w:tr>
      <w:tr>
        <w:trPr>
          <w:trHeight w:val="520" w:hRule="atLeast"/>
          <w:cantSplit/>
        </w:trPr>
        <w:tc>
          <w:tcPr>
            <w:tcW w:type="dxa" w:w="907"/>
            <w:tcBorders>
              <w:top w:val="nil" w:sz="10" w:color="000000"/>
              <w:bottom w:val="nil" w:sz="10" w:color="000000"/>
            </w:tcBorders>
          </w:tcPr>
          <w:p w14:paraId="CA13000D">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w:t>
            </w:r>
          </w:p>
        </w:tc>
        <w:tc>
          <w:tcPr>
            <w:tcW w:type="dxa" w:w="1587"/>
            <w:tcBorders>
              <w:top w:val="nil" w:sz="10" w:color="000000"/>
              <w:bottom w:val="nil" w:sz="10" w:color="000000"/>
            </w:tcBorders>
          </w:tcPr>
          <w:p w14:paraId="CA13000E">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20</w:t>
            </w:r>
          </w:p>
        </w:tc>
        <w:tc>
          <w:tcPr>
            <w:tcW w:type="dxa" w:w="2665"/>
            <w:tcBorders>
              <w:top w:val="nil" w:sz="10" w:color="000000"/>
              <w:bottom w:val="nil" w:sz="10" w:color="000000"/>
            </w:tcBorders>
          </w:tcPr>
          <w:p w14:paraId="CA13000F">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0.318405</w:t>
            </w:r>
          </w:p>
        </w:tc>
        <w:tc>
          <w:tcPr>
            <w:tcW w:type="dxa" w:w="3798"/>
            <w:tcBorders>
              <w:top w:val="nil" w:sz="10" w:color="000000"/>
              <w:bottom w:val="nil" w:sz="10" w:color="000000"/>
            </w:tcBorders>
          </w:tcPr>
          <w:p w14:paraId="CA130010">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0.309984—0.325525</w:t>
            </w:r>
          </w:p>
        </w:tc>
      </w:tr>
      <w:tr>
        <w:trPr>
          <w:trHeight w:val="520" w:hRule="atLeast"/>
          <w:cantSplit/>
        </w:trPr>
        <w:tc>
          <w:tcPr>
            <w:tcW w:type="dxa" w:w="907"/>
            <w:tcBorders>
              <w:top w:val="nil" w:sz="10" w:color="000000"/>
              <w:bottom w:val="nil" w:sz="10" w:color="000000"/>
            </w:tcBorders>
          </w:tcPr>
          <w:p w14:paraId="CA130011">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w:t>
            </w:r>
          </w:p>
        </w:tc>
        <w:tc>
          <w:tcPr>
            <w:tcW w:type="dxa" w:w="1587"/>
            <w:tcBorders>
              <w:top w:val="nil" w:sz="10" w:color="000000"/>
              <w:bottom w:val="nil" w:sz="10" w:color="000000"/>
            </w:tcBorders>
          </w:tcPr>
          <w:p w14:paraId="CA130012">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w:t>
            </w:r>
          </w:p>
        </w:tc>
        <w:tc>
          <w:tcPr>
            <w:tcW w:type="dxa" w:w="2665"/>
            <w:tcBorders>
              <w:top w:val="nil" w:sz="10" w:color="000000"/>
              <w:bottom w:val="nil" w:sz="10" w:color="000000"/>
            </w:tcBorders>
          </w:tcPr>
          <w:p w14:paraId="CA130013">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0.330575</w:t>
            </w:r>
          </w:p>
        </w:tc>
        <w:tc>
          <w:tcPr>
            <w:tcW w:type="dxa" w:w="3798"/>
            <w:tcBorders>
              <w:top w:val="nil" w:sz="10" w:color="000000"/>
              <w:bottom w:val="nil" w:sz="10" w:color="000000"/>
            </w:tcBorders>
          </w:tcPr>
          <w:p w14:paraId="CA130014">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0.325333—0.338235</w:t>
            </w:r>
          </w:p>
        </w:tc>
      </w:tr>
      <w:tr>
        <w:trPr>
          <w:trHeight w:val="520" w:hRule="atLeast"/>
          <w:cantSplit/>
        </w:trPr>
        <w:tc>
          <w:tcPr>
            <w:tcW w:type="dxa" w:w="907"/>
            <w:tcBorders>
              <w:top w:val="nil" w:sz="10" w:color="000000"/>
              <w:bottom w:val="nil" w:sz="10" w:color="000000"/>
            </w:tcBorders>
          </w:tcPr>
          <w:p w14:paraId="CA130015">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w:t>
            </w:r>
          </w:p>
        </w:tc>
        <w:tc>
          <w:tcPr>
            <w:tcW w:type="dxa" w:w="1587"/>
            <w:tcBorders>
              <w:top w:val="nil" w:sz="10" w:color="000000"/>
              <w:bottom w:val="nil" w:sz="10" w:color="000000"/>
            </w:tcBorders>
          </w:tcPr>
          <w:p w14:paraId="CA130016">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20</w:t>
            </w:r>
          </w:p>
        </w:tc>
        <w:tc>
          <w:tcPr>
            <w:tcW w:type="dxa" w:w="2665"/>
            <w:tcBorders>
              <w:top w:val="nil" w:sz="10" w:color="000000"/>
              <w:bottom w:val="nil" w:sz="10" w:color="000000"/>
            </w:tcBorders>
          </w:tcPr>
          <w:p w14:paraId="CA130017">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0.261640</w:t>
            </w:r>
          </w:p>
        </w:tc>
        <w:tc>
          <w:tcPr>
            <w:tcW w:type="dxa" w:w="3798"/>
            <w:tcBorders>
              <w:top w:val="nil" w:sz="10" w:color="000000"/>
              <w:bottom w:val="nil" w:sz="10" w:color="000000"/>
            </w:tcBorders>
          </w:tcPr>
          <w:p w14:paraId="CA130018">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0.257364—0.266460</w:t>
            </w:r>
          </w:p>
        </w:tc>
      </w:tr>
      <w:tr>
        <w:trPr>
          <w:trHeight w:val="520" w:hRule="atLeast"/>
          <w:cantSplit/>
        </w:trPr>
        <w:tc>
          <w:tcPr>
            <w:tcW w:type="dxa" w:w="907"/>
            <w:tcBorders>
              <w:top w:val="nil" w:sz="10" w:color="000000"/>
              <w:bottom w:val="nil" w:sz="10" w:color="000000"/>
            </w:tcBorders>
          </w:tcPr>
          <w:p w14:paraId="CA130019">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5</w:t>
            </w:r>
          </w:p>
        </w:tc>
        <w:tc>
          <w:tcPr>
            <w:tcW w:type="dxa" w:w="1587"/>
            <w:tcBorders>
              <w:top w:val="nil" w:sz="10" w:color="000000"/>
              <w:bottom w:val="nil" w:sz="10" w:color="000000"/>
            </w:tcBorders>
          </w:tcPr>
          <w:p w14:paraId="CA13001A">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20</w:t>
            </w:r>
          </w:p>
        </w:tc>
        <w:tc>
          <w:tcPr>
            <w:tcW w:type="dxa" w:w="2665"/>
            <w:tcBorders>
              <w:top w:val="nil" w:sz="10" w:color="000000"/>
              <w:bottom w:val="nil" w:sz="10" w:color="000000"/>
            </w:tcBorders>
          </w:tcPr>
          <w:p w14:paraId="CA13001B">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0.298269</w:t>
            </w:r>
          </w:p>
        </w:tc>
        <w:tc>
          <w:tcPr>
            <w:tcW w:type="dxa" w:w="3798"/>
            <w:tcBorders>
              <w:top w:val="nil" w:sz="10" w:color="000000"/>
              <w:bottom w:val="nil" w:sz="10" w:color="000000"/>
            </w:tcBorders>
          </w:tcPr>
          <w:p w14:paraId="CA13001C">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0.292138—0.308256</w:t>
            </w:r>
          </w:p>
        </w:tc>
      </w:tr>
      <w:tr>
        <w:trPr>
          <w:trHeight w:val="520" w:hRule="atLeast"/>
          <w:cantSplit/>
        </w:trPr>
        <w:tc>
          <w:tcPr>
            <w:tcW w:type="dxa" w:w="907"/>
            <w:tcBorders>
              <w:top w:val="nil" w:sz="10" w:color="000000"/>
              <w:bottom w:val="nil" w:sz="10" w:color="000000"/>
            </w:tcBorders>
          </w:tcPr>
          <w:p w14:paraId="CA13001D">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6</w:t>
            </w:r>
          </w:p>
        </w:tc>
        <w:tc>
          <w:tcPr>
            <w:tcW w:type="dxa" w:w="1587"/>
            <w:tcBorders>
              <w:top w:val="nil" w:sz="10" w:color="000000"/>
              <w:bottom w:val="nil" w:sz="10" w:color="000000"/>
            </w:tcBorders>
          </w:tcPr>
          <w:p w14:paraId="CA13001E">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20</w:t>
            </w:r>
          </w:p>
        </w:tc>
        <w:tc>
          <w:tcPr>
            <w:tcW w:type="dxa" w:w="2665"/>
            <w:tcBorders>
              <w:top w:val="nil" w:sz="10" w:color="000000"/>
              <w:bottom w:val="nil" w:sz="10" w:color="000000"/>
            </w:tcBorders>
          </w:tcPr>
          <w:p w14:paraId="CA13001F">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0.319174</w:t>
            </w:r>
          </w:p>
        </w:tc>
        <w:tc>
          <w:tcPr>
            <w:tcW w:type="dxa" w:w="3798"/>
            <w:tcBorders>
              <w:top w:val="nil" w:sz="10" w:color="000000"/>
              <w:bottom w:val="nil" w:sz="10" w:color="000000"/>
            </w:tcBorders>
          </w:tcPr>
          <w:p w14:paraId="CA130020">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0.313590—0.328080</w:t>
            </w:r>
          </w:p>
        </w:tc>
      </w:tr>
      <w:tr>
        <w:trPr>
          <w:trHeight w:val="520" w:hRule="atLeast"/>
          <w:cantSplit/>
        </w:trPr>
        <w:tc>
          <w:tcPr>
            <w:tcW w:type="dxa" w:w="907"/>
            <w:tcBorders>
              <w:top w:val="nil" w:sz="10" w:color="000000"/>
              <w:bottom w:val="nil" w:sz="10" w:color="000000"/>
            </w:tcBorders>
          </w:tcPr>
          <w:p w14:paraId="CA130021">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7</w:t>
            </w:r>
          </w:p>
        </w:tc>
        <w:tc>
          <w:tcPr>
            <w:tcW w:type="dxa" w:w="1587"/>
            <w:tcBorders>
              <w:top w:val="nil" w:sz="10" w:color="000000"/>
              <w:bottom w:val="nil" w:sz="10" w:color="000000"/>
            </w:tcBorders>
          </w:tcPr>
          <w:p w14:paraId="CA130022">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w:t>
            </w:r>
          </w:p>
        </w:tc>
        <w:tc>
          <w:tcPr>
            <w:tcW w:type="dxa" w:w="2665"/>
            <w:tcBorders>
              <w:top w:val="nil" w:sz="10" w:color="000000"/>
              <w:bottom w:val="nil" w:sz="10" w:color="000000"/>
            </w:tcBorders>
          </w:tcPr>
          <w:p w14:paraId="CA130023">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0.331370</w:t>
            </w:r>
          </w:p>
        </w:tc>
        <w:tc>
          <w:tcPr>
            <w:tcW w:type="dxa" w:w="3798"/>
            <w:tcBorders>
              <w:top w:val="nil" w:sz="10" w:color="000000"/>
              <w:bottom w:val="nil" w:sz="10" w:color="000000"/>
            </w:tcBorders>
          </w:tcPr>
          <w:p w14:paraId="CA130024">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0.325712—0.335913</w:t>
            </w:r>
          </w:p>
        </w:tc>
      </w:tr>
      <w:tr>
        <w:trPr>
          <w:trHeight w:val="520" w:hRule="atLeast"/>
          <w:cantSplit/>
        </w:trPr>
        <w:tc>
          <w:tcPr>
            <w:tcW w:type="dxa" w:w="907"/>
            <w:tcBorders>
              <w:top w:val="nil" w:sz="10" w:color="000000"/>
              <w:bottom w:val="single" w:sz="10" w:color="000000"/>
            </w:tcBorders>
          </w:tcPr>
          <w:p w14:paraId="CA130025">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8</w:t>
            </w:r>
          </w:p>
        </w:tc>
        <w:tc>
          <w:tcPr>
            <w:tcW w:type="dxa" w:w="1587"/>
            <w:tcBorders>
              <w:top w:val="nil" w:sz="10" w:color="000000"/>
              <w:bottom w:val="single" w:sz="10" w:color="000000"/>
            </w:tcBorders>
          </w:tcPr>
          <w:p w14:paraId="CA130026">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20</w:t>
            </w:r>
          </w:p>
        </w:tc>
        <w:tc>
          <w:tcPr>
            <w:tcW w:type="dxa" w:w="2665"/>
            <w:tcBorders>
              <w:top w:val="nil" w:sz="10" w:color="000000"/>
              <w:bottom w:val="single" w:sz="10" w:color="000000"/>
            </w:tcBorders>
          </w:tcPr>
          <w:p w14:paraId="CA130027">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0.296426</w:t>
            </w:r>
          </w:p>
        </w:tc>
        <w:tc>
          <w:tcPr>
            <w:tcW w:type="dxa" w:w="3798"/>
            <w:tcBorders>
              <w:top w:val="nil" w:sz="10" w:color="000000"/>
              <w:bottom w:val="single" w:sz="10" w:color="000000"/>
            </w:tcBorders>
          </w:tcPr>
          <w:p w14:paraId="CA130028">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0.291052—0.306987</w:t>
            </w:r>
          </w:p>
        </w:tc>
      </w:tr>
    </w:tbl>
    <w:p w14:paraId="CA13002A">
      <w:pPr>
        <w:pStyle w:val="RWBody"/>
        <w:widowControl/>
        <w:adjustRightInd w:val="0"/>
        <w:snapToGrid w:val="0"/>
        <w:spacing w:line="480" w:lineRule="exact"/>
      </w:pPr>
      <w:r>
        <w:rPr>
          <w:rFonts w:ascii="楷体_GB2312" w:hAnsi="Times New Roman" w:eastAsia="楷体_GB2312"/>
          <w:bCs/>
          <w:sz w:val="28"/>
          <w:szCs w:val="28"/>
        </w:rPr>
        <w:t xml:space="preserve">中位数汇总每任务十个对应窗口比值，不是总耗时比；十对重复来自同一构建和进程，不提供总体置信区间。任务3与7为同一全零CSV，仍列出全部读数，但不参与六份非零向量的逐状态更新收益主张。</w:t>
      </w:r>
    </w:p>
    <w:p w14:paraId="CA13002B">
      <w:pPr>
        <w:pStyle w:val="RWBody"/>
        <w:widowControl/>
        <w:adjustRightInd w:val="0"/>
        <w:snapToGrid w:val="0"/>
        <w:spacing w:line="480" w:lineRule="exact"/>
      </w:pPr>
      <w:r>
        <w:rPr>
          <w:rFonts w:ascii="楷体_GB2312" w:hAnsi="Times New Roman" w:eastAsia="楷体_GB2312"/>
          <w:bCs/>
          <w:sz w:val="28"/>
          <w:szCs w:val="28"/>
        </w:rPr>
        <w:t>初次同语言比较的原始时间、读钟记录、成对比值和独立核对结果保存在docs/evidence/aris-update-cost-20261008，数学实现见docs/research/aris-20261008/update-cost。其八个任务复用既有输入，不增加独立任务数。文件摘要关联源码、程序与输入副本，软件封存包保持不变。</w:t>
      </w:r>
    </w:p>
    <w:p w14:paraId="CA14002C">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表A.3　一次干净重建后三个新进程的固定任务中位比</w:t>
      </w:r>
    </w:p>
    <w:tbl>
      <w:tblPr>
        <w:tblStyle w:val="Table"/>
        <w:tblW w:type="dxa" w:w="8957"/>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792"/>
        <w:gridCol w:w="2389"/>
        <w:gridCol w:w="2388"/>
        <w:gridCol w:w="2388"/>
      </w:tblGrid>
      <w:tr>
        <w:trPr>
          <w:trHeight w:val="520" w:hRule="atLeast"/>
          <w:tblHeader w:val="on"/>
          <w:cantSplit/>
          <w:tblHeader/>
        </w:trPr>
        <w:tc>
          <w:tcPr>
            <w:tcW w:type="dxa" w:w="1792"/>
            <w:tcBorders>
              <w:top w:val="single" w:sz="10" w:color="000000"/>
              <w:bottom w:val="single" w:sz="4" w:color="000000"/>
            </w:tcBorders>
          </w:tcPr>
          <w:p w14:paraId="CA140008">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任务（非零对）</w:t>
            </w:r>
          </w:p>
        </w:tc>
        <w:tc>
          <w:tcPr>
            <w:tcW w:type="dxa" w:w="2389"/>
            <w:tcBorders>
              <w:top w:val="single" w:sz="10" w:color="000000"/>
              <w:bottom w:val="single" w:sz="4" w:color="000000"/>
            </w:tcBorders>
          </w:tcPr>
          <w:p w14:paraId="CA140009">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新进程1</w:t>
            </w:r>
          </w:p>
        </w:tc>
        <w:tc>
          <w:tcPr>
            <w:tcW w:type="dxa" w:w="2388"/>
            <w:tcBorders>
              <w:top w:val="single" w:sz="10" w:color="000000"/>
              <w:bottom w:val="single" w:sz="4" w:color="000000"/>
            </w:tcBorders>
          </w:tcPr>
          <w:p w14:paraId="CA14000A">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新进程2</w:t>
            </w:r>
          </w:p>
        </w:tc>
        <w:tc>
          <w:tcPr>
            <w:tcW w:type="dxa" w:w="2388"/>
            <w:tcBorders>
              <w:top w:val="single" w:sz="10" w:color="000000"/>
              <w:bottom w:val="single" w:sz="4" w:color="000000"/>
            </w:tcBorders>
          </w:tcPr>
          <w:p w14:paraId="CA14000B">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新进程3</w:t>
            </w:r>
          </w:p>
        </w:tc>
      </w:tr>
      <w:tr>
        <w:trPr>
          <w:trHeight w:val="520" w:hRule="atLeast"/>
          <w:cantSplit/>
        </w:trPr>
        <w:tc>
          <w:tcPr>
            <w:tcW w:type="dxa" w:w="1792"/>
            <w:tcBorders>
              <w:top w:val="nil" w:sz="10" w:color="000000"/>
              <w:bottom w:val="nil" w:sz="10" w:color="000000"/>
            </w:tcBorders>
          </w:tcPr>
          <w:p w14:paraId="CA14000C">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1（20）</w:t>
            </w:r>
          </w:p>
        </w:tc>
        <w:tc>
          <w:tcPr>
            <w:tcW w:type="dxa" w:w="2389"/>
            <w:tcBorders>
              <w:top w:val="nil" w:sz="10" w:color="000000"/>
              <w:bottom w:val="nil" w:sz="10" w:color="000000"/>
            </w:tcBorders>
          </w:tcPr>
          <w:p w14:paraId="CA14000D">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0.2678</w:t>
            </w:r>
          </w:p>
        </w:tc>
        <w:tc>
          <w:tcPr>
            <w:tcW w:type="dxa" w:w="2388"/>
            <w:tcBorders>
              <w:top w:val="nil" w:sz="10" w:color="000000"/>
              <w:bottom w:val="nil" w:sz="10" w:color="000000"/>
            </w:tcBorders>
          </w:tcPr>
          <w:p w14:paraId="CA14000E">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0.2680</w:t>
            </w:r>
          </w:p>
        </w:tc>
        <w:tc>
          <w:tcPr>
            <w:tcW w:type="dxa" w:w="2388"/>
            <w:tcBorders>
              <w:top w:val="nil" w:sz="10" w:color="000000"/>
              <w:bottom w:val="nil" w:sz="10" w:color="000000"/>
            </w:tcBorders>
          </w:tcPr>
          <w:p w14:paraId="CA14000F">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0.2677</w:t>
            </w:r>
          </w:p>
        </w:tc>
      </w:tr>
      <w:tr>
        <w:trPr>
          <w:trHeight w:val="520" w:hRule="atLeast"/>
          <w:cantSplit/>
        </w:trPr>
        <w:tc>
          <w:tcPr>
            <w:tcW w:type="dxa" w:w="1792"/>
            <w:tcBorders>
              <w:top w:val="nil" w:sz="10" w:color="000000"/>
              <w:bottom w:val="nil" w:sz="10" w:color="000000"/>
            </w:tcBorders>
          </w:tcPr>
          <w:p w14:paraId="CA140010">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2（20）</w:t>
            </w:r>
          </w:p>
        </w:tc>
        <w:tc>
          <w:tcPr>
            <w:tcW w:type="dxa" w:w="2389"/>
            <w:tcBorders>
              <w:top w:val="nil" w:sz="10" w:color="000000"/>
              <w:bottom w:val="nil" w:sz="10" w:color="000000"/>
            </w:tcBorders>
          </w:tcPr>
          <w:p w14:paraId="CA140011">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0.3176</w:t>
            </w:r>
          </w:p>
        </w:tc>
        <w:tc>
          <w:tcPr>
            <w:tcW w:type="dxa" w:w="2388"/>
            <w:tcBorders>
              <w:top w:val="nil" w:sz="10" w:color="000000"/>
              <w:bottom w:val="nil" w:sz="10" w:color="000000"/>
            </w:tcBorders>
          </w:tcPr>
          <w:p w14:paraId="CA140012">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0.3200</w:t>
            </w:r>
          </w:p>
        </w:tc>
        <w:tc>
          <w:tcPr>
            <w:tcW w:type="dxa" w:w="2388"/>
            <w:tcBorders>
              <w:top w:val="nil" w:sz="10" w:color="000000"/>
              <w:bottom w:val="nil" w:sz="10" w:color="000000"/>
            </w:tcBorders>
          </w:tcPr>
          <w:p w14:paraId="CA140013">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0.3211</w:t>
            </w:r>
          </w:p>
        </w:tc>
      </w:tr>
      <w:tr>
        <w:trPr>
          <w:trHeight w:val="520" w:hRule="atLeast"/>
          <w:cantSplit/>
        </w:trPr>
        <w:tc>
          <w:tcPr>
            <w:tcW w:type="dxa" w:w="1792"/>
            <w:tcBorders>
              <w:top w:val="nil" w:sz="10" w:color="000000"/>
              <w:bottom w:val="nil" w:sz="10" w:color="000000"/>
            </w:tcBorders>
          </w:tcPr>
          <w:p w14:paraId="CA140014">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3（0）</w:t>
            </w:r>
          </w:p>
        </w:tc>
        <w:tc>
          <w:tcPr>
            <w:tcW w:type="dxa" w:w="2389"/>
            <w:tcBorders>
              <w:top w:val="nil" w:sz="10" w:color="000000"/>
              <w:bottom w:val="nil" w:sz="10" w:color="000000"/>
            </w:tcBorders>
          </w:tcPr>
          <w:p w14:paraId="CA140015">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0.3316</w:t>
            </w:r>
          </w:p>
        </w:tc>
        <w:tc>
          <w:tcPr>
            <w:tcW w:type="dxa" w:w="2388"/>
            <w:tcBorders>
              <w:top w:val="nil" w:sz="10" w:color="000000"/>
              <w:bottom w:val="nil" w:sz="10" w:color="000000"/>
            </w:tcBorders>
          </w:tcPr>
          <w:p w14:paraId="CA140016">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0.3262</w:t>
            </w:r>
          </w:p>
        </w:tc>
        <w:tc>
          <w:tcPr>
            <w:tcW w:type="dxa" w:w="2388"/>
            <w:tcBorders>
              <w:top w:val="nil" w:sz="10" w:color="000000"/>
              <w:bottom w:val="nil" w:sz="10" w:color="000000"/>
            </w:tcBorders>
          </w:tcPr>
          <w:p w14:paraId="CA140017">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0.3420</w:t>
            </w:r>
          </w:p>
        </w:tc>
      </w:tr>
      <w:tr>
        <w:trPr>
          <w:trHeight w:val="520" w:hRule="atLeast"/>
          <w:cantSplit/>
        </w:trPr>
        <w:tc>
          <w:tcPr>
            <w:tcW w:type="dxa" w:w="1792"/>
            <w:tcBorders>
              <w:top w:val="nil" w:sz="10" w:color="000000"/>
              <w:bottom w:val="nil" w:sz="10" w:color="000000"/>
            </w:tcBorders>
          </w:tcPr>
          <w:p w14:paraId="CA140018">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4（20）</w:t>
            </w:r>
          </w:p>
        </w:tc>
        <w:tc>
          <w:tcPr>
            <w:tcW w:type="dxa" w:w="2389"/>
            <w:tcBorders>
              <w:top w:val="nil" w:sz="10" w:color="000000"/>
              <w:bottom w:val="nil" w:sz="10" w:color="000000"/>
            </w:tcBorders>
          </w:tcPr>
          <w:p w14:paraId="CA140019">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0.2768</w:t>
            </w:r>
          </w:p>
        </w:tc>
        <w:tc>
          <w:tcPr>
            <w:tcW w:type="dxa" w:w="2388"/>
            <w:tcBorders>
              <w:top w:val="nil" w:sz="10" w:color="000000"/>
              <w:bottom w:val="nil" w:sz="10" w:color="000000"/>
            </w:tcBorders>
          </w:tcPr>
          <w:p w14:paraId="CA14001A">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0.2678</w:t>
            </w:r>
          </w:p>
        </w:tc>
        <w:tc>
          <w:tcPr>
            <w:tcW w:type="dxa" w:w="2388"/>
            <w:tcBorders>
              <w:top w:val="nil" w:sz="10" w:color="000000"/>
              <w:bottom w:val="nil" w:sz="10" w:color="000000"/>
            </w:tcBorders>
          </w:tcPr>
          <w:p w14:paraId="CA14001B">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0.2671</w:t>
            </w:r>
          </w:p>
        </w:tc>
      </w:tr>
      <w:tr>
        <w:trPr>
          <w:trHeight w:val="520" w:hRule="atLeast"/>
          <w:cantSplit/>
        </w:trPr>
        <w:tc>
          <w:tcPr>
            <w:tcW w:type="dxa" w:w="1792"/>
            <w:tcBorders>
              <w:top w:val="nil" w:sz="10" w:color="000000"/>
              <w:bottom w:val="nil" w:sz="10" w:color="000000"/>
            </w:tcBorders>
          </w:tcPr>
          <w:p w14:paraId="CA14001C">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5（20）</w:t>
            </w:r>
          </w:p>
        </w:tc>
        <w:tc>
          <w:tcPr>
            <w:tcW w:type="dxa" w:w="2389"/>
            <w:tcBorders>
              <w:top w:val="nil" w:sz="10" w:color="000000"/>
              <w:bottom w:val="nil" w:sz="10" w:color="000000"/>
            </w:tcBorders>
          </w:tcPr>
          <w:p w14:paraId="CA14001D">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0.2932</w:t>
            </w:r>
          </w:p>
        </w:tc>
        <w:tc>
          <w:tcPr>
            <w:tcW w:type="dxa" w:w="2388"/>
            <w:tcBorders>
              <w:top w:val="nil" w:sz="10" w:color="000000"/>
              <w:bottom w:val="nil" w:sz="10" w:color="000000"/>
            </w:tcBorders>
          </w:tcPr>
          <w:p w14:paraId="CA14001E">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0.2950</w:t>
            </w:r>
          </w:p>
        </w:tc>
        <w:tc>
          <w:tcPr>
            <w:tcW w:type="dxa" w:w="2388"/>
            <w:tcBorders>
              <w:top w:val="nil" w:sz="10" w:color="000000"/>
              <w:bottom w:val="nil" w:sz="10" w:color="000000"/>
            </w:tcBorders>
          </w:tcPr>
          <w:p w14:paraId="CA14001F">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0.2917</w:t>
            </w:r>
          </w:p>
        </w:tc>
      </w:tr>
      <w:tr>
        <w:trPr>
          <w:trHeight w:val="520" w:hRule="atLeast"/>
          <w:cantSplit/>
        </w:trPr>
        <w:tc>
          <w:tcPr>
            <w:tcW w:type="dxa" w:w="1792"/>
            <w:tcBorders>
              <w:top w:val="nil" w:sz="10" w:color="000000"/>
              <w:bottom w:val="nil" w:sz="10" w:color="000000"/>
            </w:tcBorders>
          </w:tcPr>
          <w:p w14:paraId="CA140020">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6（20）</w:t>
            </w:r>
          </w:p>
        </w:tc>
        <w:tc>
          <w:tcPr>
            <w:tcW w:type="dxa" w:w="2389"/>
            <w:tcBorders>
              <w:top w:val="nil" w:sz="10" w:color="000000"/>
              <w:bottom w:val="nil" w:sz="10" w:color="000000"/>
            </w:tcBorders>
          </w:tcPr>
          <w:p w14:paraId="CA140021">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0.3237</w:t>
            </w:r>
          </w:p>
        </w:tc>
        <w:tc>
          <w:tcPr>
            <w:tcW w:type="dxa" w:w="2388"/>
            <w:tcBorders>
              <w:top w:val="nil" w:sz="10" w:color="000000"/>
              <w:bottom w:val="nil" w:sz="10" w:color="000000"/>
            </w:tcBorders>
          </w:tcPr>
          <w:p w14:paraId="CA140022">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0.3189</w:t>
            </w:r>
          </w:p>
        </w:tc>
        <w:tc>
          <w:tcPr>
            <w:tcW w:type="dxa" w:w="2388"/>
            <w:tcBorders>
              <w:top w:val="nil" w:sz="10" w:color="000000"/>
              <w:bottom w:val="nil" w:sz="10" w:color="000000"/>
            </w:tcBorders>
          </w:tcPr>
          <w:p w14:paraId="CA140023">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0.3241</w:t>
            </w:r>
          </w:p>
        </w:tc>
      </w:tr>
      <w:tr>
        <w:trPr>
          <w:trHeight w:val="520" w:hRule="atLeast"/>
          <w:cantSplit/>
        </w:trPr>
        <w:tc>
          <w:tcPr>
            <w:tcW w:type="dxa" w:w="1792"/>
            <w:tcBorders>
              <w:top w:val="nil" w:sz="10" w:color="000000"/>
              <w:bottom w:val="nil" w:sz="10" w:color="000000"/>
            </w:tcBorders>
          </w:tcPr>
          <w:p w14:paraId="CA140024">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7（0）</w:t>
            </w:r>
          </w:p>
        </w:tc>
        <w:tc>
          <w:tcPr>
            <w:tcW w:type="dxa" w:w="2389"/>
            <w:tcBorders>
              <w:top w:val="nil" w:sz="10" w:color="000000"/>
              <w:bottom w:val="nil" w:sz="10" w:color="000000"/>
            </w:tcBorders>
          </w:tcPr>
          <w:p w14:paraId="CA140025">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0.3342</w:t>
            </w:r>
          </w:p>
        </w:tc>
        <w:tc>
          <w:tcPr>
            <w:tcW w:type="dxa" w:w="2388"/>
            <w:tcBorders>
              <w:top w:val="nil" w:sz="10" w:color="000000"/>
              <w:bottom w:val="nil" w:sz="10" w:color="000000"/>
            </w:tcBorders>
          </w:tcPr>
          <w:p w14:paraId="CA140026">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0.3388</w:t>
            </w:r>
          </w:p>
        </w:tc>
        <w:tc>
          <w:tcPr>
            <w:tcW w:type="dxa" w:w="2388"/>
            <w:tcBorders>
              <w:top w:val="nil" w:sz="10" w:color="000000"/>
              <w:bottom w:val="nil" w:sz="10" w:color="000000"/>
            </w:tcBorders>
          </w:tcPr>
          <w:p w14:paraId="CA140027">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0.3300</w:t>
            </w:r>
          </w:p>
        </w:tc>
      </w:tr>
      <w:tr>
        <w:trPr>
          <w:trHeight w:val="520" w:hRule="atLeast"/>
          <w:cantSplit/>
        </w:trPr>
        <w:tc>
          <w:tcPr>
            <w:tcW w:type="dxa" w:w="1792"/>
            <w:tcBorders>
              <w:top w:val="nil" w:sz="10" w:color="000000"/>
              <w:bottom w:val="single" w:sz="10" w:color="000000"/>
            </w:tcBorders>
          </w:tcPr>
          <w:p w14:paraId="CA140028">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8（20）</w:t>
            </w:r>
          </w:p>
        </w:tc>
        <w:tc>
          <w:tcPr>
            <w:tcW w:type="dxa" w:w="2389"/>
            <w:tcBorders>
              <w:top w:val="nil" w:sz="10" w:color="000000"/>
              <w:bottom w:val="single" w:sz="10" w:color="000000"/>
            </w:tcBorders>
          </w:tcPr>
          <w:p w14:paraId="CA140029">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0.2959</w:t>
            </w:r>
          </w:p>
        </w:tc>
        <w:tc>
          <w:tcPr>
            <w:tcW w:type="dxa" w:w="2388"/>
            <w:tcBorders>
              <w:top w:val="nil" w:sz="10" w:color="000000"/>
              <w:bottom w:val="single" w:sz="10" w:color="000000"/>
            </w:tcBorders>
          </w:tcPr>
          <w:p w14:paraId="CA14002A">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0.2999</w:t>
            </w:r>
          </w:p>
        </w:tc>
        <w:tc>
          <w:tcPr>
            <w:tcW w:type="dxa" w:w="2388"/>
            <w:tcBorders>
              <w:top w:val="nil" w:sz="10" w:color="000000"/>
              <w:bottom w:val="single" w:sz="10" w:color="000000"/>
            </w:tcBorders>
          </w:tcPr>
          <w:p w14:paraId="CA14002B">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0.2969</w:t>
            </w:r>
          </w:p>
        </w:tc>
      </w:tr>
    </w:tbl>
    <w:p w14:paraId="CA14002D">
      <w:pPr>
        <w:pStyle w:val="RWBody"/>
        <w:widowControl/>
        <w:adjustRightInd w:val="0"/>
        <w:snapToGrid w:val="0"/>
        <w:spacing w:line="480" w:lineRule="exact"/>
      </w:pPr>
      <w:r>
        <w:rPr>
          <w:rFonts w:ascii="楷体_GB2312" w:hAnsi="Times New Roman" w:eastAsia="楷体_GB2312"/>
          <w:bCs/>
          <w:sz w:val="28"/>
          <w:szCs w:val="28"/>
        </w:rPr>
        <w:t>表中每个数为一个任务十对窗口耗时比的中位数，显示四位小数，完整原值另存。24行各有十对记录，共240对；六个非零任务对应的18个中位比均小于1。任务3与7使用相同的全零数据，保留为计算边界检查。三个进程来自一次新构建，不与初次同语言实验合并为总体置信区间。</w:t>
      </w:r>
    </w:p>
    <w:p w14:paraId="CA14002E">
      <w:pPr>
        <w:pStyle w:val="RWBody"/>
        <w:widowControl/>
        <w:adjustRightInd w:val="0"/>
        <w:snapToGrid w:val="0"/>
        <w:spacing w:line="480" w:lineRule="exact"/>
      </w:pPr>
      <w:r>
        <w:rPr>
          <w:rFonts w:ascii="楷体_GB2312" w:hAnsi="Times New Roman" w:eastAsia="楷体_GB2312"/>
          <w:bCs/>
          <w:sz w:val="28"/>
          <w:szCs w:val="28"/>
        </w:rPr>
        <w:t>重建复核的原始时间、源码与程序摘要、进程及操作记录保存于docs/evidence/aris-replication-20261009，实验计划及结果解释见docs/research/aris-replication-20261009。官方潜在修正工作簿及两项适用性检查见docs/evidence/aris-resume-20261009。不同实验版本各自保存，以便区分原始观察与后续复核。</w:t>
      </w:r>
    </w:p>
    <w:p w14:paraId="CA160026">
      <w:pPr>
        <w:pStyle w:val="RWBody"/>
        <w:widowControl/>
        <w:adjustRightInd w:val="0"/>
        <w:snapToGrid w:val="0"/>
        <w:spacing w:line="480" w:lineRule="exact"/>
      </w:pPr>
      <w:r>
        <w:rPr>
          <w:rFonts w:ascii="楷体_GB2312" w:hAnsi="Times New Roman" w:eastAsia="楷体_GB2312"/>
          <w:bCs/>
          <w:sz w:val="28"/>
          <w:szCs w:val="28"/>
        </w:rPr>
        <w:t>受控窗口的匿名补充材料中，data/g2/保存逐次时间、逐窗口数据和分析摘要；research/g2/保存实验计划与解释；code/g2-analysis/提供离线分析源码。采集程序的审查源码位于code/g2-collector/，依赖完整的固定参考目录，不能当作独立离线入口。源码、普通程序及结果按各自文件摘要对应。</w:t>
      </w:r>
    </w:p>
    <w:p w14:paraId="CA170083">
      <w:pPr>
        <w:pStyle w:val="RWBody"/>
        <w:widowControl/>
        <w:adjustRightInd w:val="0"/>
        <w:snapToGrid w:val="0"/>
        <w:spacing w:line="480" w:lineRule="exact"/>
      </w:pPr>
      <w:r>
        <w:rPr>
          <w:rFonts w:ascii="楷体_GB2312" w:hAnsi="Times New Roman" w:eastAsia="楷体_GB2312"/>
          <w:bCs/>
          <w:sz w:val="28"/>
          <w:szCs w:val="28"/>
        </w:rPr>
        <w:t>新增时间描述、空窗口和六进程研究使用各自的材料清单。旧报告及旧补充件保留原有内容；若要分发完整匿名支撑材料，应另核对所引用的数据是否已经纳入对应包。</w:t>
      </w:r>
    </w:p>
    <w:p>
      <w:pPr>
        <w:pStyle w:val="RWChapter"/>
        <w:spacing w:before="240" w:after="240" w:line="360" w:lineRule="auto"/>
        <w:keepNext/>
        <w:keepLines/>
        <w:outlineLvl w:val="0"/>
        <w:pageBreakBefore/>
      </w:pPr>
      <w:bookmarkStart w:id="541" w:name="rw_heading_41"/>
      <w:r>
        <w:rPr>
          <w:rFonts w:hint="eastAsia" w:ascii="华文楷体" w:hAnsi="华文楷体" w:eastAsia="华文楷体"/>
          <w:sz w:val="30"/>
          <w:szCs w:val="30"/>
          <w:b/>
        </w:rPr>
        <w:t xml:space="preserve">附录B</w:t>
      </w:r>
      <w:r>
        <w:rPr>
          <w:rFonts w:hint="eastAsia" w:ascii="华文楷体" w:hAnsi="华文楷体" w:eastAsia="华文楷体"/>
          <w:sz w:val="30"/>
          <w:szCs w:val="30"/>
          <w:b/>
        </w:rPr>
        <w:t xml:space="preserve">　</w:t>
      </w:r>
      <w:r>
        <w:rPr>
          <w:rFonts w:hint="eastAsia" w:ascii="华文楷体" w:hAnsi="华文楷体" w:eastAsia="华文楷体"/>
          <w:sz w:val="30"/>
          <w:szCs w:val="30"/>
          <w:b/>
        </w:rPr>
        <w:t xml:space="preserve">普通性能的完整分位数</w:t>
      </w:r>
      <w:bookmarkEnd w:id="541"/>
    </w:p>
    <w:p>
      <w:pPr>
        <w:pStyle w:val="RWBody"/>
        <w:widowControl/>
        <w:adjustRightInd w:val="0"/>
        <w:snapToGrid w:val="0"/>
        <w:spacing w:line="480" w:lineRule="exact"/>
      </w:pPr>
      <w:r>
        <w:rPr>
          <w:rFonts w:ascii="楷体_GB2312" w:hAnsi="Times New Roman" w:eastAsia="楷体_GB2312"/>
          <w:bCs/>
          <w:sz w:val="28"/>
          <w:szCs w:val="28"/>
        </w:rPr>
        <w:t xml:space="preserve">为避免正文只展示均值而掩盖尾部，表B.1保留</w:t>
      </w:r>
      <w:r>
        <w:rPr>
          <w:rFonts w:ascii="楷体_GB2312" w:hAnsi="Times New Roman" w:eastAsia="楷体_GB2312"/>
          <w:bCs/>
          <w:sz w:val="28"/>
          <w:szCs w:val="28"/>
        </w:rPr>
        <w:t xml:space="preserve"> E02 </w:t>
      </w:r>
      <w:r>
        <w:rPr>
          <w:rFonts w:ascii="楷体_GB2312" w:hAnsi="Times New Roman" w:eastAsia="楷体_GB2312"/>
          <w:bCs/>
          <w:sz w:val="28"/>
          <w:szCs w:val="28"/>
        </w:rPr>
        <w:t xml:space="preserve">全部18次运行的</w:t>
      </w:r>
      <w:r>
        <w:rPr>
          <w:rFonts w:ascii="楷体_GB2312" w:hAnsi="Times New Roman" w:eastAsia="楷体_GB2312"/>
          <w:bCs/>
          <w:sz w:val="28"/>
          <w:szCs w:val="28"/>
        </w:rPr>
        <w:t xml:space="preserve"> P50、P90 </w:t>
      </w:r>
      <w:r>
        <w:rPr>
          <w:rFonts w:ascii="楷体_GB2312" w:hAnsi="Times New Roman" w:eastAsia="楷体_GB2312"/>
          <w:bCs/>
          <w:sz w:val="28"/>
          <w:szCs w:val="28"/>
        </w:rPr>
        <w:t xml:space="preserve">和</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P99。各行对应一次3000条正式记录的运行，不把各行分位数直接平均解释为合并分布的分位数。</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表B.1</w:t>
      </w:r>
      <w:r>
        <w:rPr>
          <w:rFonts w:ascii="Calibri" w:hAnsi="Calibri" w:eastAsia="宋体" w:cs="Times New Roman"/>
          <w:kern w:val="2"/>
          <w:sz w:val="21"/>
          <w:szCs w:val="22"/>
          <w:lang w:val="en-US" w:eastAsia="zh-CN" w:bidi="ar-SA"/>
        </w:rPr>
        <w:t xml:space="preserve">　E02 </w:t>
      </w:r>
      <w:r>
        <w:rPr>
          <w:rFonts w:ascii="Calibri" w:hAnsi="Calibri" w:eastAsia="宋体" w:cs="Times New Roman"/>
          <w:kern w:val="2"/>
          <w:sz w:val="21"/>
          <w:szCs w:val="22"/>
          <w:lang w:val="en-US" w:eastAsia="zh-CN" w:bidi="ar-SA"/>
        </w:rPr>
        <w:t xml:space="preserve">逐运行描述指标（单位：ns）</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454"/>
        <w:gridCol w:w="1701"/>
        <w:gridCol w:w="1701"/>
        <w:gridCol w:w="1701"/>
        <w:gridCol w:w="1701"/>
        <w:gridCol w:w="1701"/>
      </w:tblGrid>
      <w:tr>
        <w:trPr>
          <w:trHeight w:val="520" w:hRule="atLeast"/>
          <w:tblHeader w:val="on"/>
          <w:cantSplit/>
          <w:tblHeader/>
        </w:trPr>
        <w:tc>
          <w:tcPr>
            <w:tcW w:type="dxa" w:w="454"/>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块</w:t>
            </w:r>
          </w:p>
        </w:tc>
        <w:tc>
          <w:tcPr>
            <w:tcW w:type="dxa" w:w="1701"/>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实现</w:t>
            </w:r>
          </w:p>
        </w:tc>
        <w:tc>
          <w:tcPr>
            <w:tcW w:type="dxa" w:w="1701"/>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均值</w:t>
            </w:r>
          </w:p>
        </w:tc>
        <w:tc>
          <w:tcPr>
            <w:tcW w:type="dxa" w:w="1701"/>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P50</w:t>
            </w:r>
          </w:p>
        </w:tc>
        <w:tc>
          <w:tcPr>
            <w:tcW w:type="dxa" w:w="1701"/>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P90</w:t>
            </w:r>
          </w:p>
        </w:tc>
        <w:tc>
          <w:tcPr>
            <w:tcW w:type="dxa" w:w="1701"/>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P99</w:t>
            </w:r>
          </w:p>
        </w:tc>
      </w:tr>
      <w:tr>
        <w:trPr>
          <w:trHeight w:val="520" w:hRule="atLeast"/>
          <w:cantSplit/>
        </w:trPr>
        <w:tc>
          <w:tcPr>
            <w:tcW w:type="dxa" w:w="454"/>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1</w:t>
            </w:r>
          </w:p>
        </w:tc>
        <w:tc>
          <w:tcPr>
            <w:tcW w:type="dxa" w:w="1701"/>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reference</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46193.517</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45720</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45949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54699</w:t>
            </w:r>
          </w:p>
        </w:tc>
      </w:tr>
      <w:tr>
        <w:trPr>
          <w:trHeight w:val="520" w:hRule="atLeast"/>
          <w:cantSplit/>
        </w:trPr>
        <w:tc>
          <w:tcPr>
            <w:tcW w:type="dxa" w:w="454"/>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1</w:t>
            </w:r>
          </w:p>
        </w:tc>
        <w:tc>
          <w:tcPr>
            <w:tcW w:type="dxa" w:w="1701"/>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hardened</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46148.423</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45908</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46058</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50968</w:t>
            </w:r>
          </w:p>
        </w:tc>
      </w:tr>
      <w:tr>
        <w:trPr>
          <w:trHeight w:val="520" w:hRule="atLeast"/>
          <w:cantSplit/>
        </w:trPr>
        <w:tc>
          <w:tcPr>
            <w:tcW w:type="dxa" w:w="454"/>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1</w:t>
            </w:r>
          </w:p>
        </w:tc>
        <w:tc>
          <w:tcPr>
            <w:tcW w:type="dxa" w:w="1701"/>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deployable</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45925.623</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45688</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45829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50667</w:t>
            </w:r>
          </w:p>
        </w:tc>
      </w:tr>
      <w:tr>
        <w:trPr>
          <w:trHeight w:val="520" w:hRule="atLeast"/>
          <w:cantSplit/>
        </w:trPr>
        <w:tc>
          <w:tcPr>
            <w:tcW w:type="dxa" w:w="454"/>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2</w:t>
            </w:r>
          </w:p>
        </w:tc>
        <w:tc>
          <w:tcPr>
            <w:tcW w:type="dxa" w:w="1701"/>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reference</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46407.084</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45538</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48678</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60098</w:t>
            </w:r>
          </w:p>
        </w:tc>
      </w:tr>
      <w:tr>
        <w:trPr>
          <w:trHeight w:val="520" w:hRule="atLeast"/>
          <w:cantSplit/>
        </w:trPr>
        <w:tc>
          <w:tcPr>
            <w:tcW w:type="dxa" w:w="454"/>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2</w:t>
            </w:r>
          </w:p>
        </w:tc>
        <w:tc>
          <w:tcPr>
            <w:tcW w:type="dxa" w:w="1701"/>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hardened</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46383.034</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45849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46129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56419</w:t>
            </w:r>
          </w:p>
        </w:tc>
      </w:tr>
      <w:tr>
        <w:trPr>
          <w:trHeight w:val="520" w:hRule="atLeast"/>
          <w:cantSplit/>
        </w:trPr>
        <w:tc>
          <w:tcPr>
            <w:tcW w:type="dxa" w:w="454"/>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2</w:t>
            </w:r>
          </w:p>
        </w:tc>
        <w:tc>
          <w:tcPr>
            <w:tcW w:type="dxa" w:w="1701"/>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deployable</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46102.585</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45578</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45808</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56459</w:t>
            </w:r>
          </w:p>
        </w:tc>
      </w:tr>
      <w:tr>
        <w:trPr>
          <w:trHeight w:val="520" w:hRule="atLeast"/>
          <w:cantSplit/>
        </w:trPr>
        <w:tc>
          <w:tcPr>
            <w:tcW w:type="dxa" w:w="454"/>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3</w:t>
            </w:r>
          </w:p>
        </w:tc>
        <w:tc>
          <w:tcPr>
            <w:tcW w:type="dxa" w:w="1701"/>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reference</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46206.193</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45688</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45929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55897</w:t>
            </w:r>
          </w:p>
        </w:tc>
      </w:tr>
      <w:tr>
        <w:trPr>
          <w:trHeight w:val="520" w:hRule="atLeast"/>
          <w:cantSplit/>
        </w:trPr>
        <w:tc>
          <w:tcPr>
            <w:tcW w:type="dxa" w:w="454"/>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3</w:t>
            </w:r>
          </w:p>
        </w:tc>
        <w:tc>
          <w:tcPr>
            <w:tcW w:type="dxa" w:w="1701"/>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hardened</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46350.749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45808</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46029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56530</w:t>
            </w:r>
          </w:p>
        </w:tc>
      </w:tr>
      <w:tr>
        <w:trPr>
          <w:trHeight w:val="520" w:hRule="atLeast"/>
          <w:cantSplit/>
        </w:trPr>
        <w:tc>
          <w:tcPr>
            <w:tcW w:type="dxa" w:w="454"/>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3</w:t>
            </w:r>
          </w:p>
        </w:tc>
        <w:tc>
          <w:tcPr>
            <w:tcW w:type="dxa" w:w="1701"/>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deployable</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46209.969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45689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45909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56238</w:t>
            </w:r>
          </w:p>
        </w:tc>
      </w:tr>
      <w:tr>
        <w:trPr>
          <w:trHeight w:val="520" w:hRule="atLeast"/>
          <w:cantSplit/>
        </w:trPr>
        <w:tc>
          <w:tcPr>
            <w:tcW w:type="dxa" w:w="454"/>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w:t>
            </w:r>
          </w:p>
        </w:tc>
        <w:tc>
          <w:tcPr>
            <w:tcW w:type="dxa" w:w="1701"/>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reference</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46267.377</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45729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45950</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56348</w:t>
            </w:r>
          </w:p>
        </w:tc>
      </w:tr>
      <w:tr>
        <w:trPr>
          <w:trHeight w:val="520" w:hRule="atLeast"/>
          <w:cantSplit/>
        </w:trPr>
        <w:tc>
          <w:tcPr>
            <w:tcW w:type="dxa" w:w="454"/>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w:t>
            </w:r>
          </w:p>
        </w:tc>
        <w:tc>
          <w:tcPr>
            <w:tcW w:type="dxa" w:w="1701"/>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hardened</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46480.338</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45929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46169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56799</w:t>
            </w:r>
          </w:p>
        </w:tc>
      </w:tr>
      <w:tr>
        <w:trPr>
          <w:trHeight w:val="520" w:hRule="atLeast"/>
          <w:cantSplit/>
        </w:trPr>
        <w:tc>
          <w:tcPr>
            <w:tcW w:type="dxa" w:w="454"/>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w:t>
            </w:r>
          </w:p>
        </w:tc>
        <w:tc>
          <w:tcPr>
            <w:tcW w:type="dxa" w:w="1701"/>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deployable</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46621.075</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45779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47489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60619</w:t>
            </w:r>
          </w:p>
        </w:tc>
      </w:tr>
      <w:tr>
        <w:trPr>
          <w:trHeight w:val="520" w:hRule="atLeast"/>
          <w:cantSplit/>
        </w:trPr>
        <w:tc>
          <w:tcPr>
            <w:tcW w:type="dxa" w:w="454"/>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w:t>
            </w:r>
          </w:p>
        </w:tc>
        <w:tc>
          <w:tcPr>
            <w:tcW w:type="dxa" w:w="1701"/>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reference</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46261.240</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45719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45950</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56279</w:t>
            </w:r>
          </w:p>
        </w:tc>
      </w:tr>
      <w:tr>
        <w:trPr>
          <w:trHeight w:val="520" w:hRule="atLeast"/>
          <w:cantSplit/>
        </w:trPr>
        <w:tc>
          <w:tcPr>
            <w:tcW w:type="dxa" w:w="454"/>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w:t>
            </w:r>
          </w:p>
        </w:tc>
        <w:tc>
          <w:tcPr>
            <w:tcW w:type="dxa" w:w="1701"/>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hardened</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46401.231</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45849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46089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56408</w:t>
            </w:r>
          </w:p>
        </w:tc>
      </w:tr>
      <w:tr>
        <w:trPr>
          <w:trHeight w:val="520" w:hRule="atLeast"/>
          <w:cantSplit/>
        </w:trPr>
        <w:tc>
          <w:tcPr>
            <w:tcW w:type="dxa" w:w="454"/>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w:t>
            </w:r>
          </w:p>
        </w:tc>
        <w:tc>
          <w:tcPr>
            <w:tcW w:type="dxa" w:w="1701"/>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deployable</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46241.867</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45718</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45938</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56498</w:t>
            </w:r>
          </w:p>
        </w:tc>
      </w:tr>
      <w:tr>
        <w:trPr>
          <w:trHeight w:val="520" w:hRule="atLeast"/>
          <w:cantSplit/>
        </w:trPr>
        <w:tc>
          <w:tcPr>
            <w:tcW w:type="dxa" w:w="454"/>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6</w:t>
            </w:r>
          </w:p>
        </w:tc>
        <w:tc>
          <w:tcPr>
            <w:tcW w:type="dxa" w:w="1701"/>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reference</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46077.670</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45540</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45879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56389</w:t>
            </w:r>
          </w:p>
        </w:tc>
      </w:tr>
      <w:tr>
        <w:trPr>
          <w:trHeight w:val="520" w:hRule="atLeast"/>
          <w:cantSplit/>
        </w:trPr>
        <w:tc>
          <w:tcPr>
            <w:tcW w:type="dxa" w:w="454"/>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6</w:t>
            </w:r>
          </w:p>
        </w:tc>
        <w:tc>
          <w:tcPr>
            <w:tcW w:type="dxa" w:w="1701"/>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hardened</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46261.061</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45719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45949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56549</w:t>
            </w:r>
          </w:p>
        </w:tc>
      </w:tr>
      <w:tr>
        <w:trPr>
          <w:trHeight w:val="520" w:hRule="atLeast"/>
          <w:cantSplit/>
        </w:trPr>
        <w:tc>
          <w:tcPr>
            <w:tcW w:type="dxa" w:w="454"/>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6</w:t>
            </w:r>
          </w:p>
        </w:tc>
        <w:tc>
          <w:tcPr>
            <w:tcW w:type="dxa" w:w="1701"/>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deployable</w:t>
            </w:r>
          </w:p>
        </w:tc>
        <w:tc>
          <w:tcPr>
            <w:tcW w:type="dxa" w:w="1701"/>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46131.357</w:t>
            </w:r>
          </w:p>
        </w:tc>
        <w:tc>
          <w:tcPr>
            <w:tcW w:type="dxa" w:w="1701"/>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45579</w:t>
            </w:r>
          </w:p>
        </w:tc>
        <w:tc>
          <w:tcPr>
            <w:tcW w:type="dxa" w:w="1701"/>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45789</w:t>
            </w:r>
          </w:p>
        </w:tc>
        <w:tc>
          <w:tcPr>
            <w:tcW w:type="dxa" w:w="1701"/>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56479</w:t>
            </w:r>
          </w:p>
        </w:tc>
      </w:tr>
    </w:tbl>
    <w:bookmarkEnd w:id="98"/>
    <w:p>
      <w:pPr>
        <w:pStyle w:val="RWChapter"/>
        <w:spacing w:before="240" w:after="240" w:line="360" w:lineRule="auto"/>
        <w:keepNext/>
        <w:keepLines/>
        <w:outlineLvl w:val="0"/>
        <w:pageBreakBefore/>
      </w:pPr>
      <w:bookmarkStart w:id="9005" w:name="paper_heading_9005"/>
      <w:r>
        <w:rPr>
          <w:rFonts w:hint="eastAsia" w:ascii="华文楷体" w:hAnsi="华文楷体" w:eastAsia="华文楷体"/>
          <w:sz w:val="30"/>
          <w:szCs w:val="30"/>
          <w:b/>
        </w:rPr>
        <w:t>附录C　复现说明与运行截图位置</w:t>
      </w:r>
      <w:bookmarkEnd w:id="9005"/>
    </w:p>
    <w:p>
      <w:pPr>
        <w:pStyle w:val="RWBody"/>
        <w:widowControl/>
        <w:adjustRightInd w:val="0"/>
        <w:snapToGrid w:val="0"/>
        <w:spacing w:line="480" w:lineRule="exact"/>
      </w:pPr>
      <w:r>
        <w:rPr>
          <w:rFonts w:ascii="楷体_GB2312" w:hAnsi="Times New Roman" w:eastAsia="楷体_GB2312"/>
          <w:bCs/>
          <w:sz w:val="28"/>
          <w:szCs w:val="28"/>
        </w:rPr>
        <w:t>正文使用中文名称说明方法与结果，原始程序标识保留如下，以便查找材料：reference为参考实现，vulnerable为人工分支对照，hardened为掩码对照，deployable为正常优化对照。后两者的历史名称均不构成部署认证。第一期、复核期性能实验分别对应E02、N01；同机机制复测对应R07；受控平均频率实验对应G2；初次同语言比较与重建复核分别对应M01、M02。</w:t>
      </w:r>
    </w:p>
    <w:p>
      <w:pPr>
        <w:pStyle w:val="RWBody"/>
        <w:widowControl/>
        <w:adjustRightInd w:val="0"/>
        <w:snapToGrid w:val="0"/>
        <w:spacing w:line="480" w:lineRule="exact"/>
      </w:pPr>
      <w:r>
        <w:rPr>
          <w:rFonts w:ascii="楷体_GB2312" w:hAnsi="Times New Roman" w:eastAsia="楷体_GB2312"/>
          <w:bCs/>
          <w:sz w:val="28"/>
          <w:szCs w:val="28"/>
        </w:rPr>
        <w:t>早期普通测量使用CLOCK_MONOTONIC，受控窗口、新空窗口及六进程实验使用CLOCK_MONOTONIC_RAW。六进程实验的公开向量标识为tgId=5、tcId=86；主阶段共150000次，预热共150000次。包括设置及Linux资格检查后，算法调用总数300138由300030次解封装、54次密钥生成和54次封装构成。</w:t>
      </w:r>
    </w:p>
    <w:p>
      <w:pPr>
        <w:pStyle w:val="RWBody"/>
        <w:widowControl/>
        <w:adjustRightInd w:val="0"/>
        <w:snapToGrid w:val="0"/>
        <w:spacing w:line="480" w:lineRule="exact"/>
      </w:pPr>
      <w:r>
        <w:rPr>
          <w:rFonts w:ascii="楷体_GB2312" w:hAnsi="Times New Roman" w:eastAsia="楷体_GB2312"/>
          <w:bCs/>
          <w:sz w:val="28"/>
          <w:szCs w:val="28"/>
        </w:rPr>
        <w:t>受控窗口分析使用固定工程规则：100ΔA≥99H且100ΔA≤101L，保守线程处理器时间与原始单调时钟间隔的比值至少80%，三次计数读取跨度不超过1 ms，相邻快照间隔不超过40 ms。这些阈值用于本次窗口的工程判断，不是统计置信水平或逐调用恒频认证。</w:t>
      </w:r>
    </w:p>
    <w:p>
      <w:pPr>
        <w:pStyle w:val="RWBody"/>
        <w:widowControl/>
        <w:adjustRightInd w:val="0"/>
        <w:snapToGrid w:val="0"/>
        <w:spacing w:line="480" w:lineRule="exact"/>
      </w:pPr>
      <w:r>
        <w:rPr>
          <w:rFonts w:ascii="楷体_GB2312" w:hAnsi="Times New Roman" w:eastAsia="楷体_GB2312"/>
          <w:bCs/>
          <w:sz w:val="28"/>
          <w:szCs w:val="28"/>
        </w:rPr>
        <w:t>以下位置供后续插入本作品的真实运行截图。截图应能辨认相应操作、运行环境和完成状态，并与报告所引材料对应。示意图不代替运行画面，截图本身也不能代替完整数据或测试日志。匿名提交前须遮去用户名、主机地址及与作品无关的信息，保留原始截图作为核对依据。</w:t>
      </w:r>
    </w:p>
    <w:p>
      <w:pPr>
        <w:pStyle w:val="RWBody"/>
        <w:widowControl/>
        <w:adjustRightInd w:val="0"/>
        <w:snapToGrid w:val="0"/>
        <w:spacing w:line="480" w:lineRule="exact"/>
      </w:pPr>
      <w:r>
        <w:rPr>
          <w:rFonts w:ascii="楷体_GB2312" w:hAnsi="Times New Roman" w:eastAsia="楷体_GB2312"/>
          <w:bCs/>
          <w:sz w:val="28"/>
          <w:szCs w:val="28"/>
        </w:rPr>
        <w:br w:type="page"/>
      </w:r>
    </w:p>
    <w:p>
      <w:pPr>
        <w:pStyle w:val="RWBody"/>
        <w:widowControl/>
        <w:jc w:val="both"/>
        <w:snapToGrid w:val="0"/>
        <w:spacing w:before="1100" w:after="1100"/>
        <w:pBdr>
          <w:top w:val="single" w:sz="4" w:color="B0B0B0" w:space="10"/>
          <w:left w:val="single" w:sz="4" w:color="B0B0B0" w:space="10"/>
          <w:bottom w:val="single" w:sz="4" w:color="B0B0B0" w:space="10"/>
          <w:right w:val="single" w:sz="4" w:color="B0B0B0" w:space="10"/>
        </w:pBdr>
      </w:pPr>
      <w:r>
        <w:rPr>
          <w:rFonts w:hint="eastAsia" w:ascii="Times New Roman" w:hAnsi="Times New Roman" w:eastAsia="SimSun"/>
          <w:sz w:val="24"/>
        </w:rPr>
        <w:t>待插入真实截图：展示公开向量及接口检查的运行结果，并注明对应构建与日志。</w:t>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图C.1　功能验证运行画面</w:t>
      </w:r>
    </w:p>
    <w:p>
      <w:pPr>
        <w:pStyle w:val="RWBody"/>
        <w:widowControl/>
        <w:jc w:val="both"/>
        <w:snapToGrid w:val="0"/>
        <w:spacing w:before="1100" w:after="1100"/>
        <w:pBdr>
          <w:top w:val="single" w:sz="4" w:color="B0B0B0" w:space="10"/>
          <w:left w:val="single" w:sz="4" w:color="B0B0B0" w:space="10"/>
          <w:bottom w:val="single" w:sz="4" w:color="B0B0B0" w:space="10"/>
          <w:right w:val="single" w:sz="4" w:color="B0B0B0" w:space="10"/>
        </w:pBdr>
      </w:pPr>
      <w:r>
        <w:rPr>
          <w:rFonts w:hint="eastAsia" w:ascii="Times New Roman" w:hAnsi="Times New Roman" w:eastAsia="SimSun"/>
          <w:sz w:val="24"/>
        </w:rPr>
        <w:t>待插入真实截图：展示输入类别、采集次数与正常完成状态；不得显示私钥或共享密钥。</w:t>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图C.2　时间采集运行画面</w:t>
      </w:r>
    </w:p>
    <w:p>
      <w:pPr>
        <w:pStyle w:val="RWBody"/>
        <w:widowControl/>
        <w:adjustRightInd w:val="0"/>
        <w:snapToGrid w:val="0"/>
        <w:spacing w:line="480" w:lineRule="exact"/>
      </w:pPr>
      <w:r>
        <w:rPr>
          <w:rFonts w:ascii="楷体_GB2312" w:hAnsi="Times New Roman" w:eastAsia="楷体_GB2312"/>
          <w:bCs/>
          <w:sz w:val="28"/>
          <w:szCs w:val="28"/>
        </w:rPr>
        <w:br w:type="page"/>
      </w:r>
    </w:p>
    <w:p>
      <w:pPr>
        <w:pStyle w:val="RWBody"/>
        <w:widowControl/>
        <w:jc w:val="both"/>
        <w:snapToGrid w:val="0"/>
        <w:spacing w:before="1100" w:after="1100"/>
        <w:pBdr>
          <w:top w:val="single" w:sz="4" w:color="B0B0B0" w:space="10"/>
          <w:left w:val="single" w:sz="4" w:color="B0B0B0" w:space="10"/>
          <w:bottom w:val="single" w:sz="4" w:color="B0B0B0" w:space="10"/>
          <w:right w:val="single" w:sz="4" w:color="B0B0B0" w:space="10"/>
        </w:pBdr>
      </w:pPr>
      <w:r>
        <w:rPr>
          <w:rFonts w:hint="eastAsia" w:ascii="Times New Roman" w:hAnsi="Times New Roman" w:eastAsia="SimSun"/>
          <w:sz w:val="24"/>
        </w:rPr>
        <w:t>待插入真实截图：展示原始数据读取、描述统计或置换计算结果，并对应正文中的一项表格。</w:t>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图C.3　统计分析运行画面</w:t>
      </w:r>
    </w:p>
    <w:p>
      <w:pPr>
        <w:pStyle w:val="RWBody"/>
        <w:widowControl/>
        <w:jc w:val="both"/>
        <w:snapToGrid w:val="0"/>
        <w:spacing w:before="1100" w:after="1100"/>
        <w:pBdr>
          <w:top w:val="single" w:sz="4" w:color="B0B0B0" w:space="10"/>
          <w:left w:val="single" w:sz="4" w:color="B0B0B0" w:space="10"/>
          <w:bottom w:val="single" w:sz="4" w:color="B0B0B0" w:space="10"/>
          <w:right w:val="single" w:sz="4" w:color="B0B0B0" w:space="10"/>
        </w:pBdr>
      </w:pPr>
      <w:r>
        <w:rPr>
          <w:rFonts w:hint="eastAsia" w:ascii="Times New Roman" w:hAnsi="Times New Roman" w:eastAsia="SimSun"/>
          <w:sz w:val="24"/>
        </w:rPr>
        <w:t>待插入真实截图：展示本地报告页面及原始材料入口，说明评审者如何继续复核。</w:t>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图C.4　离线结果展示画面</w:t>
      </w:r>
    </w:p>
    <w:sectPr>
      <w:headerReference w:type="default" r:id="rId10"/>
      <w:footerReference w:type="default" r:id="rId11"/>
      <w:pgNumType w:start="1" w:fmt="decimal"/>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KSOFF9CBECC6">
    <w:panose1 w:val="02010609060101010101"/>
    <w:charset w:val="86"/>
    <w:family w:val="auto"/>
    <w:pitch w:val="default"/>
    <w:sig w:usb0="00000001" w:usb1="00000000" w:usb2="00000000" w:usb3="00000000" w:csb0="00040001" w:csb1="00000000"/>
  </w:font>
  <w:font w:name="KSOFF9CC6125">
    <w:panose1 w:val="02010609060101010101"/>
    <w:charset w:val="86"/>
    <w:family w:val="auto"/>
    <w:pitch w:val="default"/>
    <w:sig w:usb0="00000001" w:usb1="00000000" w:usb2="00000000"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14236616"/>
      <w:docPartObj>
        <w:docPartGallery w:val="autotext"/>
      </w:docPartObj>
    </w:sdtPr>
    <w:sdtEndPr>
      <w:rPr>
        <w:rFonts w:ascii="Times New Roman" w:hAnsi="Times New Roman" w:cs="Times New Roman"/>
      </w:rPr>
    </w:sdtEndPr>
    <w:sdtContent>
      <w:p w14:paraId="212440BD">
        <w:pPr>
          <w:pStyle w:val="5"/>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14236616"/>
      <w:docPartObj>
        <w:docPartGallery w:val="autotext"/>
      </w:docPartObj>
    </w:sdtPr>
    <w:sdtEndPr>
      <w:rPr>
        <w:rFonts w:ascii="Times New Roman" w:hAnsi="Times New Roman" w:cs="Times New Roman"/>
      </w:rPr>
    </w:sdtEndPr>
    <w:sdtContent>
      <w:p w14:paraId="212440BD">
        <w:pPr>
          <w:pStyle w:val="5"/>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00957">
    <w:pPr>
      <w:pStyle w:val="6"/>
    </w:pPr>
    <w:r>
      <w:rPr>
        <w:rFonts w:hint="eastAsia"/>
      </w:rPr>
      <w:t>全国密码技术竞赛作品设计报告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00957">
    <w:pPr>
      <w:pStyle w:val="6"/>
    </w:pPr>
    <w:r>
      <w:rPr>
        <w:rFonts w:hint="eastAsia"/>
      </w:rPr>
      <w:t>全国密码技术竞赛作品设计报告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3B4D"/>
    <w:rsid w:val="0001769F"/>
    <w:rsid w:val="00035012"/>
    <w:rsid w:val="00075049"/>
    <w:rsid w:val="00090885"/>
    <w:rsid w:val="00146555"/>
    <w:rsid w:val="00161B1B"/>
    <w:rsid w:val="00175070"/>
    <w:rsid w:val="00186455"/>
    <w:rsid w:val="00191B02"/>
    <w:rsid w:val="001A47C8"/>
    <w:rsid w:val="001B1DB6"/>
    <w:rsid w:val="001C1D17"/>
    <w:rsid w:val="001C6D92"/>
    <w:rsid w:val="001D3664"/>
    <w:rsid w:val="001E1D13"/>
    <w:rsid w:val="0022689B"/>
    <w:rsid w:val="00256BB7"/>
    <w:rsid w:val="002774FA"/>
    <w:rsid w:val="002822D8"/>
    <w:rsid w:val="002845D6"/>
    <w:rsid w:val="002A4EA5"/>
    <w:rsid w:val="003141E7"/>
    <w:rsid w:val="00332691"/>
    <w:rsid w:val="0034273A"/>
    <w:rsid w:val="0039611F"/>
    <w:rsid w:val="00425721"/>
    <w:rsid w:val="00432817"/>
    <w:rsid w:val="00434101"/>
    <w:rsid w:val="0043470B"/>
    <w:rsid w:val="00466388"/>
    <w:rsid w:val="004F4C94"/>
    <w:rsid w:val="00513A12"/>
    <w:rsid w:val="00517279"/>
    <w:rsid w:val="00547813"/>
    <w:rsid w:val="00554F5D"/>
    <w:rsid w:val="0057300D"/>
    <w:rsid w:val="00574703"/>
    <w:rsid w:val="005822FE"/>
    <w:rsid w:val="0059419A"/>
    <w:rsid w:val="005F7A30"/>
    <w:rsid w:val="00611E07"/>
    <w:rsid w:val="00621AF2"/>
    <w:rsid w:val="00631E26"/>
    <w:rsid w:val="0063657D"/>
    <w:rsid w:val="00664B42"/>
    <w:rsid w:val="0067271A"/>
    <w:rsid w:val="00677002"/>
    <w:rsid w:val="00687301"/>
    <w:rsid w:val="006D30A0"/>
    <w:rsid w:val="006D3B4D"/>
    <w:rsid w:val="006F3184"/>
    <w:rsid w:val="00731E6B"/>
    <w:rsid w:val="00747B59"/>
    <w:rsid w:val="00766607"/>
    <w:rsid w:val="0077465F"/>
    <w:rsid w:val="007817EC"/>
    <w:rsid w:val="007D255F"/>
    <w:rsid w:val="007E6BB3"/>
    <w:rsid w:val="008201D9"/>
    <w:rsid w:val="00830906"/>
    <w:rsid w:val="00845996"/>
    <w:rsid w:val="00847781"/>
    <w:rsid w:val="00863E71"/>
    <w:rsid w:val="008F5F36"/>
    <w:rsid w:val="00903383"/>
    <w:rsid w:val="00934DCF"/>
    <w:rsid w:val="00946FD5"/>
    <w:rsid w:val="009733E4"/>
    <w:rsid w:val="009943D4"/>
    <w:rsid w:val="009A03F1"/>
    <w:rsid w:val="009F6678"/>
    <w:rsid w:val="00A2005F"/>
    <w:rsid w:val="00A21582"/>
    <w:rsid w:val="00A40871"/>
    <w:rsid w:val="00A41124"/>
    <w:rsid w:val="00AA005E"/>
    <w:rsid w:val="00AB58A4"/>
    <w:rsid w:val="00AD1EA7"/>
    <w:rsid w:val="00AF2C1B"/>
    <w:rsid w:val="00AF71EF"/>
    <w:rsid w:val="00AF784B"/>
    <w:rsid w:val="00AF7905"/>
    <w:rsid w:val="00B15194"/>
    <w:rsid w:val="00B40659"/>
    <w:rsid w:val="00B64376"/>
    <w:rsid w:val="00B711FB"/>
    <w:rsid w:val="00B938E4"/>
    <w:rsid w:val="00BC477C"/>
    <w:rsid w:val="00BC5F07"/>
    <w:rsid w:val="00BD2BD8"/>
    <w:rsid w:val="00C15503"/>
    <w:rsid w:val="00C22111"/>
    <w:rsid w:val="00C30983"/>
    <w:rsid w:val="00C33189"/>
    <w:rsid w:val="00C649BD"/>
    <w:rsid w:val="00CB56D2"/>
    <w:rsid w:val="00CC465B"/>
    <w:rsid w:val="00CC620C"/>
    <w:rsid w:val="00CD077A"/>
    <w:rsid w:val="00D22DCE"/>
    <w:rsid w:val="00D3438E"/>
    <w:rsid w:val="00D414A2"/>
    <w:rsid w:val="00D42866"/>
    <w:rsid w:val="00D9024E"/>
    <w:rsid w:val="00DD00B4"/>
    <w:rsid w:val="00DE0776"/>
    <w:rsid w:val="00E219F6"/>
    <w:rsid w:val="00E42F92"/>
    <w:rsid w:val="00E46B6F"/>
    <w:rsid w:val="00E60254"/>
    <w:rsid w:val="00E80179"/>
    <w:rsid w:val="00E966EE"/>
    <w:rsid w:val="00EA59BD"/>
    <w:rsid w:val="00EA77A6"/>
    <w:rsid w:val="00ED492E"/>
    <w:rsid w:val="00EF686B"/>
    <w:rsid w:val="00F81DAA"/>
    <w:rsid w:val="00F84C28"/>
    <w:rsid w:val="00FA04FA"/>
    <w:rsid w:val="00FB1F38"/>
    <w:rsid w:val="00FB7EE9"/>
    <w:rsid w:val="00FD3354"/>
    <w:rsid w:val="00FE0607"/>
    <w:rsid w:val="00FF3324"/>
    <w:rsid w:val="0FAA12E4"/>
    <w:rsid w:val="4C7C2AD2"/>
    <w:rsid w:val="79F713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6"/>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alloon Text"/>
    <w:basedOn w:val="1"/>
    <w:link w:val="11"/>
    <w:semiHidden/>
    <w:unhideWhenUsed/>
    <w:uiPriority w:val="99"/>
    <w:rPr>
      <w:sz w:val="18"/>
      <w:szCs w:val="18"/>
    </w:rPr>
  </w:style>
  <w:style w:type="paragraph" w:styleId="5">
    <w:name w:val="footer"/>
    <w:basedOn w:val="1"/>
    <w:link w:val="10"/>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6">
    <w:name w:val="header"/>
    <w:basedOn w:val="1"/>
    <w:link w:val="9"/>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9">
    <w:name w:val="页眉 字符"/>
    <w:basedOn w:val="8"/>
    <w:link w:val="6"/>
    <w:qFormat/>
    <w:uiPriority w:val="99"/>
    <w:rPr>
      <w:sz w:val="18"/>
      <w:szCs w:val="18"/>
    </w:rPr>
  </w:style>
  <w:style w:type="character" w:customStyle="1" w:styleId="10">
    <w:name w:val="页脚 字符"/>
    <w:basedOn w:val="8"/>
    <w:link w:val="5"/>
    <w:uiPriority w:val="99"/>
    <w:rPr>
      <w:sz w:val="18"/>
      <w:szCs w:val="18"/>
    </w:rPr>
  </w:style>
  <w:style w:type="character" w:customStyle="1" w:styleId="11">
    <w:name w:val="批注框文本 字符"/>
    <w:basedOn w:val="8"/>
    <w:link w:val="4"/>
    <w:semiHidden/>
    <w:uiPriority w:val="99"/>
    <w:rPr>
      <w:rFonts w:ascii="Calibri" w:hAnsi="Calibri" w:eastAsia="宋体" w:cs="Times New Roman"/>
      <w:sz w:val="18"/>
      <w:szCs w:val="18"/>
    </w:rPr>
  </w:style>
  <w:style w:type="character" w:customStyle="1" w:styleId="12">
    <w:name w:val="QB正文 Char"/>
    <w:link w:val="13"/>
    <w:uiPriority w:val="0"/>
    <w:rPr>
      <w:rFonts w:ascii="宋体"/>
    </w:rPr>
  </w:style>
  <w:style w:type="paragraph" w:customStyle="1" w:styleId="13">
    <w:name w:val="QB正文"/>
    <w:basedOn w:val="1"/>
    <w:link w:val="12"/>
    <w:qFormat/>
    <w:uiPriority w:val="0"/>
    <w:pPr>
      <w:widowControl/>
      <w:autoSpaceDE w:val="0"/>
      <w:autoSpaceDN w:val="0"/>
      <w:spacing w:line="300" w:lineRule="auto"/>
      <w:ind w:firstLine="200" w:firstLineChars="200"/>
    </w:pPr>
    <w:rPr>
      <w:rFonts w:ascii="宋体" w:hAnsiTheme="minorHAnsi" w:eastAsiaTheme="minorEastAsia" w:cstheme="minorBidi"/>
    </w:rPr>
  </w:style>
  <w:style w:type="paragraph" w:customStyle="1" w:styleId="14">
    <w:name w:val="p15"/>
    <w:basedOn w:val="1"/>
    <w:qFormat/>
    <w:uiPriority w:val="0"/>
    <w:pPr>
      <w:widowControl/>
      <w:ind w:firstLine="420"/>
    </w:pPr>
    <w:rPr>
      <w:rFonts w:ascii="Times New Roman" w:hAnsi="Times New Roman"/>
      <w:kern w:val="0"/>
      <w:szCs w:val="21"/>
    </w:rPr>
  </w:style>
  <w:style w:type="paragraph" w:customStyle="1" w:styleId="15">
    <w:name w:val="p0"/>
    <w:basedOn w:val="1"/>
    <w:uiPriority w:val="0"/>
    <w:pPr>
      <w:widowControl/>
    </w:pPr>
    <w:rPr>
      <w:rFonts w:ascii="Times New Roman" w:hAnsi="Times New Roman"/>
      <w:kern w:val="0"/>
      <w:szCs w:val="21"/>
    </w:rPr>
  </w:style>
  <w:style w:type="character" w:customStyle="1" w:styleId="16">
    <w:name w:val="标题 1 字符"/>
    <w:basedOn w:val="8"/>
    <w:link w:val="2"/>
    <w:uiPriority w:val="9"/>
    <w:rPr>
      <w:rFonts w:ascii="Calibri" w:hAnsi="Calibri" w:eastAsia="宋体" w:cs="Times New Roman"/>
      <w:b/>
      <w:bCs/>
      <w:kern w:val="44"/>
      <w:sz w:val="44"/>
      <w:szCs w:val="44"/>
    </w:rPr>
  </w:style>
  <w:style w:type="character" w:customStyle="1" w:styleId="17">
    <w:name w:val="标题 2 字符"/>
    <w:basedOn w:val="8"/>
    <w:link w:val="3"/>
    <w:qFormat/>
    <w:uiPriority w:val="9"/>
    <w:rPr>
      <w:rFonts w:asciiTheme="majorHAnsi" w:hAnsiTheme="majorHAnsi" w:eastAsiaTheme="majorEastAsia" w:cstheme="majorBidi"/>
      <w:b/>
      <w:bCs/>
      <w:sz w:val="32"/>
      <w:szCs w:val="32"/>
    </w:rPr>
  </w:style>
  <w:style w:type="paragraph" w:customStyle="1" w:styleId="RWBody">
    <w:name w:val="RW Body"/>
    <w:pPr>
      <w:widowControl/>
      <w:adjustRightInd w:val="0"/>
      <w:snapToGrid w:val="0"/>
      <w:spacing w:line="480" w:lineRule="exact"/>
    </w:pPr>
    <w:rPr>
      <w:rFonts w:ascii="楷体_GB2312" w:hAnsi="Times New Roman" w:eastAsia="楷体_GB2312"/>
      <w:bCs/>
      <w:sz w:val="28"/>
      <w:szCs w:val="28"/>
    </w:rPr>
  </w:style>
  <w:style w:type="paragraph" w:customStyle="1" w:styleId="RWChapter">
    <w:name w:val="RW Chapter"/>
    <w:pPr>
      <w:spacing w:before="240" w:after="240" w:line="360" w:lineRule="auto"/>
      <w:keepNext/>
      <w:keepLines/>
      <w:outlineLvl w:val="0"/>
    </w:pPr>
    <w:rPr>
      <w:rFonts w:hint="eastAsia" w:ascii="华文楷体" w:hAnsi="华文楷体" w:eastAsia="华文楷体"/>
      <w:sz w:val="30"/>
      <w:szCs w:val="30"/>
      <w:b/>
    </w:rPr>
  </w:style>
  <w:style w:type="paragraph" w:customStyle="1" w:styleId="RWSection">
    <w:name w:val="RW Section"/>
    <w:pPr>
      <w:spacing w:before="240" w:after="240" w:line="360" w:lineRule="auto"/>
      <w:keepNext/>
      <w:keepLines/>
      <w:outlineLvl w:val="1"/>
    </w:pPr>
    <w:rPr>
      <w:rFonts w:ascii="Times New Roman" w:hAnsi="Times New Roman" w:eastAsia="黑体" w:cs="Times New Roman"/>
      <w:sz w:val="28"/>
      <w:szCs w:val="28"/>
      <w:b/>
    </w:rPr>
  </w:style>
  <w:style w:type="paragraph" w:customStyle="1" w:styleId="RWCaption">
    <w:name w:val="RW Caption"/>
    <w:pPr>
      <w:widowControl/>
      <w:adjustRightInd w:val="0"/>
      <w:snapToGrid w:val="0"/>
      <w:spacing w:line="480" w:lineRule="exact"/>
    </w:pPr>
    <w:rPr>
      <w:rFonts w:ascii="Calibri" w:hAnsi="Calibri" w:eastAsia="宋体" w:cs="Times New Roman"/>
      <w:kern w:val="2"/>
      <w:sz w:val="21"/>
      <w:szCs w:val="22"/>
      <w:lang w:val="en-US" w:eastAsia="zh-CN" w:bidi="ar-SA"/>
    </w:rPr>
  </w:style>
  <w:style w:type="paragraph" w:customStyle="1" w:styleId="RWTOC1">
    <w:name w:val="RW TOC1"/>
    <w:pPr>
      <w:widowControl/>
      <w:adjustRightInd w:val="0"/>
      <w:snapToGrid w:val="0"/>
      <w:spacing w:line="480" w:lineRule="exact"/>
    </w:pPr>
    <w:rPr>
      <w:rFonts w:ascii="Calibri" w:hAnsi="Calibri" w:eastAsia="宋体" w:cs="Times New Roman"/>
      <w:kern w:val="2"/>
      <w:sz w:val="21"/>
      <w:szCs w:val="22"/>
      <w:lang w:val="en-US" w:eastAsia="zh-CN" w:bidi="ar-SA"/>
      <w:b/>
    </w:rPr>
  </w:style>
  <w:style w:type="paragraph" w:customStyle="1" w:styleId="RWTOC2">
    <w:name w:val="RW TOC2"/>
    <w:pPr>
      <w:widowControl/>
      <w:adjustRightInd w:val="0"/>
      <w:snapToGrid w:val="0"/>
      <w:spacing w:line="480" w:lineRule="exact"/>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A113Figure1" Type="http://schemas.openxmlformats.org/officeDocument/2006/relationships/image" Target="media/a113-architecture.png"/><Relationship Id="rIdA113Figure2" Type="http://schemas.openxmlformats.org/officeDocument/2006/relationships/image" Target="media/a113-native-performance.png"/><Relationship Id="rIdA113Figure3" Type="http://schemas.openxmlformats.org/officeDocument/2006/relationships/image" Target="media/a113-replay-efficiency.png"/><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figure-g2-20261010.png"/><Relationship Id="rIdPaper9001" Type="http://schemas.openxmlformats.org/officeDocument/2006/relationships/image" Target="media/paper-3-6.png"/><Relationship Id="rIdPaper9002" Type="http://schemas.openxmlformats.org/officeDocument/2006/relationships/image" Target="media/paper-5-9.png"/><Relationship Id="rIdPaper9003" Type="http://schemas.openxmlformats.org/officeDocument/2006/relationships/image" Target="media/paper-5-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EFF8F8-817C-46C2-B7C0-7F1D2A20EB12}">
  <ds:schemaRefs/>
</ds:datastoreItem>
</file>

<file path=docProps/app.xml><?xml version="1.0" encoding="utf-8"?>
<Properties xmlns="http://schemas.openxmlformats.org/officeDocument/2006/extended-properties" xmlns:vt="http://schemas.openxmlformats.org/officeDocument/2006/docPropsVTypes">
  <Template>Normal</Template>
  <Pages>63</Pages>
  <Words>236</Words>
  <Characters>243</Characters>
  <Lines>3</Lines>
  <Paragraphs>1</Paragraphs>
  <TotalTime>24</TotalTime>
  <ScaleCrop>false</ScaleCrop>
  <LinksUpToDate>false</LinksUpToDate>
  <CharactersWithSpaces>309</CharactersWithSpaces>
  <Application>Office Document</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2019-09-14T06:53:00Z</dcterms:created>
  <dc:creator/>
  <cp:lastModifiedBy/>
  <dcterms:modified xsi:type="dcterms:W3CDTF">2026-09-20T07:09:28Z</dcterms:modified>
  <dc:title>ML-KEM 解封装实现的时间侧信道检测与常数时间防护</dc:title>
  <cp:revision>42</cp:revision>
  <dc:subject>CACR2026EA16XZ 作品设计报告</dc:subject>
  <dc:description/>
</cp:coreProperties>
</file>

<file path=docProps/custom.xml><?xml version="1.0" encoding="utf-8"?>
<Properties xmlns="http://schemas.openxmlformats.org/officeDocument/2006/custom-properties" xmlns:vt="http://schemas.openxmlformats.org/officeDocument/2006/docPropsVTypes"/>
</file>