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2026 年 10 月 8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pPr>
              <w:spacing w:line="480" w:lineRule="exact"/>
              <w:ind w:firstLine="560"/>
              <w:snapToGrid w:val="0"/>
            </w:pPr>
            <w:r>
              <w:rPr>
                <w:rFonts w:ascii="Times New Roman" w:hAnsi="Times New Roman" w:eastAsia="楷体_GB2312"/>
                <w:sz w:val="28"/>
              </w:rPr>
              <w:t>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同语言对照六个非零任务的增量/完整求和中位比为0.261640至0.319174，限于本次macOS/ARM构建；40964份有限模型及24576份后赋标签结果均通过独立核对。同机人工机制复测中，掩码形态在五个预定种子的原名义检验里均未再检出差异。作品已完成封存包新目录复算，支持本地实现审查及离线复核；统计结果均按对应模型解释，不外推为全库恒时保证。</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3</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11</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13</w:t>
      </w:r>
    </w:p>
    <w:p>
      <w:pPr>
        <w:pStyle w:val="RWTOC1"/>
        <w:tabs>
          <w:tab w:pos="8957" w:val="right" w:leader="dot"/>
        </w:tabs>
        <w:ind w:left="0"/>
        <w:snapToGrid w:val="0"/>
      </w:pPr>
      <w:hyperlink w:anchor="rw_heading_17">
        <w:r>
          <w:t>第4章　实现安全性与审计结论的适用范围</w:t>
        </w:r>
      </w:hyperlink>
      <w:r>
        <w:tab/>
        <w:t>15</w:t>
      </w:r>
    </w:p>
    <w:p>
      <w:pPr>
        <w:pStyle w:val="RWTOC2"/>
        <w:tabs>
          <w:tab w:pos="8957" w:val="right" w:leader="dot"/>
        </w:tabs>
        <w:ind w:left="369"/>
        <w:snapToGrid w:val="0"/>
      </w:pPr>
      <w:hyperlink w:anchor="rw_heading_18">
        <w:r>
          <w:t>4.1　本地审计的对象与可见信息</w:t>
        </w:r>
      </w:hyperlink>
      <w:r>
        <w:tab/>
        <w:t>15</w:t>
      </w:r>
    </w:p>
    <w:p>
      <w:pPr>
        <w:pStyle w:val="RWTOC2"/>
        <w:tabs>
          <w:tab w:pos="8957" w:val="right" w:leader="dot"/>
        </w:tabs>
        <w:ind w:left="369"/>
        <w:snapToGrid w:val="0"/>
      </w:pPr>
      <w:hyperlink w:anchor="rw_heading_19">
        <w:r>
          <w:t>4.2　标准语义与外部接口保护</w:t>
        </w:r>
      </w:hyperlink>
      <w:r>
        <w:tab/>
        <w:t>16</w:t>
      </w:r>
    </w:p>
    <w:p>
      <w:pPr>
        <w:pStyle w:val="RWTOC2"/>
        <w:tabs>
          <w:tab w:pos="8957" w:val="right" w:leader="dot"/>
        </w:tabs>
        <w:ind w:left="369"/>
        <w:snapToGrid w:val="0"/>
      </w:pPr>
      <w:hyperlink w:anchor="rw_heading_20">
        <w:r>
          <w:t>4.3　恒时实现检查与历史案例解释</w:t>
        </w:r>
      </w:hyperlink>
      <w:r>
        <w:tab/>
        <w:t>16</w:t>
      </w:r>
    </w:p>
    <w:p>
      <w:pPr>
        <w:pStyle w:val="RWTOC2"/>
        <w:tabs>
          <w:tab w:pos="8957" w:val="right" w:leader="dot"/>
        </w:tabs>
        <w:ind w:left="369"/>
        <w:snapToGrid w:val="0"/>
      </w:pPr>
      <w:hyperlink w:anchor="rw_heading_21">
        <w:r>
          <w:t>4.4　统计资格与条件错误控制</w:t>
        </w:r>
      </w:hyperlink>
      <w:r>
        <w:tab/>
        <w:t>17</w:t>
      </w:r>
    </w:p>
    <w:p>
      <w:pPr>
        <w:pStyle w:val="RWTOC2"/>
        <w:tabs>
          <w:tab w:pos="8957" w:val="right" w:leader="dot"/>
        </w:tabs>
        <w:ind w:left="369"/>
        <w:snapToGrid w:val="0"/>
      </w:pPr>
      <w:hyperlink w:anchor="rw_heading_22">
        <w:r>
          <w:t>4.5　复现一致性与研究结论的区分</w:t>
        </w:r>
      </w:hyperlink>
      <w:r>
        <w:tab/>
        <w:t>18</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19</w:t>
      </w:r>
    </w:p>
    <w:p>
      <w:pPr>
        <w:pStyle w:val="RWTOC2"/>
        <w:tabs>
          <w:tab w:pos="8957" w:val="right" w:leader="dot"/>
        </w:tabs>
        <w:ind w:left="369"/>
        <w:snapToGrid w:val="0"/>
      </w:pPr>
      <w:hyperlink w:anchor="rw_heading_24">
        <w:r>
          <w:t>5.1　原生测试环境与分层验证方案</w:t>
        </w:r>
      </w:hyperlink>
      <w:r>
        <w:tab/>
        <w:t>19</w:t>
      </w:r>
    </w:p>
    <w:p>
      <w:pPr>
        <w:pStyle w:val="RWTOC2"/>
        <w:tabs>
          <w:tab w:pos="8957" w:val="right" w:leader="dot"/>
        </w:tabs>
        <w:ind w:left="369"/>
        <w:snapToGrid w:val="0"/>
      </w:pPr>
      <w:hyperlink w:anchor="rw_heading_25">
        <w:r>
          <w:t>5.2　独立向量验收与工程边界检查</w:t>
        </w:r>
      </w:hyperlink>
      <w:r>
        <w:tab/>
        <w:t>20</w:t>
      </w:r>
    </w:p>
    <w:p>
      <w:pPr>
        <w:pStyle w:val="RWTOC2"/>
        <w:tabs>
          <w:tab w:pos="8957" w:val="right" w:leader="dot"/>
        </w:tabs>
        <w:ind w:left="369"/>
        <w:snapToGrid w:val="0"/>
      </w:pPr>
      <w:hyperlink w:anchor="rw_heading_26">
        <w:r>
          <w:t>5.3　普通解封装性能与跨运行波动</w:t>
        </w:r>
      </w:hyperlink>
      <w:r>
        <w:tab/>
        <w:t>20</w:t>
      </w:r>
    </w:p>
    <w:p>
      <w:pPr>
        <w:pStyle w:val="RWTOC2"/>
        <w:tabs>
          <w:tab w:pos="8957" w:val="right" w:leader="dot"/>
        </w:tabs>
        <w:ind w:left="369"/>
        <w:snapToGrid w:val="0"/>
      </w:pPr>
      <w:hyperlink w:anchor="rw_heading_27">
        <w:r>
          <w:t>5.4　精确复算效率与成本边界复核</w:t>
        </w:r>
      </w:hyperlink>
      <w:r>
        <w:tab/>
        <w:t>23</w:t>
      </w:r>
    </w:p>
    <w:p>
      <w:pPr>
        <w:pStyle w:val="RWTOC2"/>
        <w:tabs>
          <w:tab w:pos="8957" w:val="right" w:leader="dot"/>
        </w:tabs>
        <w:ind w:left="369"/>
        <w:snapToGrid w:val="0"/>
      </w:pPr>
      <w:hyperlink w:anchor="rw_heading_28">
        <w:r>
          <w:t>5.5　有限模型下的误拒绝与检出表现</w:t>
        </w:r>
      </w:hyperlink>
      <w:r>
        <w:tab/>
        <w:t>25</w:t>
      </w:r>
    </w:p>
    <w:p>
      <w:pPr>
        <w:pStyle w:val="RWTOC2"/>
        <w:tabs>
          <w:tab w:pos="8957" w:val="right" w:leader="dot"/>
        </w:tabs>
        <w:ind w:left="369"/>
        <w:snapToGrid w:val="0"/>
      </w:pPr>
      <w:hyperlink w:anchor="rw_heading_29">
        <w:r>
          <w:t>5.6　真实参考时间的后赋标签控制</w:t>
        </w:r>
      </w:hyperlink>
      <w:r>
        <w:tab/>
        <w:t>27</w:t>
      </w:r>
    </w:p>
    <w:p>
      <w:pPr>
        <w:pStyle w:val="RWTOC2"/>
        <w:tabs>
          <w:tab w:pos="8957" w:val="right" w:leader="dot"/>
        </w:tabs>
        <w:ind w:left="369"/>
        <w:snapToGrid w:val="0"/>
      </w:pPr>
      <w:hyperlink w:anchor="rw_heading_30">
        <w:r>
          <w:t>5.7　历史案例审计与封存材料复算</w:t>
        </w:r>
      </w:hyperlink>
      <w:r>
        <w:tab/>
        <w:t>28</w:t>
      </w:r>
    </w:p>
    <w:p>
      <w:pPr>
        <w:pStyle w:val="RWTOC2"/>
        <w:tabs>
          <w:tab w:pos="8957" w:val="right" w:leader="dot"/>
        </w:tabs>
        <w:ind w:left="369"/>
        <w:snapToGrid w:val="0"/>
      </w:pPr>
      <w:hyperlink w:anchor="rw_heading_31">
        <w:r>
          <w:t>5.8　同机人工机制的防护前后复测</w:t>
        </w:r>
      </w:hyperlink>
      <w:r>
        <w:tab/>
        <w:t>29</w:t>
      </w:r>
    </w:p>
    <w:p>
      <w:pPr>
        <w:pStyle w:val="RWTOC1"/>
        <w:tabs>
          <w:tab w:pos="8957" w:val="right" w:leader="dot"/>
        </w:tabs>
        <w:ind w:left="0"/>
        <w:snapToGrid w:val="0"/>
      </w:pPr>
      <w:hyperlink w:anchor="rw_heading_32">
        <w:r>
          <w:t>第6章　作品特色与应用前景</w:t>
        </w:r>
      </w:hyperlink>
      <w:r>
        <w:tab/>
        <w:t>31</w:t>
      </w:r>
    </w:p>
    <w:p>
      <w:pPr>
        <w:pStyle w:val="RWTOC2"/>
        <w:tabs>
          <w:tab w:pos="8957" w:val="right" w:leader="dot"/>
        </w:tabs>
        <w:ind w:left="369"/>
        <w:snapToGrid w:val="0"/>
      </w:pPr>
      <w:hyperlink w:anchor="rw_heading_33">
        <w:r>
          <w:t>6.1　面向固定任务的专用复算效率</w:t>
        </w:r>
      </w:hyperlink>
      <w:r>
        <w:tab/>
        <w:t>31</w:t>
      </w:r>
    </w:p>
    <w:p>
      <w:pPr>
        <w:pStyle w:val="RWTOC2"/>
        <w:tabs>
          <w:tab w:pos="8957" w:val="right" w:leader="dot"/>
        </w:tabs>
        <w:ind w:left="369"/>
        <w:snapToGrid w:val="0"/>
      </w:pPr>
      <w:hyperlink w:anchor="rw_heading_34">
        <w:r>
          <w:t>6.2　数据资格与解释范围的一体化设计</w:t>
        </w:r>
      </w:hyperlink>
      <w:r>
        <w:tab/>
        <w:t>31</w:t>
      </w:r>
    </w:p>
    <w:p>
      <w:pPr>
        <w:pStyle w:val="RWTOC2"/>
        <w:tabs>
          <w:tab w:pos="8957" w:val="right" w:leader="dot"/>
        </w:tabs>
        <w:ind w:left="369"/>
        <w:snapToGrid w:val="0"/>
      </w:pPr>
      <w:hyperlink w:anchor="rw_heading_35">
        <w:r>
          <w:t>6.3　本地审计与密码工程教学</w:t>
        </w:r>
      </w:hyperlink>
      <w:r>
        <w:tab/>
        <w:t>32</w:t>
      </w:r>
    </w:p>
    <w:p>
      <w:pPr>
        <w:pStyle w:val="RWTOC1"/>
        <w:tabs>
          <w:tab w:pos="8957" w:val="right" w:leader="dot"/>
        </w:tabs>
        <w:ind w:left="0"/>
        <w:snapToGrid w:val="0"/>
      </w:pPr>
      <w:hyperlink w:anchor="rw_heading_36">
        <w:r>
          <w:t>第7章　总结与展望</w:t>
        </w:r>
      </w:hyperlink>
      <w:r>
        <w:tab/>
        <w:t>33</w:t>
      </w:r>
    </w:p>
    <w:p>
      <w:pPr>
        <w:pStyle w:val="RWTOC2"/>
        <w:tabs>
          <w:tab w:pos="8957" w:val="right" w:leader="dot"/>
        </w:tabs>
        <w:ind w:left="369"/>
        <w:snapToGrid w:val="0"/>
      </w:pPr>
      <w:hyperlink w:anchor="rw_heading_37">
        <w:r>
          <w:t>7.1　工作总结</w:t>
        </w:r>
      </w:hyperlink>
      <w:r>
        <w:tab/>
        <w:t>33</w:t>
      </w:r>
    </w:p>
    <w:p>
      <w:pPr>
        <w:pStyle w:val="RWTOC2"/>
        <w:tabs>
          <w:tab w:pos="8957" w:val="right" w:leader="dot"/>
        </w:tabs>
        <w:ind w:left="369"/>
        <w:snapToGrid w:val="0"/>
      </w:pPr>
      <w:hyperlink w:anchor="rw_heading_38">
        <w:r>
          <w:t>7.2　现有限制与后续工作</w:t>
        </w:r>
      </w:hyperlink>
      <w:r>
        <w:tab/>
        <w:t>33</w:t>
      </w:r>
    </w:p>
    <w:p>
      <w:pPr>
        <w:pStyle w:val="RWTOC1"/>
        <w:tabs>
          <w:tab w:pos="8957" w:val="right" w:leader="dot"/>
        </w:tabs>
        <w:ind w:left="0"/>
        <w:snapToGrid w:val="0"/>
      </w:pPr>
      <w:hyperlink w:anchor="rw_heading_39">
        <w:r>
          <w:t>参考文献</w:t>
        </w:r>
      </w:hyperlink>
      <w:r>
        <w:tab/>
        <w:t>34</w:t>
      </w:r>
    </w:p>
    <w:p>
      <w:pPr>
        <w:pStyle w:val="RWTOC1"/>
        <w:tabs>
          <w:tab w:pos="8957" w:val="right" w:leader="dot"/>
        </w:tabs>
        <w:ind w:left="0"/>
        <w:snapToGrid w:val="0"/>
      </w:pPr>
      <w:hyperlink w:anchor="rw_heading_40">
        <w:r>
          <w:t>附录A　实验材料与结论对应关系</w:t>
        </w:r>
      </w:hyperlink>
      <w:r>
        <w:tab/>
        <w:t>35</w:t>
      </w:r>
    </w:p>
    <w:p>
      <w:pPr>
        <w:pStyle w:val="RWTOC1"/>
        <w:tabs>
          <w:tab w:pos="8957" w:val="right" w:leader="dot"/>
        </w:tabs>
        <w:ind w:left="0"/>
        <w:snapToGrid w:val="0"/>
      </w:pPr>
      <w:hyperlink w:anchor="rw_heading_41">
        <w:r>
          <w:t>附录B　普通性能的完整分位数</w:t>
        </w:r>
      </w:hyperlink>
      <w:r>
        <w:tab/>
        <w:t>38</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把式（2-7）解释为有效随机化检验，需要对内标签交换依据与无后效条件成立；效应区间则另有运行单位独立同分布等要求。程序可以检查声明是否齐全以及记录是否自洽，但不能凭一个声明字段证明这些条件真实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零假设要求：给定交换轨道时，各允许的对内标签组合等概率；仅有零均值不足以保证这一性质。在独立等概率对内交换及无后效条件成立时，包含等值的完整随机化概率具有离散检验的错误控制性质。以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(4-4)</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p w14:paraId="CA130001">
      <w:pPr>
        <w:pStyle w:val="RWBody"/>
        <w:widowControl/>
        <w:jc w:val="both"/>
        <w:snapToGrid w:val="0"/>
      </w:pPr>
      <w:r>
        <w:rPr>
          <w:rFonts w:hint="eastAsia" w:ascii="Times New Roman" w:hAnsi="Times New Roman" w:eastAsia="SimSun"/>
          <w:sz w:val="24"/>
        </w:rPr>
        <w:t xml:space="preserve">为检查增量实现本身的成本收益，同语言比较复用既有八个任务，不增加独立确认任务。两入口保留相同输入校验、Gray状态顺序、绝对和值、含等值上尾及结果整理；完整求和入口在每个状态重算20项，增量入口更新改变的一项。两者均以Apple Clang 21、C11和-O2独立编译，关闭LTO，允许自然向量化。机器码保留了增量定位与单项更新，以及完整求和的NEON和标量计算。本次在Apple M5、macOS 26.6.2/ARM64的同一构建和进程内执行，未设置频率控制，也未记录绑核或后台负载隔离。</w:t>
      </w:r>
    </w:p>
    <w:p w14:paraId="CA130002">
      <w:pPr>
        <w:pStyle w:val="RWBody"/>
        <w:widowControl/>
        <w:jc w:val="both"/>
        <w:snapToGrid w:val="0"/>
      </w:pPr>
      <w:r>
        <w:rPr>
          <w:rFonts w:hint="eastAsia" w:ascii="Times New Roman" w:hAnsi="Times New Roman" w:eastAsia="SimSun"/>
          <w:sz w:val="24"/>
        </w:rPr>
        <w:t xml:space="preserve">每方法每任务预热一次，再执行十对正式调用，每对方法先后次序交替，共保存16次预热、160个正式窗口及176次有效结果消费。计时覆盖compute_interval=0的完整统计函数，包括校验、初始化、枚举和结果整理；读取、预热、结果核对、消费及I/O位于窗口外。八任务只有七种不同CSV；任务3与7为字节相同的全零文件，保留但不用于逐状态更新收益主张。六份非零输入的十对增量/完整求和比均小于1，各任务中位比为0.261640至0.319174，八任务完整读数见表A.2。每次尾计数均与归档独立SciPy期待一致；独立C审计进一步核对原始行、比值、摘要及输入副本。</w:t>
      </w:r>
    </w:p>
    <w:p w14:paraId="CA130003">
      <w:pPr>
        <w:pStyle w:val="RWBody"/>
        <w:widowControl/>
        <w:jc w:val="both"/>
        <w:snapToGrid w:val="0"/>
      </w:pPr>
      <w:r>
        <w:rPr>
          <w:rFonts w:hint="eastAsia" w:ascii="Times New Roman" w:hAnsi="Times New Roman" w:eastAsia="SimSun"/>
          <w:sz w:val="24"/>
        </w:rPr>
        <w:t xml:space="preserve">CLOCK_MONOTONIC报告分辨率为1000 ns。预定门槛取时钟分辨率与空窗口中位值较大者的100倍，本次为100000 ns，80对均满足；保存512个校准原值，不扣读钟开销。正式函数窗口累计0.375106 s，C管理窗口另列为0.426083 s，包含准备、读取、校准、预热、计算、核对、记录、复查及原输出关闭，不含最终状态发布、外部摘要和进程尾部。30 s预算在调用及文件操作边界检查，未耗尽，不提供硬实时抢占保证。本结果描述固定输入的完整统计函数成本；差异还含加载、符号选择和改变位定位，不能解释为纯加法次数比，不能定量分解旧C/SciPy总比或推出总体速度、密码运算加速及检测能力改善。</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环境执行，匿名源码标识为</w:t>
      </w:r>
      <w:r>
        <w:rPr>
          <w:rFonts w:ascii="Times New Roman" w:hAnsi="Times New Roman" w:eastAsia="SimSun"/>
          <w:sz w:val="24"/>
        </w:rPr>
        <w:t xml:space="preserve"> </w:t>
      </w:r>
      <w:r>
        <w:rPr>
          <w:rStyle w:val="VerbatimChar"/>
          <w:rFonts w:ascii="Times New Roman" w:hAnsi="Times New Roman" w:eastAsia="SimSun"/>
          <w:sz w:val="24"/>
        </w:rPr>
        <w:t xml:space="preserve">SOURCE-KVM-R07</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14:paraId="CA130004">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 专用实现减少了固定任务的计算与运行开销。经过正确配置的 SciPy 强基线比较，以及预导入成本敏感性检查，八个既定任务上的结果一致性和成本差异均得到验证。同语言对照为增量实现的完整函数成本提供直接观察；旧SciPy对照继续描述流程成本，两者不作定量分解。</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w:t>
      </w:r>
    </w:p>
    <w:p>
      <w:pPr>
        <w:pStyle w:val="RWBody"/>
        <w:widowControl/>
        <w:jc w:val="both"/>
        <w:snapToGrid w:val="0"/>
      </w:pPr>
      <w:r>
        <w:rPr>
          <w:rFonts w:hint="eastAsia" w:ascii="Times New Roman" w:hAnsi="Times New Roman" w:eastAsia="SimSun"/>
          <w:sz w:val="24"/>
        </w:rPr>
        <w:t xml:space="preserve">原生GCC普通及Clang动态检查各34项通过。普通探索区间在KVM的E02/N01跨零，在Ryzen裸金属不跨零。八个固定任务与SciPy的尾计数及判定一致，预导入复核仍见流程成本差异。macOS/ARM同语言对照另支持六份非零输入的完整函数成本收益，限本次构建和进程。40964份有限模型与24576份后赋标签结果分别核对计算正确性和条件边界。封存软件v3已完成授权代理新目录复算。同机Linux人工机制的五种子复测中，掩码形态在原名义检验里均未再检出；局限与历史记录保留。</w:t>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研究实质等价需事先规定估计对象、容许界和有效区间。未检出、低自相关或条件标签枚举不能证明差异足够小；依赖与离散方法仍须核实适用条件。</w:t>
      </w:r>
    </w:p>
    <w:p>
      <w:pPr>
        <w:pStyle w:val="RWBody"/>
        <w:widowControl/>
        <w:jc w:val="both"/>
        <w:snapToGrid w:val="0"/>
      </w:pPr>
      <w:r>
        <w:rPr>
          <w:rFonts w:hint="eastAsia" w:ascii="Times New Roman" w:hAnsi="Times New Roman" w:eastAsia="SimSun"/>
          <w:sz w:val="24"/>
        </w:rPr>
        <w:t xml:space="preserve">实际界面截图、正式题名与审批签署仍需团队完成。本文沿用已提供编号和暂定题名，后续按真实材料更新，各项验收分别记录。</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潜在勘误适用性未核实。</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w:t>
      </w:r>
    </w:p>
    <w:p>
      <w:pPr>
        <w:pStyle w:val="RWBody"/>
        <w:widowControl/>
        <w:ind w:firstLine="0"/>
        <w:jc w:val="left"/>
        <w:snapToGrid w:val="0"/>
      </w:pPr>
      <w:r>
        <w:rPr>
          <w:rFonts w:hint="eastAsia" w:ascii="Times New Roman" w:hAnsi="Times New Roman" w:eastAsia="SimSun"/>
          <w:sz w:val="24"/>
        </w:rPr>
        <w:t xml:space="preserve">[11] Schneider M, et al. Breaking Bad: How Compilers Break Constant-Time Implementations. ASIA CCS, 2025:1690–1706. DOI:10.1145/3708821.3733909.</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formal_completed_calls=54000，warmup_completed_calls=1800，interval_scope=exploratory_iid_run_pair_bootstrap_only，report_status=complete，anonymous_source_id=SOURCE-RYZEN-01。</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pPr>
        <w:pStyle w:val="RWBody"/>
        <w:widowControl/>
        <w:ind w:firstLine="0"/>
        <w:jc w:val="both"/>
        <w:snapToGrid w:val="0"/>
      </w:pPr>
      <w:r>
        <w:rPr>
          <w:rFonts w:hint="eastAsia" w:ascii="Times New Roman" w:hAnsi="Times New Roman" w:eastAsia="SimSun"/>
          <w:sz w:val="24"/>
        </w:rPr>
        <w:t>sanitize-build 退出码为 2。GCC 在 -Werror=sign-conversion 处停止，函数为 baseline_native_poly_frommsg，位置是 vulnerable compress.c:709 与 hardened compress.c:710。这些记录不是频率锁定、恒时证明或竞赛签收。R02 与 R04 仍为部分签收：没有锁定频率的数据集，也没有真实密文总体的误报率或检出率。</w:t>
      </w:r>
    </w:p>
    <w:p>
      <w:pPr>
        <w:pStyle w:val="RWBody"/>
        <w:widowControl/>
        <w:jc w:val="left"/>
        <w:snapToGrid w:val="0"/>
      </w:pPr>
      <w:r>
        <w:rPr>
          <w:rFonts w:hint="eastAsia" w:ascii="Times New Roman" w:hAnsi="Times New Roman" w:eastAsia="SimSun"/>
          <w:sz w:val="24"/>
        </w:rPr>
        <w:t xml:space="preserve">自有源码使用匿名来源别名，不是 Git 提交号；第三方固定版本保持不变。公开来源与固定版本适用性分别见</w:t>
      </w:r>
      <w:r>
        <w:rPr>
          <w:rFonts w:ascii="Times New Roman" w:hAnsi="Times New Roman" w:eastAsia="SimSun"/>
          <w:sz w:val="24"/>
        </w:rPr>
        <w:t xml:space="preserve"> </w:t>
      </w:r>
      <w:r>
        <w:rPr>
          <w:rStyle w:val="VerbatimChar"/>
          <w:rFonts w:ascii="Times New Roman" w:hAnsi="Times New Roman" w:eastAsia="SimSun"/>
          <w:sz w:val="24"/>
        </w:rPr>
        <w:t xml:space="preserve">docs/upstream-security-review.md</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w:t>
      </w:r>
      <w:r>
        <w:rPr>
          <w:rStyle w:val="VerbatimChar"/>
          <w:rFonts w:ascii="Times New Roman" w:hAnsi="Times New Roman" w:eastAsia="SimSun"/>
          <w:sz w:val="24"/>
        </w:rPr>
        <w:t xml:space="preserve">docs/current-version-defense-review.md</w:t>
      </w:r>
      <w:r>
        <w:rPr>
          <w:rFonts w:hint="eastAsia" w:ascii="Times New Roman" w:hAnsi="Times New Roman" w:eastAsia="SimSun"/>
          <w:sz w:val="24"/>
        </w:rPr>
        <w:t xml:space="preserve">；最新验收状态见</w:t>
      </w:r>
      <w:r>
        <w:rPr>
          <w:rFonts w:ascii="Times New Roman" w:hAnsi="Times New Roman" w:eastAsia="SimSun"/>
          <w:sz w:val="24"/>
        </w:rPr>
        <w:t xml:space="preserve"> </w:t>
      </w:r>
      <w:r>
        <w:rPr>
          <w:rStyle w:val="VerbatimChar"/>
          <w:rFonts w:ascii="Times New Roman" w:hAnsi="Times New Roman" w:eastAsia="SimSun"/>
          <w:sz w:val="24"/>
        </w:rPr>
        <w:t xml:space="preserve">docs/full-work-acceptance.md</w:t>
      </w:r>
      <w:r>
        <w:rPr>
          <w:rFonts w:hint="eastAsia" w:ascii="Times New Roman" w:hAnsi="Times New Roman" w:eastAsia="SimSun"/>
          <w:sz w:val="24"/>
        </w:rPr>
        <w:t xml:space="preserve">。本报告引用重写期间已归档的新R07记录，没有为绘图额外运行密码采集，也未改动原始数字。图源以独立</w:t>
      </w:r>
      <w:r>
        <w:rPr>
          <w:rFonts w:ascii="Times New Roman" w:hAnsi="Times New Roman" w:eastAsia="SimSun"/>
          <w:sz w:val="24"/>
        </w:rPr>
        <w:t xml:space="preserve"> PowerPoint </w:t>
      </w:r>
      <w:r>
        <w:rPr>
          <w:rFonts w:hint="eastAsia" w:ascii="Times New Roman" w:hAnsi="Times New Roman" w:eastAsia="SimSun"/>
          <w:sz w:val="24"/>
        </w:rPr>
        <w:t xml:space="preserve">文件交付，各数据图保留可编辑图表和工作簿，结构图保留原生图形与文字。</w:t>
      </w:r>
    </w:p>
    <w:bookmarkEnd w:id="97"/>
    <w:bookmarkStart w:id="98" w:name="附录b-普通性能的完整分位数"/>
    <w:p w14:paraId="CA130029">
      <w:pPr>
        <w:pStyle w:val="RWCaption"/>
        <w:keepNext/>
        <w:widowControl/>
        <w:ind w:firstLine="0"/>
        <w:jc w:val="center"/>
        <w:snapToGrid w:val="0"/>
      </w:pPr>
      <w:r>
        <w:rPr>
          <w:rFonts w:hint="eastAsia" w:ascii="Times New Roman" w:hAnsi="Times New Roman" w:eastAsia="SimSun"/>
          <w:sz w:val="22"/>
        </w:rPr>
        <w:t xml:space="preserve">表A.2　同语言完整统计函数的固定任务耗时比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left w:val="nil" w:sz="5" w:color="000000"/>
              <w:bottom w:val="single" w:sz="5" w:color="000000"/>
              <w:right w:val="nil" w:sz="5" w:color="000000"/>
            </w:tcBorders>
          </w:tcPr>
          <w:p w14:paraId="CA130005">
            <w:pPr>
              <w:pStyle w:val="RWBody"/>
              <w:keepNext/>
              <w:spacing w:line="340" w:lineRule="exact" w:before="80" w:after="80"/>
              <w:ind w:firstLine="0"/>
              <w:jc w:val="center"/>
              <w:snapToGrid w:val="0"/>
            </w:pPr>
            <w:r>
              <w:rPr>
                <w:rFonts w:hint="eastAsia" w:ascii="Times New Roman" w:hAnsi="Times New Roman" w:eastAsia="SimSun"/>
                <w:b/>
                <w:sz w:val="22"/>
              </w:rPr>
              <w:t xml:space="preserve">任务</w:t>
            </w:r>
          </w:p>
        </w:tc>
        <w:tc>
          <w:tcPr>
            <w:tcW w:type="dxa" w:w="1587"/>
            <w:tcBorders>
              <w:top w:val="single" w:sz="10" w:color="000000"/>
              <w:left w:val="nil" w:sz="5" w:color="000000"/>
              <w:bottom w:val="single" w:sz="5" w:color="000000"/>
              <w:right w:val="nil" w:sz="5" w:color="000000"/>
            </w:tcBorders>
          </w:tcPr>
          <w:p w14:paraId="CA130006">
            <w:pPr>
              <w:pStyle w:val="RWBody"/>
              <w:keepNext/>
              <w:spacing w:line="340" w:lineRule="exact" w:before="80" w:after="80"/>
              <w:ind w:firstLine="0"/>
              <w:jc w:val="center"/>
              <w:snapToGrid w:val="0"/>
            </w:pPr>
            <w:r>
              <w:rPr>
                <w:rFonts w:hint="eastAsia" w:ascii="Times New Roman" w:hAnsi="Times New Roman" w:eastAsia="SimSun"/>
                <w:b/>
                <w:sz w:val="22"/>
              </w:rPr>
              <w:t xml:space="preserve">非零差数量</w:t>
            </w:r>
          </w:p>
        </w:tc>
        <w:tc>
          <w:tcPr>
            <w:tcW w:type="dxa" w:w="2665"/>
            <w:tcBorders>
              <w:top w:val="single" w:sz="10" w:color="000000"/>
              <w:left w:val="nil" w:sz="5" w:color="000000"/>
              <w:bottom w:val="single" w:sz="5" w:color="000000"/>
              <w:right w:val="nil" w:sz="5" w:color="000000"/>
            </w:tcBorders>
          </w:tcPr>
          <w:p w14:paraId="CA130007">
            <w:pPr>
              <w:pStyle w:val="RWBody"/>
              <w:keepNext/>
              <w:spacing w:line="340" w:lineRule="exact" w:before="80" w:after="80"/>
              <w:ind w:firstLine="0"/>
              <w:jc w:val="center"/>
              <w:snapToGrid w:val="0"/>
            </w:pPr>
            <w:r>
              <w:rPr>
                <w:rFonts w:hint="eastAsia" w:ascii="Times New Roman" w:hAnsi="Times New Roman" w:eastAsia="SimSun"/>
                <w:b/>
                <w:sz w:val="22"/>
              </w:rPr>
              <w:t xml:space="preserve">增量/完整求和中位比</w:t>
            </w:r>
          </w:p>
        </w:tc>
        <w:tc>
          <w:tcPr>
            <w:tcW w:type="dxa" w:w="3798"/>
            <w:tcBorders>
              <w:top w:val="single" w:sz="10" w:color="000000"/>
              <w:left w:val="nil" w:sz="5" w:color="000000"/>
              <w:bottom w:val="single" w:sz="5" w:color="000000"/>
              <w:right w:val="nil" w:sz="5" w:color="000000"/>
            </w:tcBorders>
          </w:tcPr>
          <w:p w14:paraId="CA130008">
            <w:pPr>
              <w:pStyle w:val="RWBody"/>
              <w:keepNext/>
              <w:spacing w:line="340" w:lineRule="exact" w:before="80" w:after="80"/>
              <w:ind w:firstLine="0"/>
              <w:jc w:val="center"/>
              <w:snapToGrid w:val="0"/>
            </w:pPr>
            <w:r>
              <w:rPr>
                <w:rFonts w:hint="eastAsia" w:ascii="Times New Roman" w:hAnsi="Times New Roman" w:eastAsia="SimSun"/>
                <w:b/>
                <w:sz w:val="22"/>
              </w:rPr>
              <w:t xml:space="preserve">十对比值最小—最大</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9">
            <w:pPr>
              <w:pStyle w:val="RWBody"/>
              <w:keepNext/>
              <w:spacing w:line="340" w:lineRule="exact" w:before="80" w:after="80"/>
              <w:ind w:firstLine="0"/>
              <w:jc w:val="center"/>
              <w:snapToGrid w:val="0"/>
            </w:pPr>
            <w:r>
              <w:rPr>
                <w:rFonts w:ascii="Times New Roman" w:hAnsi="Times New Roman" w:eastAsia="SimSun"/>
                <w:b w:val="0"/>
                <w:sz w:val="22"/>
              </w:rPr>
              <w:t xml:space="preserve">1</w:t>
            </w:r>
          </w:p>
        </w:tc>
        <w:tc>
          <w:tcPr>
            <w:tcW w:type="dxa" w:w="1587"/>
            <w:tcBorders>
              <w:top w:val="nil" w:sz="10" w:color="000000"/>
              <w:left w:val="nil" w:sz="5" w:color="000000"/>
              <w:bottom w:val="nil" w:sz="5" w:color="000000"/>
              <w:right w:val="nil" w:sz="5" w:color="000000"/>
            </w:tcBorders>
          </w:tcPr>
          <w:p w14:paraId="CA13000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B">
            <w:pPr>
              <w:pStyle w:val="RWBody"/>
              <w:keepNext/>
              <w:spacing w:line="340" w:lineRule="exact" w:before="80" w:after="80"/>
              <w:ind w:firstLine="0"/>
              <w:jc w:val="center"/>
              <w:snapToGrid w:val="0"/>
            </w:pPr>
            <w:r>
              <w:rPr>
                <w:rFonts w:ascii="Times New Roman" w:hAnsi="Times New Roman" w:eastAsia="SimSun"/>
                <w:b w:val="0"/>
                <w:sz w:val="22"/>
              </w:rPr>
              <w:t xml:space="preserve">0.265067</w:t>
            </w:r>
          </w:p>
        </w:tc>
        <w:tc>
          <w:tcPr>
            <w:tcW w:type="dxa" w:w="3798"/>
            <w:tcBorders>
              <w:top w:val="nil" w:sz="10" w:color="000000"/>
              <w:left w:val="nil" w:sz="5" w:color="000000"/>
              <w:bottom w:val="nil" w:sz="5" w:color="000000"/>
              <w:right w:val="nil" w:sz="5" w:color="000000"/>
            </w:tcBorders>
          </w:tcPr>
          <w:p w14:paraId="CA13000C">
            <w:pPr>
              <w:pStyle w:val="RWBody"/>
              <w:keepNext/>
              <w:spacing w:line="340" w:lineRule="exact" w:before="80" w:after="80"/>
              <w:ind w:firstLine="0"/>
              <w:jc w:val="center"/>
              <w:snapToGrid w:val="0"/>
            </w:pPr>
            <w:r>
              <w:rPr>
                <w:rFonts w:ascii="Times New Roman" w:hAnsi="Times New Roman" w:eastAsia="SimSun"/>
                <w:b w:val="0"/>
                <w:sz w:val="22"/>
              </w:rPr>
              <w:t xml:space="preserve">0.241923—0.275621</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D">
            <w:pPr>
              <w:pStyle w:val="RWBody"/>
              <w:keepNext/>
              <w:spacing w:line="340" w:lineRule="exact" w:before="80" w:after="80"/>
              <w:ind w:firstLine="0"/>
              <w:jc w:val="center"/>
              <w:snapToGrid w:val="0"/>
            </w:pPr>
            <w:r>
              <w:rPr>
                <w:rFonts w:ascii="Times New Roman" w:hAnsi="Times New Roman" w:eastAsia="SimSun"/>
                <w:b w:val="0"/>
                <w:sz w:val="22"/>
              </w:rPr>
              <w:t xml:space="preserve">2</w:t>
            </w:r>
          </w:p>
        </w:tc>
        <w:tc>
          <w:tcPr>
            <w:tcW w:type="dxa" w:w="1587"/>
            <w:tcBorders>
              <w:top w:val="nil" w:sz="10" w:color="000000"/>
              <w:left w:val="nil" w:sz="5" w:color="000000"/>
              <w:bottom w:val="nil" w:sz="5" w:color="000000"/>
              <w:right w:val="nil" w:sz="5" w:color="000000"/>
            </w:tcBorders>
          </w:tcPr>
          <w:p w14:paraId="CA13000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F">
            <w:pPr>
              <w:pStyle w:val="RWBody"/>
              <w:keepNext/>
              <w:spacing w:line="340" w:lineRule="exact" w:before="80" w:after="80"/>
              <w:ind w:firstLine="0"/>
              <w:jc w:val="center"/>
              <w:snapToGrid w:val="0"/>
            </w:pPr>
            <w:r>
              <w:rPr>
                <w:rFonts w:ascii="Times New Roman" w:hAnsi="Times New Roman" w:eastAsia="SimSun"/>
                <w:b w:val="0"/>
                <w:sz w:val="22"/>
              </w:rPr>
              <w:t xml:space="preserve">0.318405</w:t>
            </w:r>
          </w:p>
        </w:tc>
        <w:tc>
          <w:tcPr>
            <w:tcW w:type="dxa" w:w="3798"/>
            <w:tcBorders>
              <w:top w:val="nil" w:sz="10" w:color="000000"/>
              <w:left w:val="nil" w:sz="5" w:color="000000"/>
              <w:bottom w:val="nil" w:sz="5" w:color="000000"/>
              <w:right w:val="nil" w:sz="5" w:color="000000"/>
            </w:tcBorders>
          </w:tcPr>
          <w:p w14:paraId="CA130010">
            <w:pPr>
              <w:pStyle w:val="RWBody"/>
              <w:keepNext/>
              <w:spacing w:line="340" w:lineRule="exact" w:before="80" w:after="80"/>
              <w:ind w:firstLine="0"/>
              <w:jc w:val="center"/>
              <w:snapToGrid w:val="0"/>
            </w:pPr>
            <w:r>
              <w:rPr>
                <w:rFonts w:ascii="Times New Roman" w:hAnsi="Times New Roman" w:eastAsia="SimSun"/>
                <w:b w:val="0"/>
                <w:sz w:val="22"/>
              </w:rPr>
              <w:t xml:space="preserve">0.309984—0.325525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1">
            <w:pPr>
              <w:pStyle w:val="RWBody"/>
              <w:keepNext/>
              <w:spacing w:line="340" w:lineRule="exact" w:before="80" w:after="80"/>
              <w:ind w:firstLine="0"/>
              <w:jc w:val="center"/>
              <w:snapToGrid w:val="0"/>
            </w:pPr>
            <w:r>
              <w:rPr>
                <w:rFonts w:ascii="Times New Roman" w:hAnsi="Times New Roman" w:eastAsia="SimSun"/>
                <w:b w:val="0"/>
                <w:sz w:val="22"/>
              </w:rPr>
              <w:t xml:space="preserve">3</w:t>
            </w:r>
          </w:p>
        </w:tc>
        <w:tc>
          <w:tcPr>
            <w:tcW w:type="dxa" w:w="1587"/>
            <w:tcBorders>
              <w:top w:val="nil" w:sz="10" w:color="000000"/>
              <w:left w:val="nil" w:sz="5" w:color="000000"/>
              <w:bottom w:val="nil" w:sz="5" w:color="000000"/>
              <w:right w:val="nil" w:sz="5" w:color="000000"/>
            </w:tcBorders>
          </w:tcPr>
          <w:p w14:paraId="CA13001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13">
            <w:pPr>
              <w:pStyle w:val="RWBody"/>
              <w:keepNext/>
              <w:spacing w:line="340" w:lineRule="exact" w:before="80" w:after="80"/>
              <w:ind w:firstLine="0"/>
              <w:jc w:val="center"/>
              <w:snapToGrid w:val="0"/>
            </w:pPr>
            <w:r>
              <w:rPr>
                <w:rFonts w:ascii="Times New Roman" w:hAnsi="Times New Roman" w:eastAsia="SimSun"/>
                <w:b w:val="0"/>
                <w:sz w:val="22"/>
              </w:rPr>
              <w:t xml:space="preserve">0.330575</w:t>
            </w:r>
          </w:p>
        </w:tc>
        <w:tc>
          <w:tcPr>
            <w:tcW w:type="dxa" w:w="3798"/>
            <w:tcBorders>
              <w:top w:val="nil" w:sz="10" w:color="000000"/>
              <w:left w:val="nil" w:sz="5" w:color="000000"/>
              <w:bottom w:val="nil" w:sz="5" w:color="000000"/>
              <w:right w:val="nil" w:sz="5" w:color="000000"/>
            </w:tcBorders>
          </w:tcPr>
          <w:p w14:paraId="CA130014">
            <w:pPr>
              <w:pStyle w:val="RWBody"/>
              <w:keepNext/>
              <w:spacing w:line="340" w:lineRule="exact" w:before="80" w:after="80"/>
              <w:ind w:firstLine="0"/>
              <w:jc w:val="center"/>
              <w:snapToGrid w:val="0"/>
            </w:pPr>
            <w:r>
              <w:rPr>
                <w:rFonts w:ascii="Times New Roman" w:hAnsi="Times New Roman" w:eastAsia="SimSun"/>
                <w:b w:val="0"/>
                <w:sz w:val="22"/>
              </w:rPr>
              <w:t xml:space="preserve">0.325333—0.338235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5">
            <w:pPr>
              <w:pStyle w:val="RWBody"/>
              <w:keepNext/>
              <w:spacing w:line="340" w:lineRule="exact" w:before="80" w:after="80"/>
              <w:ind w:firstLine="0"/>
              <w:jc w:val="center"/>
              <w:snapToGrid w:val="0"/>
            </w:pPr>
            <w:r>
              <w:rPr>
                <w:rFonts w:ascii="Times New Roman" w:hAnsi="Times New Roman" w:eastAsia="SimSun"/>
                <w:b w:val="0"/>
                <w:sz w:val="22"/>
              </w:rPr>
              <w:t xml:space="preserve">4</w:t>
            </w:r>
          </w:p>
        </w:tc>
        <w:tc>
          <w:tcPr>
            <w:tcW w:type="dxa" w:w="1587"/>
            <w:tcBorders>
              <w:top w:val="nil" w:sz="10" w:color="000000"/>
              <w:left w:val="nil" w:sz="5" w:color="000000"/>
              <w:bottom w:val="nil" w:sz="5" w:color="000000"/>
              <w:right w:val="nil" w:sz="5" w:color="000000"/>
            </w:tcBorders>
          </w:tcPr>
          <w:p w14:paraId="CA13001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7">
            <w:pPr>
              <w:pStyle w:val="RWBody"/>
              <w:keepNext/>
              <w:spacing w:line="340" w:lineRule="exact" w:before="80" w:after="80"/>
              <w:ind w:firstLine="0"/>
              <w:jc w:val="center"/>
              <w:snapToGrid w:val="0"/>
            </w:pPr>
            <w:r>
              <w:rPr>
                <w:rFonts w:ascii="Times New Roman" w:hAnsi="Times New Roman" w:eastAsia="SimSun"/>
                <w:b w:val="0"/>
                <w:sz w:val="22"/>
              </w:rPr>
              <w:t xml:space="preserve">0.261640</w:t>
            </w:r>
          </w:p>
        </w:tc>
        <w:tc>
          <w:tcPr>
            <w:tcW w:type="dxa" w:w="3798"/>
            <w:tcBorders>
              <w:top w:val="nil" w:sz="10" w:color="000000"/>
              <w:left w:val="nil" w:sz="5" w:color="000000"/>
              <w:bottom w:val="nil" w:sz="5" w:color="000000"/>
              <w:right w:val="nil" w:sz="5" w:color="000000"/>
            </w:tcBorders>
          </w:tcPr>
          <w:p w14:paraId="CA130018">
            <w:pPr>
              <w:pStyle w:val="RWBody"/>
              <w:keepNext/>
              <w:spacing w:line="340" w:lineRule="exact" w:before="80" w:after="80"/>
              <w:ind w:firstLine="0"/>
              <w:jc w:val="center"/>
              <w:snapToGrid w:val="0"/>
            </w:pPr>
            <w:r>
              <w:rPr>
                <w:rFonts w:ascii="Times New Roman" w:hAnsi="Times New Roman" w:eastAsia="SimSun"/>
                <w:b w:val="0"/>
                <w:sz w:val="22"/>
              </w:rPr>
              <w:t xml:space="preserve">0.257364—0.266460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9">
            <w:pPr>
              <w:pStyle w:val="RWBody"/>
              <w:keepNext/>
              <w:spacing w:line="340" w:lineRule="exact" w:before="80" w:after="80"/>
              <w:ind w:firstLine="0"/>
              <w:jc w:val="center"/>
              <w:snapToGrid w:val="0"/>
            </w:pPr>
            <w:r>
              <w:rPr>
                <w:rFonts w:ascii="Times New Roman" w:hAnsi="Times New Roman" w:eastAsia="SimSun"/>
                <w:b w:val="0"/>
                <w:sz w:val="22"/>
              </w:rPr>
              <w:t xml:space="preserve">5</w:t>
            </w:r>
          </w:p>
        </w:tc>
        <w:tc>
          <w:tcPr>
            <w:tcW w:type="dxa" w:w="1587"/>
            <w:tcBorders>
              <w:top w:val="nil" w:sz="10" w:color="000000"/>
              <w:left w:val="nil" w:sz="5" w:color="000000"/>
              <w:bottom w:val="nil" w:sz="5" w:color="000000"/>
              <w:right w:val="nil" w:sz="5" w:color="000000"/>
            </w:tcBorders>
          </w:tcPr>
          <w:p w14:paraId="CA13001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B">
            <w:pPr>
              <w:pStyle w:val="RWBody"/>
              <w:keepNext/>
              <w:spacing w:line="340" w:lineRule="exact" w:before="80" w:after="80"/>
              <w:ind w:firstLine="0"/>
              <w:jc w:val="center"/>
              <w:snapToGrid w:val="0"/>
            </w:pPr>
            <w:r>
              <w:rPr>
                <w:rFonts w:ascii="Times New Roman" w:hAnsi="Times New Roman" w:eastAsia="SimSun"/>
                <w:b w:val="0"/>
                <w:sz w:val="22"/>
              </w:rPr>
              <w:t xml:space="preserve">0.298269</w:t>
            </w:r>
          </w:p>
        </w:tc>
        <w:tc>
          <w:tcPr>
            <w:tcW w:type="dxa" w:w="3798"/>
            <w:tcBorders>
              <w:top w:val="nil" w:sz="10" w:color="000000"/>
              <w:left w:val="nil" w:sz="5" w:color="000000"/>
              <w:bottom w:val="nil" w:sz="5" w:color="000000"/>
              <w:right w:val="nil" w:sz="5" w:color="000000"/>
            </w:tcBorders>
          </w:tcPr>
          <w:p w14:paraId="CA13001C">
            <w:pPr>
              <w:pStyle w:val="RWBody"/>
              <w:keepNext/>
              <w:spacing w:line="340" w:lineRule="exact" w:before="80" w:after="80"/>
              <w:ind w:firstLine="0"/>
              <w:jc w:val="center"/>
              <w:snapToGrid w:val="0"/>
            </w:pPr>
            <w:r>
              <w:rPr>
                <w:rFonts w:ascii="Times New Roman" w:hAnsi="Times New Roman" w:eastAsia="SimSun"/>
                <w:b w:val="0"/>
                <w:sz w:val="22"/>
              </w:rPr>
              <w:t xml:space="preserve">0.292138—0.308256</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D">
            <w:pPr>
              <w:pStyle w:val="RWBody"/>
              <w:keepNext/>
              <w:spacing w:line="340" w:lineRule="exact" w:before="80" w:after="80"/>
              <w:ind w:firstLine="0"/>
              <w:jc w:val="center"/>
              <w:snapToGrid w:val="0"/>
            </w:pPr>
            <w:r>
              <w:rPr>
                <w:rFonts w:ascii="Times New Roman" w:hAnsi="Times New Roman" w:eastAsia="SimSun"/>
                <w:b w:val="0"/>
                <w:sz w:val="22"/>
              </w:rPr>
              <w:t xml:space="preserve">6</w:t>
            </w:r>
          </w:p>
        </w:tc>
        <w:tc>
          <w:tcPr>
            <w:tcW w:type="dxa" w:w="1587"/>
            <w:tcBorders>
              <w:top w:val="nil" w:sz="10" w:color="000000"/>
              <w:left w:val="nil" w:sz="5" w:color="000000"/>
              <w:bottom w:val="nil" w:sz="5" w:color="000000"/>
              <w:right w:val="nil" w:sz="5" w:color="000000"/>
            </w:tcBorders>
          </w:tcPr>
          <w:p w14:paraId="CA13001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F">
            <w:pPr>
              <w:pStyle w:val="RWBody"/>
              <w:keepNext/>
              <w:spacing w:line="340" w:lineRule="exact" w:before="80" w:after="80"/>
              <w:ind w:firstLine="0"/>
              <w:jc w:val="center"/>
              <w:snapToGrid w:val="0"/>
            </w:pPr>
            <w:r>
              <w:rPr>
                <w:rFonts w:ascii="Times New Roman" w:hAnsi="Times New Roman" w:eastAsia="SimSun"/>
                <w:b w:val="0"/>
                <w:sz w:val="22"/>
              </w:rPr>
              <w:t xml:space="preserve">0.319174</w:t>
            </w:r>
          </w:p>
        </w:tc>
        <w:tc>
          <w:tcPr>
            <w:tcW w:type="dxa" w:w="3798"/>
            <w:tcBorders>
              <w:top w:val="nil" w:sz="10" w:color="000000"/>
              <w:left w:val="nil" w:sz="5" w:color="000000"/>
              <w:bottom w:val="nil" w:sz="5" w:color="000000"/>
              <w:right w:val="nil" w:sz="5" w:color="000000"/>
            </w:tcBorders>
          </w:tcPr>
          <w:p w14:paraId="CA130020">
            <w:pPr>
              <w:pStyle w:val="RWBody"/>
              <w:keepNext/>
              <w:spacing w:line="340" w:lineRule="exact" w:before="80" w:after="80"/>
              <w:ind w:firstLine="0"/>
              <w:jc w:val="center"/>
              <w:snapToGrid w:val="0"/>
            </w:pPr>
            <w:r>
              <w:rPr>
                <w:rFonts w:ascii="Times New Roman" w:hAnsi="Times New Roman" w:eastAsia="SimSun"/>
                <w:b w:val="0"/>
                <w:sz w:val="22"/>
              </w:rPr>
              <w:t xml:space="preserve">0.313590—0.328080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1">
            <w:pPr>
              <w:pStyle w:val="RWBody"/>
              <w:keepNext/>
              <w:spacing w:line="340" w:lineRule="exact" w:before="80" w:after="80"/>
              <w:ind w:firstLine="0"/>
              <w:jc w:val="center"/>
              <w:snapToGrid w:val="0"/>
            </w:pPr>
            <w:r>
              <w:rPr>
                <w:rFonts w:ascii="Times New Roman" w:hAnsi="Times New Roman" w:eastAsia="SimSun"/>
                <w:b w:val="0"/>
                <w:sz w:val="22"/>
              </w:rPr>
              <w:t xml:space="preserve">7</w:t>
            </w:r>
          </w:p>
        </w:tc>
        <w:tc>
          <w:tcPr>
            <w:tcW w:type="dxa" w:w="1587"/>
            <w:tcBorders>
              <w:top w:val="nil" w:sz="10" w:color="000000"/>
              <w:left w:val="nil" w:sz="5" w:color="000000"/>
              <w:bottom w:val="nil" w:sz="5" w:color="000000"/>
              <w:right w:val="nil" w:sz="5" w:color="000000"/>
            </w:tcBorders>
          </w:tcPr>
          <w:p w14:paraId="CA13002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23">
            <w:pPr>
              <w:pStyle w:val="RWBody"/>
              <w:keepNext/>
              <w:spacing w:line="340" w:lineRule="exact" w:before="80" w:after="80"/>
              <w:ind w:firstLine="0"/>
              <w:jc w:val="center"/>
              <w:snapToGrid w:val="0"/>
            </w:pPr>
            <w:r>
              <w:rPr>
                <w:rFonts w:ascii="Times New Roman" w:hAnsi="Times New Roman" w:eastAsia="SimSun"/>
                <w:b w:val="0"/>
                <w:sz w:val="22"/>
              </w:rPr>
              <w:t xml:space="preserve">0.331370</w:t>
            </w:r>
          </w:p>
        </w:tc>
        <w:tc>
          <w:tcPr>
            <w:tcW w:type="dxa" w:w="3798"/>
            <w:tcBorders>
              <w:top w:val="nil" w:sz="10" w:color="000000"/>
              <w:left w:val="nil" w:sz="5" w:color="000000"/>
              <w:bottom w:val="nil" w:sz="5" w:color="000000"/>
              <w:right w:val="nil" w:sz="5" w:color="000000"/>
            </w:tcBorders>
          </w:tcPr>
          <w:p w14:paraId="CA130024">
            <w:pPr>
              <w:pStyle w:val="RWBody"/>
              <w:keepNext/>
              <w:spacing w:line="340" w:lineRule="exact" w:before="80" w:after="80"/>
              <w:ind w:firstLine="0"/>
              <w:jc w:val="center"/>
              <w:snapToGrid w:val="0"/>
            </w:pPr>
            <w:r>
              <w:rPr>
                <w:rFonts w:ascii="Times New Roman" w:hAnsi="Times New Roman" w:eastAsia="SimSun"/>
                <w:b w:val="0"/>
                <w:sz w:val="22"/>
              </w:rPr>
              <w:t xml:space="preserve">0.325712—0.335913</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5">
            <w:pPr>
              <w:pStyle w:val="RWBody"/>
              <w:keepNext/>
              <w:spacing w:line="340" w:lineRule="exact" w:before="80" w:after="80"/>
              <w:ind w:firstLine="0"/>
              <w:jc w:val="center"/>
              <w:snapToGrid w:val="0"/>
            </w:pPr>
            <w:r>
              <w:rPr>
                <w:rFonts w:ascii="Times New Roman" w:hAnsi="Times New Roman" w:eastAsia="SimSun"/>
                <w:b w:val="0"/>
                <w:sz w:val="22"/>
              </w:rPr>
              <w:t xml:space="preserve">8</w:t>
            </w:r>
          </w:p>
        </w:tc>
        <w:tc>
          <w:tcPr>
            <w:tcW w:type="dxa" w:w="1587"/>
            <w:tcBorders>
              <w:top w:val="nil" w:sz="10" w:color="000000"/>
              <w:left w:val="nil" w:sz="5" w:color="000000"/>
              <w:bottom w:val="nil" w:sz="5" w:color="000000"/>
              <w:right w:val="nil" w:sz="5" w:color="000000"/>
            </w:tcBorders>
          </w:tcPr>
          <w:p w14:paraId="CA13002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27">
            <w:pPr>
              <w:pStyle w:val="RWBody"/>
              <w:keepNext/>
              <w:spacing w:line="340" w:lineRule="exact" w:before="80" w:after="80"/>
              <w:ind w:firstLine="0"/>
              <w:jc w:val="center"/>
              <w:snapToGrid w:val="0"/>
            </w:pPr>
            <w:r>
              <w:rPr>
                <w:rFonts w:ascii="Times New Roman" w:hAnsi="Times New Roman" w:eastAsia="SimSun"/>
                <w:b w:val="0"/>
                <w:sz w:val="22"/>
              </w:rPr>
              <w:t xml:space="preserve">0.296426</w:t>
            </w:r>
          </w:p>
        </w:tc>
        <w:tc>
          <w:tcPr>
            <w:tcW w:type="dxa" w:w="3798"/>
            <w:tcBorders>
              <w:top w:val="nil" w:sz="10" w:color="000000"/>
              <w:left w:val="nil" w:sz="5" w:color="000000"/>
              <w:bottom w:val="nil" w:sz="5" w:color="000000"/>
              <w:right w:val="nil" w:sz="5" w:color="000000"/>
            </w:tcBorders>
          </w:tcPr>
          <w:p w14:paraId="CA130028">
            <w:pPr>
              <w:pStyle w:val="RWBody"/>
              <w:keepNext/>
              <w:spacing w:line="340" w:lineRule="exact" w:before="80" w:after="80"/>
              <w:ind w:firstLine="0"/>
              <w:jc w:val="center"/>
              <w:snapToGrid w:val="0"/>
            </w:pPr>
            <w:r>
              <w:rPr>
                <w:rFonts w:ascii="Times New Roman" w:hAnsi="Times New Roman" w:eastAsia="SimSun"/>
                <w:b w:val="0"/>
                <w:sz w:val="22"/>
              </w:rPr>
              <w:t xml:space="preserve">0.291052—0.306987</w:t>
            </w:r>
          </w:p>
        </w:tc>
      </w:tr>
    </w:tbl>
    <w:p w14:paraId="CA13002A">
      <w:pPr>
        <w:pStyle w:val="RWBody"/>
        <w:widowControl/>
        <w:jc w:val="both"/>
        <w:snapToGrid w:val="0"/>
      </w:pPr>
      <w:r>
        <w:rPr>
          <w:rFonts w:hint="eastAsia" w:ascii="Times New Roman" w:hAnsi="Times New Roman" w:eastAsia="SimSun"/>
          <w:sz w:val="24"/>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jc w:val="both"/>
        <w:snapToGrid w:val="0"/>
      </w:pPr>
      <w:r>
        <w:rPr>
          <w:rFonts w:hint="eastAsia" w:ascii="Times New Roman" w:hAnsi="Times New Roman" w:eastAsia="SimSun"/>
          <w:sz w:val="24"/>
        </w:rPr>
        <w:t xml:space="preserve">本轮材料独立保存于docs/evidence/aris-update-cost-20261008，数学实现位于docs/research/aris-20261008/update-cost。匿名数据解释件新增M01_UPDATE_COST组，包含原始时间、读钟、对应比值、阶段终态、独立C核验及匿名资格摘要；24份输入链接既有C01，不增加独立数据。匿名源码标识SOURCE-MATH-COST-01不是Git提交号；实际源与产物按文件摘要关联。新的研究补充件不替换已封存软件v3。</w:t>
      </w:r>
    </w:p>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42</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