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png" ContentType="image/png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4A34B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  <w:u w:val="single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作品编号：[系统编号待填写]</w:t>
      </w:r>
      <w:r>
        <w:rPr>
          <w:rFonts w:ascii="楷体_GB2312" w:hAnsi="Times New Roman" w:eastAsia="楷体_GB2312"/>
          <w:bCs/>
          <w:sz w:val="28"/>
          <w:szCs w:val="28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4584700</wp:posOffset>
            </wp:positionH>
            <wp:positionV relativeFrom="paragraph">
              <wp:posOffset>-90805</wp:posOffset>
            </wp:positionV>
            <wp:extent cx="1534795" cy="1163320"/>
            <wp:effectExtent l="0" t="0" r="8255" b="0"/>
            <wp:wrapSquare wrapText="bothSides"/>
            <wp:docPr id="2" name="图片 2" descr="D:\密码学会教育工作委员会\学会\学会图标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D:\密码学会教育工作委员会\学会\学会图标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4795" cy="116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楷体_GB2312" w:hAnsi="Times New Roman" w:eastAsia="楷体_GB2312"/>
          <w:bCs/>
          <w:sz w:val="28"/>
          <w:szCs w:val="28"/>
        </w:rPr>
        <w:t xml:space="preserve"/>
      </w:r>
      <w:r>
        <w:rPr>
          <w:rFonts w:hint="eastAsia" w:ascii="楷体_GB2312" w:hAnsi="Times New Roman" w:eastAsia="楷体_GB2312"/>
          <w:bCs/>
          <w:sz w:val="28"/>
          <w:szCs w:val="28"/>
          <w:u w:val="single"/>
        </w:rPr>
        <w:t xml:space="preserve"/>
      </w:r>
      <w:r>
        <w:rPr>
          <w:rFonts w:hint="eastAsia" w:ascii="楷体_GB2312" w:hAnsi="Times New Roman" w:eastAsia="楷体_GB2312"/>
          <w:b/>
          <w:color w:val="FF0000"/>
          <w:sz w:val="28"/>
          <w:szCs w:val="28"/>
          <w:u w:val="single"/>
        </w:rPr>
        <w:t xml:space="preserve"/>
      </w:r>
      <w:r>
        <w:rPr>
          <w:rFonts w:hint="eastAsia" w:ascii="楷体_GB2312" w:hAnsi="Times New Roman" w:eastAsia="楷体_GB2312"/>
          <w:bCs/>
          <w:color w:val="FF0000"/>
          <w:sz w:val="28"/>
          <w:szCs w:val="28"/>
          <w:u w:val="single"/>
        </w:rPr>
        <w:t xml:space="preserve"/>
      </w:r>
      <w:r>
        <w:rPr>
          <w:rFonts w:hint="eastAsia" w:ascii="楷体_GB2312" w:hAnsi="Times New Roman" w:eastAsia="楷体_GB2312"/>
          <w:bCs/>
          <w:sz w:val="28"/>
          <w:szCs w:val="28"/>
          <w:u w:val="single"/>
        </w:rPr>
        <w:t xml:space="preserve"/>
      </w:r>
    </w:p>
    <w:p w14:paraId="4ED5BDDA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  <w:u w:val="single"/>
        </w:rPr>
      </w:pPr>
    </w:p>
    <w:p w14:paraId="4656AD64">
      <w:pPr>
        <w:widowControl/>
        <w:adjustRightInd w:val="0"/>
        <w:snapToGrid w:val="0"/>
        <w:spacing w:line="480" w:lineRule="exact"/>
        <w:rPr>
          <w:rFonts w:hint="eastAsia" w:ascii="宋体" w:hAnsi="宋体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作品类别： □软件设计   □硬件制作   ■工程实践</w:t>
      </w:r>
      <w:bookmarkStart w:id="0" w:name="OLE_LINK1"/>
      <w:bookmarkStart w:id="1" w:name="OLE_LINK2"/>
      <w:r>
        <w:rPr>
          <w:rFonts w:hint="eastAsia" w:ascii="楷体_GB2312" w:hAnsi="Times New Roman" w:eastAsia="楷体_GB2312"/>
          <w:bCs/>
          <w:sz w:val="28"/>
          <w:szCs w:val="28"/>
        </w:rPr>
        <w:t xml:space="preserve"/>
      </w:r>
      <w:bookmarkEnd w:id="0"/>
      <w:bookmarkEnd w:id="1"/>
      <w:r>
        <w:rPr>
          <w:rFonts w:hint="eastAsia" w:ascii="宋体" w:hAnsi="宋体"/>
        </w:rPr>
        <w:t xml:space="preserve"/>
      </w:r>
      <w:r>
        <w:rPr>
          <w:rFonts w:hint="eastAsia"/>
        </w:rPr>
        <w:t xml:space="preserve"/>
      </w:r>
      <w:r>
        <w:rPr>
          <w:rFonts w:hint="eastAsia" w:ascii="宋体" w:hAnsi="宋体"/>
        </w:rPr>
        <w:t xml:space="preserve"/>
      </w:r>
      <w:r>
        <w:rPr>
          <w:rFonts w:ascii="宋体" w:hAnsi="宋体"/>
        </w:rPr>
        <w:t xml:space="preserve"/>
      </w:r>
    </w:p>
    <w:p w14:paraId="1929CAAD">
      <w:pPr>
        <w:widowControl/>
        <w:adjustRightInd w:val="0"/>
        <w:snapToGrid w:val="0"/>
        <w:spacing w:line="480" w:lineRule="exact"/>
        <w:ind w:firstLine="1470" w:firstLineChars="700"/>
        <w:rPr>
          <w:rFonts w:hint="eastAsia" w:ascii="宋体" w:hAnsi="宋体"/>
        </w:rPr>
      </w:pPr>
      <w:r>
        <w:rPr>
          <w:rFonts w:hint="eastAsia" w:ascii="宋体" w:hAnsi="宋体"/>
        </w:rPr>
        <w:t>□密码应用技术  □其它</w:t>
      </w:r>
    </w:p>
    <w:p w14:paraId="1B6B0FE6">
      <w:pPr>
        <w:widowControl/>
        <w:adjustRightInd w:val="0"/>
        <w:snapToGrid w:val="0"/>
        <w:spacing w:line="480" w:lineRule="exact"/>
        <w:ind w:firstLine="1470" w:firstLineChars="700"/>
        <w:rPr>
          <w:rFonts w:hint="eastAsia" w:ascii="宋体" w:hAnsi="宋体"/>
        </w:rPr>
      </w:pPr>
    </w:p>
    <w:p w14:paraId="78E13ED1">
      <w:pPr>
        <w:widowControl/>
        <w:adjustRightInd w:val="0"/>
        <w:snapToGrid w:val="0"/>
        <w:spacing w:line="480" w:lineRule="exact"/>
        <w:rPr>
          <w:rFonts w:hint="eastAsia" w:ascii="宋体" w:hAnsi="宋体"/>
        </w:rPr>
      </w:pPr>
    </w:p>
    <w:p w14:paraId="7433C3F8">
      <w:pPr>
        <w:widowControl/>
        <w:adjustRightInd w:val="0"/>
        <w:snapToGrid w:val="0"/>
        <w:jc w:val="right"/>
        <w:rPr>
          <w:rFonts w:ascii="楷体_GB2312" w:hAnsi="Times New Roman" w:eastAsia="楷体_GB2312"/>
          <w:bCs/>
          <w:sz w:val="28"/>
          <w:szCs w:val="28"/>
        </w:rPr>
      </w:pPr>
    </w:p>
    <w:p w14:paraId="00F1FE9A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</w:p>
    <w:p w14:paraId="0519D025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bookmarkStart w:id="2" w:name="_GoBack"/>
      <w:bookmarkEnd w:id="2"/>
    </w:p>
    <w:p w14:paraId="4A52C4E0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</w:p>
    <w:p w14:paraId="6457B05F">
      <w:pPr>
        <w:widowControl/>
        <w:adjustRightInd w:val="0"/>
        <w:snapToGrid w:val="0"/>
        <w:spacing w:line="480" w:lineRule="exact"/>
        <w:jc w:val="center"/>
        <w:rPr>
          <w:rFonts w:ascii="楷体_GB2312" w:hAnsi="Times New Roman" w:eastAsia="楷体_GB2312"/>
          <w:b/>
          <w:bCs/>
          <w:sz w:val="36"/>
          <w:szCs w:val="36"/>
        </w:rPr>
      </w:pPr>
      <w:r>
        <w:rPr>
          <w:rFonts w:ascii="楷体_GB2312" w:hAnsi="Times New Roman" w:eastAsia="楷体_GB2312"/>
          <w:b/>
          <w:bCs/>
          <w:sz w:val="36"/>
          <w:szCs w:val="36"/>
        </w:rPr>
        <w:t>202</w:t>
      </w:r>
      <w:r>
        <w:rPr>
          <w:rFonts w:hint="eastAsia" w:ascii="楷体_GB2312" w:hAnsi="Times New Roman" w:eastAsia="楷体_GB2312"/>
          <w:b/>
          <w:bCs/>
          <w:sz w:val="36"/>
          <w:szCs w:val="36"/>
          <w:lang w:val="en-US" w:eastAsia="zh-CN"/>
        </w:rPr>
        <w:t>6</w:t>
      </w:r>
      <w:r>
        <w:rPr>
          <w:rFonts w:hint="eastAsia" w:ascii="楷体_GB2312" w:hAnsi="Times New Roman" w:eastAsia="楷体_GB2312"/>
          <w:b/>
          <w:bCs/>
          <w:sz w:val="36"/>
          <w:szCs w:val="36"/>
        </w:rPr>
        <w:t>年第十</w:t>
      </w:r>
      <w:r>
        <w:rPr>
          <w:rFonts w:hint="eastAsia" w:ascii="楷体_GB2312" w:hAnsi="Times New Roman" w:eastAsia="楷体_GB2312"/>
          <w:b/>
          <w:bCs/>
          <w:sz w:val="36"/>
          <w:szCs w:val="36"/>
          <w:lang w:val="en-US" w:eastAsia="zh-CN"/>
        </w:rPr>
        <w:t>一</w:t>
      </w:r>
      <w:r>
        <w:rPr>
          <w:rFonts w:hint="eastAsia" w:ascii="楷体_GB2312" w:hAnsi="Times New Roman" w:eastAsia="楷体_GB2312"/>
          <w:b/>
          <w:bCs/>
          <w:sz w:val="36"/>
          <w:szCs w:val="36"/>
        </w:rPr>
        <w:t>届全国密码技术竞赛作品设计报告</w:t>
      </w:r>
    </w:p>
    <w:p w14:paraId="1316150A">
      <w:pPr>
        <w:widowControl/>
        <w:adjustRightInd w:val="0"/>
        <w:snapToGrid w:val="0"/>
        <w:spacing w:line="480" w:lineRule="exact"/>
        <w:jc w:val="center"/>
        <w:rPr>
          <w:rFonts w:ascii="楷体_GB2312" w:hAnsi="Times New Roman" w:eastAsia="楷体_GB2312"/>
          <w:bCs/>
          <w:sz w:val="28"/>
          <w:szCs w:val="28"/>
          <w:u w:val="single"/>
        </w:rPr>
      </w:pPr>
      <w:r>
        <w:rPr>
          <w:rFonts w:hint="eastAsia" w:ascii="楷体_GB2312" w:hAnsi="Times New Roman" w:eastAsia="楷体_GB2312"/>
          <w:bCs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539115</wp:posOffset>
                </wp:positionH>
                <wp:positionV relativeFrom="paragraph">
                  <wp:posOffset>213995</wp:posOffset>
                </wp:positionV>
                <wp:extent cx="4899660" cy="34290"/>
                <wp:effectExtent l="19050" t="19050" r="15240" b="2286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899803" cy="34506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42.45pt;margin-top:16.85pt;height:2.7pt;width:385.8pt;z-index:251659264;mso-width-relative:page;mso-height-relative:page;" filled="f" stroked="t" coordsize="21600,21600" o:gfxdata="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BBC8vj1QAAAAgBAAAPAAAAAAAAAAEAIAAAACIAAABkcnMvZG93bnJldi54bWxQ&#10;SwECFAAUAAAACACHTuJAsRge9PoBAADiAwAADgAAAAAAAAABACAAAAAkAQAAZHJzL2Uyb0RvYy54&#10;bWxQSwUGAAAAAAYABgBZAQAAkAUAAAAA&#10;">
                <v:fill on="f" focussize="0,0"/>
                <v:stroke weight="3pt"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5131E305">
      <w:pPr>
        <w:widowControl/>
        <w:adjustRightInd w:val="0"/>
        <w:snapToGrid w:val="0"/>
        <w:spacing w:line="480" w:lineRule="exact"/>
        <w:jc w:val="center"/>
        <w:rPr>
          <w:rFonts w:ascii="楷体_GB2312" w:hAnsi="Times New Roman" w:eastAsia="楷体_GB2312"/>
          <w:bCs/>
          <w:sz w:val="28"/>
          <w:szCs w:val="28"/>
          <w:u w:val="single"/>
        </w:rPr>
      </w:pPr>
    </w:p>
    <w:p w14:paraId="01DF0E1D">
      <w:pPr>
        <w:widowControl/>
        <w:adjustRightInd w:val="0"/>
        <w:snapToGrid w:val="0"/>
        <w:spacing w:line="480" w:lineRule="exact"/>
        <w:jc w:val="center"/>
        <w:rPr>
          <w:rFonts w:ascii="楷体_GB2312" w:hAnsi="Times New Roman" w:eastAsia="楷体_GB2312"/>
          <w:bCs/>
          <w:sz w:val="28"/>
          <w:szCs w:val="28"/>
          <w:u w:val="single"/>
        </w:rPr>
      </w:pPr>
    </w:p>
    <w:p w14:paraId="0D429881">
      <w:pPr>
        <w:widowControl/>
        <w:adjustRightInd w:val="0"/>
        <w:snapToGrid w:val="0"/>
        <w:spacing w:line="700" w:lineRule="exact"/>
        <w:ind w:firstLine="1680" w:firstLineChars="600"/>
        <w:rPr>
          <w:rFonts w:hint="eastAsia" w:ascii="华文中宋" w:hAnsi="华文中宋" w:eastAsia="华文中宋"/>
          <w:bCs/>
          <w:sz w:val="28"/>
          <w:szCs w:val="28"/>
          <w:u w:val="single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作品题目：ML-KEM 解封装实现的时间侧信道检测与常数时间防护（暂定题名）</w:t>
      </w:r>
      <w:r>
        <w:rPr>
          <w:rFonts w:hint="eastAsia" w:ascii="华文中宋" w:hAnsi="华文中宋" w:eastAsia="华文中宋"/>
          <w:bCs/>
          <w:sz w:val="28"/>
          <w:szCs w:val="28"/>
          <w:u w:val="single"/>
        </w:rPr>
        <w:t xml:space="preserve"/>
      </w:r>
      <w:r>
        <w:rPr>
          <w:rFonts w:ascii="华文中宋" w:hAnsi="华文中宋" w:eastAsia="华文中宋"/>
          <w:bCs/>
          <w:sz w:val="28"/>
          <w:szCs w:val="28"/>
          <w:u w:val="single"/>
        </w:rPr>
        <w:t xml:space="preserve"/>
      </w:r>
      <w:r>
        <w:rPr>
          <w:rFonts w:hint="eastAsia" w:ascii="华文中宋" w:hAnsi="华文中宋" w:eastAsia="华文中宋"/>
          <w:bCs/>
          <w:sz w:val="28"/>
          <w:szCs w:val="28"/>
          <w:u w:val="single"/>
        </w:rPr>
        <w:t xml:space="preserve"/>
      </w:r>
    </w:p>
    <w:p w14:paraId="4EE13EFD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</w:p>
    <w:p w14:paraId="323A5D9B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0A15B53C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7DD67DF5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28AB24EE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48B47AEE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4EDCC657">
      <w:pPr>
        <w:widowControl/>
        <w:adjustRightInd w:val="0"/>
        <w:snapToGrid w:val="0"/>
        <w:spacing w:line="600" w:lineRule="exact"/>
        <w:ind w:firstLine="560" w:firstLineChars="200"/>
        <w:jc w:val="center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2026 年 10 月 7 日</w:t>
      </w:r>
    </w:p>
    <w:p w14:paraId="06B1D532">
      <w:pPr>
        <w:widowControl/>
        <w:adjustRightInd w:val="0"/>
        <w:snapToGrid w:val="0"/>
        <w:spacing w:line="600" w:lineRule="exact"/>
        <w:ind w:firstLine="560" w:firstLineChars="200"/>
        <w:jc w:val="center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中国密码学会</w:t>
      </w:r>
    </w:p>
    <w:p w14:paraId="6F4C8D9E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  <w:sectPr>
          <w:pgSz w:w="11906" w:h="16838"/>
          <w:pgMar w:top="1134" w:right="1134" w:bottom="1134" w:left="1134" w:header="851" w:footer="992" w:gutter="0"/>
          <w:cols w:space="425" w:num="1"/>
          <w:docGrid w:type="lines" w:linePitch="312" w:charSpace="0"/>
        </w:sectPr>
      </w:pPr>
    </w:p>
    <w:tbl>
      <w:tblPr>
        <w:tblStyle w:val="7"/>
        <w:tblW w:w="8913" w:type="dxa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13"/>
      </w:tblGrid>
      <w:tr w14:paraId="01250D0B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6E1D7EA">
            <w:pPr>
              <w:jc w:val="center"/>
              <w:rPr>
                <w:sz w:val="24"/>
              </w:rPr>
            </w:pPr>
            <w:r>
              <w:rPr>
                <w:sz w:val="24"/>
              </w:rPr>
              <w:t xml:space="preserve">基本信息表</w:t>
            </w:r>
          </w:p>
        </w:tc>
      </w:tr>
      <w:tr w14:paraId="05860EC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5721B18">
            <w:pPr>
              <w:rPr>
                <w:spacing w:val="-8"/>
                <w:sz w:val="30"/>
              </w:rPr>
            </w:pPr>
            <w:r>
              <w:rPr>
                <w:spacing w:val="-8"/>
                <w:sz w:val="30"/>
              </w:rPr>
              <w:t xml:space="preserve">编号：[系统编号待填写]</w:t>
            </w:r>
          </w:p>
        </w:tc>
      </w:tr>
      <w:tr w14:paraId="7292356F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2F0FFCE">
            <w:pPr>
              <w:rPr>
                <w:spacing w:val="-8"/>
                <w:sz w:val="30"/>
              </w:rPr>
            </w:pPr>
            <w:r>
              <w:rPr>
                <w:spacing w:val="-8"/>
                <w:sz w:val="30"/>
              </w:rPr>
              <w:t xml:space="preserve">作品题目：ML-KEM 解封装实现的时间侧信道检测与常数时间防护（暂定题名）</w:t>
            </w:r>
          </w:p>
        </w:tc>
      </w:tr>
      <w:tr w14:paraId="4CC36284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9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</w:tcPr>
          <w:p w14:paraId="6E18E984">
            <w:pPr>
              <w:adjustRightInd w:val="0"/>
              <w:snapToGrid w:val="0"/>
              <w:spacing w:line="360" w:lineRule="auto"/>
              <w:ind w:left="1500" w:hanging="1500" w:hangingChars="500"/>
              <w:jc w:val="left"/>
              <w:rPr>
                <w:snapToGrid w:val="0"/>
                <w:sz w:val="24"/>
              </w:rPr>
            </w:pPr>
            <w:r>
              <w:rPr>
                <w:snapToGrid w:val="0"/>
                <w:sz w:val="24"/>
              </w:rPr>
              <w:t xml:space="preserve">作品类别：□软件设计 □硬件制作 ■工程实践 □密码技术应用 □其它</w:t>
            </w:r>
          </w:p>
        </w:tc>
      </w:tr>
      <w:tr w14:paraId="4B036C0F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05" w:hRule="atLeast"/>
          <w:jc w:val="center"/>
        </w:trPr>
        <w:tc>
          <w:tcPr>
            <w:tcW w:w="8913" w:type="dxa"/>
            <w:tcBorders>
              <w:top w:val="single" w:color="auto" w:sz="4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7EA73BA4">
            <w:pPr>
              <w:rPr>
                <w:sz w:val="30"/>
              </w:rPr>
            </w:pPr>
            <w:r>
              <w:rPr>
                <w:sz w:val="30"/>
              </w:rPr>
              <w:t xml:space="preserve">作品内容摘要：</w:t>
            </w:r>
          </w:p>
          <w:p w14:paraId="7EA73BA4">
            <w:pPr>
              <w:rPr>
                <w:sz w:val="30"/>
              </w:rPr>
            </w:pPr>
            <w:r>
              <w:rPr>
                <w:sz w:val="30"/>
              </w:rPr>
              <w:t xml:space="preserve">本作品构建C11本地审计与复算工程，接入固定ML-KEM-768便携C实现，用独立NIST向量、接口边界及版本等价验证功能。普通采集在完整解封装窗口内计时，保留逐次记录、公开输入流摘要、源码与产物身份。历史人工分支回归关联源码、机器码、名义统计与掩码对照，明确其教学审计边界。在真实4vCPU KVM/x86_64 Linux取得普通参考及三种编码无分支形态的实现的性能数据；在8个固定无秘密任务上，C与SciPy精确复算结果一致，完整进程墙钟比值中位数0.001389。作品提供统一入口、离线展示与干净复算。新受控防护时序闭环及非原作者执行仍缺，不把未检出、功能通过或复算更快解释为安全认证。</w:t>
            </w:r>
          </w:p>
        </w:tc>
      </w:tr>
      <w:tr w14:paraId="449FB0E5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87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5D556087">
            <w:pPr>
              <w:rPr>
                <w:sz w:val="30"/>
              </w:rPr>
            </w:pPr>
            <w:r>
              <w:rPr>
                <w:sz w:val="30"/>
              </w:rPr>
              <w:t xml:space="preserve">关键词（五个）：ML-KEM；时间侧信道；常数时间；证据资格；可复现性</w:t>
            </w:r>
          </w:p>
        </w:tc>
      </w:tr>
    </w:tbl>
    <w:p w14:paraId="3D5215B6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</w:p>
    <w:p w14:paraId="1117BCC3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sectPr>
          <w:headerReference r:id="rId3" w:type="default"/>
          <w:footerReference r:id="rId4" w:type="default"/>
          <w:pgSz w:w="11906" w:h="16838"/>
          <w:pgMar w:top="1134" w:right="1134" w:bottom="1134" w:left="1134" w:header="851" w:footer="992" w:gutter="0"/>
          <w:pgNumType w:start="1"/>
          <w:cols w:space="425" w:num="1"/>
          <w:docGrid w:type="lines" w:linePitch="312" w:charSpace="0"/>
        </w:sectPr>
      </w:pP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1.作品功能与性能说明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本作品处理ML-KEM软件解封装审计中常见的证据脱节：只有时间差而缺少对象身份，只有源码改造而缺少实际产物，或者把未检出与安全认证混为一谈。工程将功能、测量、分析、定位、防护和复现分为可核验步骤，使使用者能够判断一份结果支持到哪一层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可运行对象固定为ML-KEM-768；核心算法封装、随机源、输入生成、计时、统计与运行校验为C11。CMake/CTest是唯一构建测试来源。audit入口提供环境及源身份、功能检查、普通采集、描述分析、条件化成对分析、历史复算和离线HTML导出。没有远程服务或密钥恢复功能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当前成果包括独立功能证据、真实x86_64 Linux普通记录、历史人工机制防御案例及有限精确复算效率增量。正式批次比较在准备失败处停止，未执行K4/K16开发或20对确认。工程可用与竞赛所有要求达标是不同状态；后续章节保留尚未闭合的要求。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2.设计与实现方案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2.1 实现原理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ML-KEM库采用mlkem-native便携C后端的固定快照，完整提交见来源[2]，标准口径为2024年FIPS 203。公钥1184字节、私钥2400字节、密文1088字节、共享密钥32字节。上游源码和许可证原样保留；向量正确不代表FIPS模块认证。[1][2]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封装层首先检查指针和精确长度，避免短缓冲区进入固定长度内核。正确长度的无效密文继续走隐式拒绝，不向CLI暴露重加密验证标志。系统随机源失败向调用方传播；公开种子的确定性入口限实验夹具，不用于保护业务密钥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普通输入为valid、bit-flipped、random三类，比例1:1:1，全部长度1088字节。标签来自生成规则，不来自内部接受标志。输入生成、分配、结果消费及I/O位于计时窗口外，窗口内覆盖完整包装层与内核解封装。数据保存原始顺序，公开种子固定类别乱序，不删除普通长尾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程序记录时钟、单位、读钟及空窗自检、运行完成声明、实际可执行文件SHA3-256、源身份和编译条件。统一入口仅在数据结构和完成声明通过后导出描述页面；HTML完成写入后独占发布，失败产物保留为部分输出。默认使用归档机制案例，不构建旧主动机制计时入口。</w:t>
      </w:r>
    </w:p>
    <w:p>
      <w:pPr>
        <w:jc w:val="center"/>
        <w:keepNext/>
      </w:pPr>
      <w:r xmlns:a="http://schemas.openxmlformats.org/drawingml/2006/main" xmlns:pic="http://schemas.openxmlformats.org/drawingml/2006/picture">
        <w:drawing>
          <wp:inline distT="0" distB="0" distL="0" distR="0">
            <wp:extent cx="5486400" cy="2743200"/>
            <wp:docPr id="101" name="architecture" descr="图1 软件流程。实时普通记录、历史重分析和合成统计分别留证。"/>
            <wp:cNvGraphicFramePr/>
            <a:graphic>
              <a:graphicData uri="http://schemas.openxmlformats.org/drawingml/2006/picture">
                <pic:pic>
                  <pic:nvPicPr>
                    <pic:cNvPr id="101" name="architecture"/>
                    <pic:cNvPicPr/>
                  </pic:nvPicPr>
                  <pic:blipFill>
                    <a:blip r:embed="rIdA113Figure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2"/>
          <w:szCs w:val="28"/>
        </w:rPr>
      </w:pPr>
      <w:r>
        <w:t>图1 软件流程。实时普通记录、历史重分析和合成统计分别留证。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2.2运行结果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原生目标环境为Ubuntu 24.04.4、Linux 6.8.0-138、x86_64/KVM、4个vCPU，CPU型号字符串为AMD EPYC 9K65 192-Core Processor。192-Core是型号字符串，不是实例资源。正式普通产物为GCC 13.3.0、RelWithDebInfo、-O2 -g -DNDEBUG、无LTO及非sanitizer，外部taskset绑定CPU2。宿主频率、物理资源和调度无法由来宾控制。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前置参考三次各3000条，共9000条完整记录，均值分别47075.037、46237.526、46121.981ns。CLOCK_MONOTONIC报告分辨率1ns，观察最小正读钟增量19ns；表示单位和报告分辨率不能替代实际精度。每次保存10000个读钟增量及1000个空窗值，未扣开销。源、产物与数据见证据E01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统一入口已完成参考短采集并导出真实页面；短演示仅证明流程，不替代正式样本。历史20份五种子四版本数据生成40份报告，与归档逐字一致，未重新采集。功能、历史重分析及实时普通记录分别展示，避免把封存材料伪装成现场实验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2.3技术指标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接口以1088字节正确长度密文作为普通测量负载；每次固定100次预热。逐次CSV含运行、实现、类别、序号、纳秒值和单位；配套元数据保留源与产物身份。描述分位数按floor(p×(n−1)+0.5)零基下标，不插值。旧报告“nearest rank”名称不准确，但数值和历史兼容输出不改。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新的条件化分析限4—20个成对单位、相同调用数和有界整数时间差。令d_k为对内总耗时差，T为差值和的绝对值，枚举全部2^m种标签交换，上尾包含等值，alpha固定0.01。独立对内交换及无后效条件不足时输出证据不足；效应区间另需成对单位iid。程序资格声明不是外部独立审计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这是既有精确随机化方法的工程实现，并未首次提出。C11利用相邻交换状态更新整数和，避免浮点近似移动等值边界；独立手算及SciPy核对验证实现。真实参考后赋独立标签属于无秘密零效应控制，合成偏移属于统计夹具，不能写成密码泄露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3.系统测试与结果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3.1测试方案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测试分为功能与接口、记录与来源、统计正确性、失败传播、产物核对及作者复算。独立NIST向量提供预期答案，不由被测实现自产。源码和编译条件改变后，对受影响产物重建并执行必要检查；动态检查与正式测量分目录、分时执行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正常构建覆盖四版KAT、随机源失败、功能等价、CLI、向量及摘要、记录与数据资格、配对数学和预算失败、统计手算、工作流及源码导出。普通性能固定S02执行31项；后续只读复算S03增加到32项。有限模型校准S04新增卷积手算检查，原生固定源码的GCC普通与Clang动态各33项通过。各快照按其实际注册与执行解释，旧主动机制计时不在默认交付范围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参数、方法、成本边界与有限数据集合在观察确认结果前冻结。开发和确认分开；原始负结果、失败准备和未闭合成本保留，不换种子、改阈值或重开预算得到通过。软件夹具时间不进入真实平台性能结果。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3.2 功能测试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每版独立KAT覆盖25组KeyGen、25组Encaps、10组Decaps及20组密钥校验，解封装包含5组隐式拒绝。四版共320组独立用例；接口检查包括空指针及错误长度。三组对参考版的差分各覆盖64个公开种子和三类输入，拒绝样本另核对J(z∥c)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Apple M5/ARM64实现源的普通及ASan/UBSan检查通过。Linux普通测量固定S02在GCC及Clang动态各执行31项，后续只读验收32项；有限模型校准固定S04两种构建各33项。此前GCC sanitizer在既有人工补丁的符号转换警告处失败，原日志保留，没有关闭警告或修改封存补丁。动态检查不冒充正式性能产物。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统计正确性包含4个相同差的精确尾计数2/16、零总和16/16、全并列、整数边界、畸形数据及计划拒绝、覆盖拒绝和依赖资格不足。源码导出按清单验证，不含.git；构建身份明确为导出摘要，兼容字段不冒称Git提交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3.3 性能测试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普通性能在同一Linux目标、固定源码S02和6个运行块执行。每块三种编码无分支形态的实现分别3000正式及100预热，六种方法排列全部出现；三种实现共享该块公开种子、有序输入流和负载比例。18个完整运行，共54000条正式记录、1800次预热；采集过程中不并行安装、编译或其他测量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逐次数据支持单次P50/P90/P99；每运行均值独立保留，不池化成同样数量的独立任务。相对参考，hardened均值差101.959ns、相对开销0.220522%，探索性99%成对bootstrap区间−3.725至189.399ns；deployable差−30.101ns、开销−0.065103%，区间−240.918至193.997ns。区间均跨零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6个运行对的iid条件在KVM上未得到证明，bootstrap区间仅是该模型下的探索描述，不保证总体覆盖，也不作防护效果判定。hardened保留函数级O0控制，reference/deployable正常优化，比较同时包含优化和代码形态差异；不能把速度差完全归于安全防护。负开销允许存在，不能据此声称更安全。</w:t>
      </w:r>
    </w:p>
    <w:p>
      <w:pPr>
        <w:jc w:val="center"/>
        <w:keepNext/>
      </w:pPr>
      <w:r xmlns:a="http://schemas.openxmlformats.org/drawingml/2006/main" xmlns:pic="http://schemas.openxmlformats.org/drawingml/2006/picture">
        <w:drawing>
          <wp:inline distT="0" distB="0" distL="0" distR="0">
            <wp:extent cx="5486400" cy="2633472"/>
            <wp:docPr id="102" name="native-performance" descr="图2 全部18个普通运行均值。单位换算为微秒；非单次记录或总体置信区间，长尾及分位数见表1和原始数据。"/>
            <wp:cNvGraphicFramePr/>
            <a:graphic>
              <a:graphicData uri="http://schemas.openxmlformats.org/drawingml/2006/picture">
                <pic:pic>
                  <pic:nvPicPr>
                    <pic:cNvPr id="102" name="native-performance"/>
                    <pic:cNvPicPr/>
                  </pic:nvPicPr>
                  <pic:blipFill>
                    <a:blip r:embed="rIdA113Figure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3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2"/>
          <w:szCs w:val="28"/>
        </w:rPr>
      </w:pPr>
      <w:r>
        <w:t>图2 全部18个普通运行均值。单位换算为微秒；非单次记录或总体置信区间，长尾及分位数见表1和原始数据。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表1 原生普通运行的逐次分位数  单位ns  每运行3000条</w:t>
      </w:r>
    </w:p>
    <w:tbl>
      <w:tblPr>
        <w:tblW w:w="9638" w:type="dxa"/>
        <w:tblBorders>
          <w:top w:val="single" w:sz="4" w:color="8899A5"/>
          <w:left w:val="single" w:sz="4" w:color="8899A5"/>
          <w:bottom w:val="single" w:sz="4" w:color="8899A5"/>
          <w:right w:val="single" w:sz="4" w:color="8899A5"/>
          <w:insideH w:val="single" w:sz="4" w:color="8899A5"/>
          <w:insideV w:val="single" w:sz="4" w:color="8899A5"/>
        </w:tblBorders>
      </w:tblPr>
      <w:tr>
        <w:trPr>
          <w:tblHeader/>
        </w:trP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运行块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实现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均值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P50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P90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P99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1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reference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46193.517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45720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45949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54699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1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hardened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46148.423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45908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46058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50968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1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deployable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45925.623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45688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45829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50667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2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reference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46407.084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45538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48678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60098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2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hardened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46383.034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45849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46129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56419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2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deployable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46102.585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45578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45808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56459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3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reference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46206.193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45688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45929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55897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3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hardened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46350.749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45808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46029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56530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3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deployable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46209.969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45689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45909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56238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reference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46267.377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45729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45950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56348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hardened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46480.338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45929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46169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56799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deployable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46621.075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45779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47489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60619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reference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46261.240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45719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45950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56279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hardened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46401.231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45849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46089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56408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deployable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46241.867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45718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45938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56498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6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reference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46077.670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45540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45879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56389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6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hardened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46261.061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45719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45949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56549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6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deployable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46131.357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45579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45789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56479</w:t>
            </w:r>
          </w:p>
        </w:tc>
      </w:tr>
    </w:tbl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表1来源：E02/performance.report及同名CSV/meta；原始长尾完整保留。区间见正文，属于运行级条件描述。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3.4 测试数据与结果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历史人工回归在重加密所用消息编码中引入秘密相关分支。消息来自私钥参与的解密，源依赖与实际编译产物可以对应。hardened在相同优化控制下改用掩码，保持密码语义；deployable是正常优化下的编码形态对照。上游目标函数本来无分支，二者不是对上游新漏洞的修复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既有ARM64五种子四版本档案中，H1全零对全一主比较在预定1e−4阈值仅4/5显著；H2恒定组对变化组在1e−3阈值，人工回归5/5显著、reference/deployable各5/5未检出、hardened有1/5显著残差。两轮假设和阈值不同；固定消息组仅两个密文反复测量，名义p值不校正序列依赖。既有强措辞以统计审计限制为准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有限批次路线首次原生准备在GCC结构体初始化编译错误处停止，保留40000共同调用/3600秒未闭合预留。K4/K16开发、选择及20对确认未执行，没有稳定性收益或成本比值。后续可移植性修复和普通验收不能回填成该合同成功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统计主方向尚无超越正确配置dudect或RTLF的依据。dudect是自适应Welch检验族，RTLF理论涉及iid及有限方差，不能把既有相依记录误用造成的失败当胜利。[3][4] 备用方向采用SciPy1.16.3/NumPy2.3.5的精确成对交换、向量化、batch4096，与C使用相同20对整数数据、完整2^20分母、上尾含等值及同一检验统计量。[5]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开发2份固定文件、12次进程只用于兼容与选择；确认采用8份新冻结无秘密任务，每方法每份3次，共48次完整进程，精确尾计数及判定全部一致，原始CSV未变。每份最大C耗时均小于最小SciPy耗时，24个比值中位数0.001388504，范围0.001139408—0.001734854。SciPy总进程56.401718秒，C为0.080189秒；确认观察窗口56.487808秒，开发14.048571秒，均在固定总预算内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这支持限定任务的完整进程复算效率增量，启动、读取、统计和输出均计入；Python导入也计入基线。它不说明密码解封装加速、纯计算内核速度、误报率、检出率或密码安全性提高。8个固定任务不代表密码总体，未给总体速度置信区间。此前接口验证和研发完整墙钟未采集，不宣称全研发成本闭合。</w:t>
      </w:r>
    </w:p>
    <w:p>
      <w:pPr>
        <w:jc w:val="center"/>
        <w:keepNext/>
      </w:pPr>
      <w:r xmlns:a="http://schemas.openxmlformats.org/drawingml/2006/main" xmlns:pic="http://schemas.openxmlformats.org/drawingml/2006/picture">
        <w:drawing>
          <wp:inline distT="0" distB="0" distL="0" distR="0">
            <wp:extent cx="5486400" cy="2523744"/>
            <wp:docPr id="103" name="replay-efficiency" descr="图3 固定确认轮24个进程各自的成本合计。源为C观察报告；导入与启动计入SciPy，未作纯内核性能或密码安全声明。"/>
            <wp:cNvGraphicFramePr/>
            <a:graphic>
              <a:graphicData uri="http://schemas.openxmlformats.org/drawingml/2006/picture">
                <pic:pic>
                  <pic:nvPicPr>
                    <pic:cNvPr id="103" name="replay-efficiency"/>
                    <pic:cNvPicPr/>
                  </pic:nvPicPr>
                  <pic:blipFill>
                    <a:blip r:embed="rIdA113Figure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2"/>
          <w:szCs w:val="28"/>
        </w:rPr>
      </w:pPr>
      <w:r>
        <w:t>图3 固定确认轮24个进程各自的成本合计。源为C观察报告；导入与启动计入SciPy，未作纯内核性能或密码安全声明。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表2 有限效率确认  完整精确检验判定逐项一致</w:t>
      </w:r>
    </w:p>
    <w:tbl>
      <w:tblPr>
        <w:tblW w:w="9638" w:type="dxa"/>
        <w:tblBorders>
          <w:top w:val="single" w:sz="4" w:color="8899A5"/>
          <w:left w:val="single" w:sz="4" w:color="8899A5"/>
          <w:bottom w:val="single" w:sz="4" w:color="8899A5"/>
          <w:right w:val="single" w:sz="4" w:color="8899A5"/>
          <w:insideH w:val="single" w:sz="4" w:color="8899A5"/>
          <w:insideV w:val="single" w:sz="4" w:color="8899A5"/>
        </w:tblBorders>
      </w:tblPr>
      <w:tr>
        <w:trPr>
          <w:tblHeader/>
        </w:trP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项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结果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固定确认任务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8份新冻结文件，各20对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实际完整进程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48次，退出码全部0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比值中位数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0.001388504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比值范围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0.001139408—0.001734854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原始身份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CSV及冻结计划未修改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支持范围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限定完整进程复算效率</w:t>
            </w:r>
          </w:p>
        </w:tc>
      </w:tr>
    </w:tbl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t>3.5 有限模型统计校准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>在观察结果前固定12个成对单位。equal每对幅度为1，graded依次为1至12；差值为delta加正负幅度，五个效应值见表3。独立模型的全部4096种符号组合等概率；共同符号模型各仅两种结果。共40964份数据由C生成和验证，单位为合成ns，不是密码采集时间；没有新的ML-KEM解封装调用，不把模型当真实密码噪声分布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>每份数据分别用现有精确入口和另行实现的整数分布卷积核对，40964份尾计数全部一致；44份预先选定的SciPy审计也一致。独立零效应的误拒绝概率为26/4096和38/4096，均低于alpha=0.01；equal的结果与二项式手算吻合。表3保留全部效应结果，graded在效应4时仍只有353/4096检出；equal在效应1时的一份全零数据保留在分母中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>共同符号模型虽然均值为零，盲用独立交换规则时每个模型都是2/2拒绝；实际成对入口对四份依赖数据均返回证据不足。拒绝签收不等于把误报降至零。该补证支持固定有限模型的错误、检出和资格边界，未校准真实密码总体或真实序列依赖，不提供超越正确配置dudect/RTLF的检测证据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>表3 固定有限模型的原始拒绝数  每个独立模型4096种结果</w:t>
      </w:r>
    </w:p>
    <w:tbl>
      <w:tblPr>
        <w:tblW w:w="9638" w:type="dxa"/>
        <w:tblBorders>
          <w:top w:val="single" w:sz="4" w:color="8899A5"/>
          <w:left w:val="single" w:sz="4" w:color="8899A5"/>
          <w:bottom w:val="single" w:sz="4" w:color="8899A5"/>
          <w:right w:val="single" w:sz="4" w:color="8899A5"/>
          <w:insideH w:val="single" w:sz="4" w:color="8899A5"/>
          <w:insideV w:val="single" w:sz="4" w:color="8899A5"/>
        </w:tblBorders>
      </w:tblPr>
      <w:tr>
        <w:trPr>
          <w:tblHeader/>
        </w:trP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t>效应delta（合成ns）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t>equal拒绝数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t>graded拒绝数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t>0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t>26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t>38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t>1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t>794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t>48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t>2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t>4096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t>91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t>4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t>4096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t>353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t>12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t>4096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t>4096</w:t>
            </w:r>
          </w:p>
        </w:tc>
      </w:tr>
    </w:tbl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>表3来源：C02有限模型原始记录及C报告；效应0为模型内误拒绝，其余为该模型检出，不估计真实密码总体概率。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4.应用前景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作品可作为本地密码实现审计教学及工程复核工具。开发者可以先确认功能和接口，再保存普通运行的完整记录；使用者可从指定文件重分析，核对方法、源身份和限制，减少“只有一个p值”或“只看源码分支”的错误判断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适用范围是单机ML-KEM-768便携C实现、本地运行与离线复算。未来需要团队在批准的防御测试计划下取得新的受控防护前后数据、进行必要的因果分离，并由实际未参与实现的成员独立执行。云宿主控制不足、其他处理器、优化条件或网络环境的变化都需要新的身份和证据，不能用现有数字外推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5. 结论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作品已形成可运行的C11工程、统一使用入口、真实原生普通测量、历史防御案例档案、无秘密精确统计验证、限定强对照效率结果及原始数据复算材料。功能正确、记录完整、有限复算效率和密码安全是四类不同结论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演示的实际界面截图因工具本地文件访问策略受限，未取得；离线页面和真实程序日志已提供，截图需团队手工完成。未闭合项仍包括新受控防护时序闭环、历史差异的完整因果分离、运行独立性校准和真实非原作者执行。新平台普通性能与静态产物核验不能替代这些证据。作品编号、正式题名、实际分工、签字、意见和盖章由团队真实填写及完成；本报告不宣称已经正式提交或全部要求达标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6 来源与复现材料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ascii="楷体_GB2312" w:hAnsi="Times New Roman" w:eastAsia="楷体_GB2312"/>
          <w:bCs/>
          <w:sz w:val="28"/>
          <w:szCs w:val="28"/>
        </w:rPr>
        <w:t xml:space="preserve">[1] NIST. Module-Lattice-Based Key-Encapsulation Mechanism Standard. FIPS 203, 2024. https://csrc.nist.gov/pubs/fips/203/final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ascii="楷体_GB2312" w:hAnsi="Times New Roman" w:eastAsia="楷体_GB2312"/>
          <w:bCs/>
          <w:sz w:val="28"/>
          <w:szCs w:val="28"/>
        </w:rPr>
        <w:t xml:space="preserve">[2] pq-code-package. mlkem-native. 固定b3ba7b32773e657dd37f6f87bce82528459ad8a4；许可证见源码原件。https://github.com/pq-code-package/mlkem-native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ascii="楷体_GB2312" w:hAnsi="Times New Roman" w:eastAsia="楷体_GB2312"/>
          <w:bCs/>
          <w:sz w:val="28"/>
          <w:szCs w:val="28"/>
        </w:rPr>
        <w:t xml:space="preserve">[3] Reparaz O, Balasch J, Verbauwhede I. Dude, is my code constant time? DATE 2017；dudect固定dc269651fb2567e46755cfb2a13d3875592968b5。https://github.com/oreparaz/dudect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ascii="楷体_GB2312" w:hAnsi="Times New Roman" w:eastAsia="楷体_GB2312"/>
          <w:bCs/>
          <w:sz w:val="28"/>
          <w:szCs w:val="28"/>
        </w:rPr>
        <w:t xml:space="preserve">[4] Dunsche M, et al. With Great Power Come Great Side Channels: Statistical Timing Side-Channel Analyses with Bounded Type-1 Errors. USENIX Security 2024；已核对官方勘误。https://www.usenix.org/conference/usenixsecurity24/presentation/dunsche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ascii="楷体_GB2312" w:hAnsi="Times New Roman" w:eastAsia="楷体_GB2312"/>
          <w:bCs/>
          <w:sz w:val="28"/>
          <w:szCs w:val="28"/>
        </w:rPr>
        <w:t xml:space="preserve">[5] SciPy. permutation_test官方定义；对照实际版本SciPy1.16.3/NumPy2.3.5。https://docs.scipy.org/doc/scipy/reference/generated/scipy.stats.permutation_test.html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ascii="楷体_GB2312" w:hAnsi="Times New Roman" w:eastAsia="楷体_GB2312"/>
          <w:bCs/>
          <w:sz w:val="28"/>
          <w:szCs w:val="28"/>
        </w:rPr>
        <w:t xml:space="preserve">[6] clangover机制出处固定7f4d5dc162b77c362a34a0d52949f7a3e1b16d81，原对象是旧Kyber，不能冒称FIPS 203。https://github.com/antoonpurnal/clangover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证据索引：E01原生参考前置；E02原生普通三实现性能及产物；H01历史人工回归与统计审计；C01精确复算效率确认；C02无秘密有限模型校准；R01干净作者复现。分发清单采用相对路径与角色编号，内部原件不改；数值CSV保持原字节，转换后的元数据有新的分发摘要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复现入口：cmake --preset baseline；cmake --build --preset baseline --parallel 4；build/cmake/audit check。历史复算：audit replay 源码目录 新目录；成对复算：audit analyze-pairs CSV PLAN 新报告；模型校准：audit calibrate 新目录。真实独立执行仍需实际执行者保留源/数据摘要、命令、退出码、差异及签收记录。</w:t>
      </w:r>
    </w:p>
    <w:sectPr>
      <w:pgSz w:w="11906" w:h="16838"/>
      <w:pgMar w:top="1134" w:right="1134" w:bottom="1134" w:left="113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KSOFF9CBECC6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414236616"/>
      <w:docPartObj>
        <w:docPartGallery w:val="autotext"/>
      </w:docPartObj>
    </w:sdtPr>
    <w:sdtEndPr>
      <w:rPr>
        <w:rFonts w:ascii="Times New Roman" w:hAnsi="Times New Roman" w:cs="Times New Roman"/>
      </w:rPr>
    </w:sdtEndPr>
    <w:sdtContent>
      <w:p w14:paraId="212440BD">
        <w:pPr>
          <w:pStyle w:val="5"/>
          <w:jc w:val="center"/>
          <w:rPr>
            <w:rFonts w:ascii="Times New Roman" w:hAnsi="Times New Roman" w:cs="Times New Roman"/>
          </w:rPr>
        </w:pP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 xml:space="preserve">PAGE   \* MERGEFORMAT</w:instrText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  <w:lang w:val="zh-CN"/>
          </w:rPr>
          <w:t>1</w:t>
        </w:r>
        <w:r>
          <w:rPr>
            <w:rFonts w:ascii="Times New Roman" w:hAnsi="Times New Roman" w:cs="Times New Roman"/>
          </w:rPr>
          <w:fldChar w:fldCharType="end"/>
        </w:r>
      </w:p>
    </w:sdtContent>
  </w:sdt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F00957">
    <w:pPr>
      <w:pStyle w:val="6"/>
    </w:pPr>
    <w:r>
      <w:rPr>
        <w:rFonts w:hint="eastAsia"/>
      </w:rPr>
      <w:t>全国密码技术竞赛作品设计报告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D3B4D"/>
    <w:rsid w:val="0001769F"/>
    <w:rsid w:val="00035012"/>
    <w:rsid w:val="00075049"/>
    <w:rsid w:val="00090885"/>
    <w:rsid w:val="00146555"/>
    <w:rsid w:val="00161B1B"/>
    <w:rsid w:val="00175070"/>
    <w:rsid w:val="00186455"/>
    <w:rsid w:val="00191B02"/>
    <w:rsid w:val="001A47C8"/>
    <w:rsid w:val="001B1DB6"/>
    <w:rsid w:val="001C1D17"/>
    <w:rsid w:val="001C6D92"/>
    <w:rsid w:val="001D3664"/>
    <w:rsid w:val="001E1D13"/>
    <w:rsid w:val="0022689B"/>
    <w:rsid w:val="00256BB7"/>
    <w:rsid w:val="002774FA"/>
    <w:rsid w:val="002822D8"/>
    <w:rsid w:val="002845D6"/>
    <w:rsid w:val="002A4EA5"/>
    <w:rsid w:val="003141E7"/>
    <w:rsid w:val="00332691"/>
    <w:rsid w:val="0034273A"/>
    <w:rsid w:val="0039611F"/>
    <w:rsid w:val="00425721"/>
    <w:rsid w:val="00432817"/>
    <w:rsid w:val="00434101"/>
    <w:rsid w:val="0043470B"/>
    <w:rsid w:val="00466388"/>
    <w:rsid w:val="004F4C94"/>
    <w:rsid w:val="00513A12"/>
    <w:rsid w:val="00517279"/>
    <w:rsid w:val="00547813"/>
    <w:rsid w:val="00554F5D"/>
    <w:rsid w:val="0057300D"/>
    <w:rsid w:val="00574703"/>
    <w:rsid w:val="005822FE"/>
    <w:rsid w:val="0059419A"/>
    <w:rsid w:val="005F7A30"/>
    <w:rsid w:val="00611E07"/>
    <w:rsid w:val="00621AF2"/>
    <w:rsid w:val="00631E26"/>
    <w:rsid w:val="0063657D"/>
    <w:rsid w:val="00664B42"/>
    <w:rsid w:val="0067271A"/>
    <w:rsid w:val="00677002"/>
    <w:rsid w:val="00687301"/>
    <w:rsid w:val="006D30A0"/>
    <w:rsid w:val="006D3B4D"/>
    <w:rsid w:val="006F3184"/>
    <w:rsid w:val="00731E6B"/>
    <w:rsid w:val="00747B59"/>
    <w:rsid w:val="00766607"/>
    <w:rsid w:val="0077465F"/>
    <w:rsid w:val="007817EC"/>
    <w:rsid w:val="007D255F"/>
    <w:rsid w:val="007E6BB3"/>
    <w:rsid w:val="008201D9"/>
    <w:rsid w:val="00830906"/>
    <w:rsid w:val="00845996"/>
    <w:rsid w:val="00847781"/>
    <w:rsid w:val="00863E71"/>
    <w:rsid w:val="008F5F36"/>
    <w:rsid w:val="00903383"/>
    <w:rsid w:val="00934DCF"/>
    <w:rsid w:val="00946FD5"/>
    <w:rsid w:val="009733E4"/>
    <w:rsid w:val="009943D4"/>
    <w:rsid w:val="009A03F1"/>
    <w:rsid w:val="009F6678"/>
    <w:rsid w:val="00A2005F"/>
    <w:rsid w:val="00A21582"/>
    <w:rsid w:val="00A40871"/>
    <w:rsid w:val="00A41124"/>
    <w:rsid w:val="00AA005E"/>
    <w:rsid w:val="00AB58A4"/>
    <w:rsid w:val="00AD1EA7"/>
    <w:rsid w:val="00AF2C1B"/>
    <w:rsid w:val="00AF71EF"/>
    <w:rsid w:val="00AF784B"/>
    <w:rsid w:val="00AF7905"/>
    <w:rsid w:val="00B15194"/>
    <w:rsid w:val="00B40659"/>
    <w:rsid w:val="00B64376"/>
    <w:rsid w:val="00B711FB"/>
    <w:rsid w:val="00B938E4"/>
    <w:rsid w:val="00BC477C"/>
    <w:rsid w:val="00BC5F07"/>
    <w:rsid w:val="00BD2BD8"/>
    <w:rsid w:val="00C15503"/>
    <w:rsid w:val="00C22111"/>
    <w:rsid w:val="00C30983"/>
    <w:rsid w:val="00C33189"/>
    <w:rsid w:val="00C649BD"/>
    <w:rsid w:val="00CB56D2"/>
    <w:rsid w:val="00CC465B"/>
    <w:rsid w:val="00CC620C"/>
    <w:rsid w:val="00CD077A"/>
    <w:rsid w:val="00D22DCE"/>
    <w:rsid w:val="00D3438E"/>
    <w:rsid w:val="00D414A2"/>
    <w:rsid w:val="00D42866"/>
    <w:rsid w:val="00D9024E"/>
    <w:rsid w:val="00DD00B4"/>
    <w:rsid w:val="00DE0776"/>
    <w:rsid w:val="00E219F6"/>
    <w:rsid w:val="00E42F92"/>
    <w:rsid w:val="00E46B6F"/>
    <w:rsid w:val="00E60254"/>
    <w:rsid w:val="00E80179"/>
    <w:rsid w:val="00E966EE"/>
    <w:rsid w:val="00EA59BD"/>
    <w:rsid w:val="00EA77A6"/>
    <w:rsid w:val="00ED492E"/>
    <w:rsid w:val="00EF686B"/>
    <w:rsid w:val="00F81DAA"/>
    <w:rsid w:val="00F84C28"/>
    <w:rsid w:val="00FA04FA"/>
    <w:rsid w:val="00FB1F38"/>
    <w:rsid w:val="00FB7EE9"/>
    <w:rsid w:val="00FD3354"/>
    <w:rsid w:val="00FE0607"/>
    <w:rsid w:val="00FF3324"/>
    <w:rsid w:val="0FAA12E4"/>
    <w:rsid w:val="4C7C2AD2"/>
    <w:rsid w:val="79F71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6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character" w:customStyle="1" w:styleId="9">
    <w:name w:val="页眉 字符"/>
    <w:basedOn w:val="8"/>
    <w:link w:val="6"/>
    <w:qFormat/>
    <w:uiPriority w:val="99"/>
    <w:rPr>
      <w:sz w:val="18"/>
      <w:szCs w:val="18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批注框文本 字符"/>
    <w:basedOn w:val="8"/>
    <w:link w:val="4"/>
    <w:semiHidden/>
    <w:uiPriority w:val="99"/>
    <w:rPr>
      <w:rFonts w:ascii="Calibri" w:hAnsi="Calibri" w:eastAsia="宋体" w:cs="Times New Roman"/>
      <w:sz w:val="18"/>
      <w:szCs w:val="18"/>
    </w:rPr>
  </w:style>
  <w:style w:type="character" w:customStyle="1" w:styleId="12">
    <w:name w:val="QB正文 Char"/>
    <w:link w:val="13"/>
    <w:uiPriority w:val="0"/>
    <w:rPr>
      <w:rFonts w:ascii="宋体"/>
    </w:rPr>
  </w:style>
  <w:style w:type="paragraph" w:customStyle="1" w:styleId="13">
    <w:name w:val="QB正文"/>
    <w:basedOn w:val="1"/>
    <w:link w:val="12"/>
    <w:qFormat/>
    <w:uiPriority w:val="0"/>
    <w:pPr>
      <w:widowControl/>
      <w:autoSpaceDE w:val="0"/>
      <w:autoSpaceDN w:val="0"/>
      <w:spacing w:line="300" w:lineRule="auto"/>
      <w:ind w:firstLine="200" w:firstLineChars="200"/>
    </w:pPr>
    <w:rPr>
      <w:rFonts w:ascii="宋体" w:hAnsiTheme="minorHAnsi" w:eastAsiaTheme="minorEastAsia" w:cstheme="minorBidi"/>
    </w:rPr>
  </w:style>
  <w:style w:type="paragraph" w:customStyle="1" w:styleId="14">
    <w:name w:val="p15"/>
    <w:basedOn w:val="1"/>
    <w:qFormat/>
    <w:uiPriority w:val="0"/>
    <w:pPr>
      <w:widowControl/>
      <w:ind w:firstLine="420"/>
    </w:pPr>
    <w:rPr>
      <w:rFonts w:ascii="Times New Roman" w:hAnsi="Times New Roman"/>
      <w:kern w:val="0"/>
      <w:szCs w:val="21"/>
    </w:rPr>
  </w:style>
  <w:style w:type="paragraph" w:customStyle="1" w:styleId="15">
    <w:name w:val="p0"/>
    <w:basedOn w:val="1"/>
    <w:uiPriority w:val="0"/>
    <w:pPr>
      <w:widowControl/>
    </w:pPr>
    <w:rPr>
      <w:rFonts w:ascii="Times New Roman" w:hAnsi="Times New Roman"/>
      <w:kern w:val="0"/>
      <w:szCs w:val="21"/>
    </w:rPr>
  </w:style>
  <w:style w:type="character" w:customStyle="1" w:styleId="16">
    <w:name w:val="标题 1 字符"/>
    <w:basedOn w:val="8"/>
    <w:link w:val="2"/>
    <w:uiPriority w:val="9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7">
    <w:name w:val="标题 2 字符"/>
    <w:basedOn w:val="8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A113Figure1" Type="http://schemas.openxmlformats.org/officeDocument/2006/relationships/image" Target="media/a113-architecture.png"/><Relationship Id="rIdA113Figure2" Type="http://schemas.openxmlformats.org/officeDocument/2006/relationships/image" Target="media/a113-native-performance.png"/><Relationship Id="rIdA113Figure3" Type="http://schemas.openxmlformats.org/officeDocument/2006/relationships/image" Target="media/a113-replay-efficiency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EEFF8F8-817C-46C2-B7C0-7F1D2A20EB1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4</Pages>
  <Words>236</Words>
  <Characters>243</Characters>
  <Lines>3</Lines>
  <Paragraphs>1</Paragraphs>
  <TotalTime>24</TotalTime>
  <ScaleCrop>false</ScaleCrop>
  <LinksUpToDate>false</LinksUpToDate>
  <CharactersWithSpaces>309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2019-09-14T06:53:00Z</dcterms:created>
  <dc:creator/>
  <cp:lastModifiedBy/>
  <dcterms:modified xsi:type="dcterms:W3CDTF">2026-09-20T07:09:28Z</dcterms:modified>
  <dc:title/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RubyTemplateID" linkTarget="0">
    <vt:lpwstr>6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eyJoZGlkIjoiNWQ5ZDQyNWExM2I5OGFkYzI5NTUwZWI3YjM5NzhlYzciLCJ1c2VySWQiOiIxNTUxNjk3NTg4In0=</vt:lpwstr>
  </property>
  <property fmtid="{D5CDD505-2E9C-101B-9397-08002B2CF9AE}" pid="5" name="ICV">
    <vt:lpwstr>3C07B40A024C48A48B1C0127491CFB76_12</vt:lpwstr>
  </property>
</Properties>
</file>