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  <w:b/>
          <w:color w:val="000000"/>
          <w:sz w:val="44"/>
        </w:rPr>
        <w:t>A1 13 现有规划与后续验收流程</w:t>
      </w:r>
    </w:p>
    <w:p>
      <w:pPr>
        <w:widowControl/>
        <w:spacing w:after="240"/>
      </w:pPr>
      <w:r>
        <w:rPr>
          <w:rFonts w:ascii="Arial" w:hAnsi="Arial" w:eastAsia="Heiti SC"/>
          <w:b w:val="0"/>
          <w:color w:val="000000"/>
          <w:sz w:val="20"/>
        </w:rPr>
        <w:t>2026 年 10 月 7 日  ·  供项目组推进与验收使用</w:t>
      </w:r>
    </w:p>
    <w:p>
      <w:pPr>
        <w:widowControl/>
        <w:spacing w:after="140"/>
      </w:pPr>
      <w:r>
        <w:rPr>
          <w:rFonts w:ascii="Arial" w:hAnsi="Arial" w:eastAsia="Heiti SC"/>
          <w:b/>
          <w:color w:val="000000"/>
          <w:sz w:val="21"/>
        </w:rPr>
        <w:t>我们已经形成八项与题目对应的规划，覆盖 R01 至 R12。</w:t>
      </w:r>
      <w:r>
        <w:rPr>
          <w:rFonts w:ascii="Arial" w:hAnsi="Arial" w:eastAsia="Heiti SC"/>
          <w:b w:val="0"/>
          <w:color w:val="000000"/>
          <w:sz w:val="21"/>
        </w:rPr>
        <w:t>现有工程、官方报告和匿名包已有验收记录；R01、R03、R10 在限定范围内签收，其余项目仍有不同程度的证据缺口。下一阶段集中补齐关键证据，并安排真实队员执行复算和截图。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本文件区分规划、软件实现、实际实验和结论验收。它用于说明已有安排和下一步分工，不改变官方要求、既定验收条件或封存结果。[S1–S3]</w:t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一 已经形成的八项规划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86"/>
        <w:gridCol w:w="1446"/>
        <w:gridCol w:w="6406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8"/>
              </w:rPr>
              <w:t>已有规划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18"/>
              </w:rPr>
              <w:t>对应要求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18"/>
              </w:rPr>
              <w:t>安排与当前进展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规范实现与工程规范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R01 及工程约定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采用 C11 与固定 ML-KEM-768 参考库，独立公开向量、边界和随机源失败检查；main 分模块提交，核心软件已实现。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输入和可靠计时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R02 R03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区分生成标签与内部验证结果；完整解封装计时、原始长尾和环境身份留档。已有原生普通记录，宿主干扰仍受限。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统计和数据资格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既有统计分析与整数精确复算并存；校验输入、时钟和成本。有限模型与后赋标签控制已执行，适用范围单列。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定位和防护案例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R05 R06 R07 R10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保存历史人工机制回归、源码与产物证据、功能保持对照。新的完整受控防护证据尚未取得。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原生平台与性能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R08 R09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固定 x86_64 Linux 云实例、编译条件与正式产物，动态检查分离。普通性能已采集，完整防护链仍缺。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有限比较与改进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有限批次路线已按准备失败停止；备用精确复算效率比较已确认，另做预导入成本复核，声明限于固定任务。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复算和证据封存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固定源码导出、数据摘要和离线复算入口；作者代理干净复算已完成，真实非原作者执行模板已备。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报告展示与匿名交付</w:t>
            </w:r>
          </w:p>
        </w:tc>
        <w:tc>
          <w:tcPr>
            <w:tcW w:type="dxa" w:w="144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交付要求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已有 13 页报告、离线展示、图源和匿名包；待真实运行截图、人员信息、审批签署及提交确认。</w:t>
            </w:r>
          </w:p>
        </w:tc>
      </w:tr>
    </w:tbl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widowControl/>
        <w:spacing w:after="140"/>
      </w:pPr>
      <w:r>
        <w:rPr>
          <w:rFonts w:ascii="Arial" w:hAnsi="Arial" w:eastAsia="Heiti SC"/>
          <w:b/>
          <w:color w:val="000000"/>
          <w:sz w:val="20"/>
        </w:rPr>
        <w:t>当前判断：</w:t>
      </w:r>
      <w:r>
        <w:rPr>
          <w:rFonts w:ascii="Arial" w:hAnsi="Arial" w:eastAsia="Heiti SC"/>
          <w:b w:val="0"/>
          <w:color w:val="000000"/>
          <w:sz w:val="20"/>
        </w:rPr>
        <w:t>规划已覆盖题目，但新的受控防护补证尚未形成已落实人员、完整输入和实际数据的执行闭环。不能把覆盖要求的目录或文档数量当成全部达标。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二 要求对应与证据状态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以下沿用现有验收表。范围内签收仅表示所列证据足以支持对应的有限结论；部分签收表示已经有工作成果，但剩余条件仍须落实。[S2]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139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要求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已规划与已完成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当前状态及剩余工作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R01</w:t>
              <w:br/>
              <w:t>功能正确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固定第三方版本及许可证；公开 NIST 向量、隐式拒绝、接口边界、差分及随机源失败检查。已有四版共 320 组向量检查记录。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范围内签收。不能据此称获得 FIPS 模块认证，也不能把往返自检代替独立向量验证。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R02</w:t>
              <w:br/>
              <w:t>可靠测量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计时在 C 内覆盖完整解封装，生成、分配、消费与 I/O 在窗口外；保存源、产物、时钟、原始值及成本。已有原生普通数据。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部分签收。KVM 宿主频率和调度不可完全控制，序列独立性及总体误差仍有限。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R03</w:t>
              <w:br/>
              <w:t>输入意义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普通输入有正常、位翻转、随机三类，正确长度均为 1088 字节；短长度在封装层拒绝。历史机制标签单独解释。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范围内签收。生成方式不等于内部接受状态，重复密文不自动构成独立样本。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R04</w:t>
              <w:br/>
              <w:t>统计检测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已有统计审计、整数精确入口、40,964 份有限模型记录及 24,576 份后赋标签记录，分别做独立数值核验。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部分签收。有限模型和事后标签控制不能证明真实密码总体误报率、检出率或防护效果。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R05</w:t>
              <w:br/>
              <w:t>定位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历史案例关联源码秘密依赖、实际产物与观测；新增 Linux 静态对象可追溯，并明确平台与版本。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部分签收。当前没有新的完整受控定位证据；分支存在本身不能证明可利用泄露。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R06</w:t>
              <w:br/>
              <w:t>防护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已有历史人工回归的掩码对照、正常优化形态、数学语义和功能保持检查。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部分签收。上游目标原本已无分支，不能称发现并修复新上游漏洞，也不能称全库恒时认证。</w:t>
            </w:r>
          </w:p>
        </w:tc>
      </w:tr>
    </w:tbl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本轮使用的证据口径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E01 是原生参考版 9,000 条普通记录；E02 是三种无分支形态的 18 次普通运行，共 54,000 条正式记录。二者保存各自的来源和条件，不能与旧 ARM 数据混合后形成新的防护结论。[S2 S3]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C02 是有限合成模型；C04 使用封存参考时间上的后赋随机标签。它们验证限定统计模型和实现正确性，没有新增密码调用，也没有填补真实防护前后复测缺口。[S7]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三 剩余要求与贡献定位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139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要求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已规划与已完成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当前状态及剩余工作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R07</w:t>
              <w:br/>
              <w:t>防护复测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历史同平台前后观察和功能回归已保留，普通性能资料另列。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部分签收。新的完整受控防护前后数据、对应计划和来源记录仍缺，是核心证据缺口。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R08</w:t>
              <w:br/>
              <w:t>性能代价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E02 按六个块、18 次普通运行报告均值、分位数、成本和条件化区间，保留负开销。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部分签收。两项探索区间跨零；运行块独立性未充分证明，优化形态差异不能全部归为防护代价。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R09</w:t>
              <w:br/>
              <w:t>运行环境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Mac 历史资料及原生 Ubuntu 24.04.4 x86_64 普通功能、产物和计时证据均有记录。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部分签收。当前 Linux 目标是 4 vCPU KVM 云实例，非裸金属；完整的新受控防护链仍缺。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R10</w:t>
              <w:br/>
              <w:t>威胁模型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限定为本地白盒及公开测试材料，说明可控输入和可见输出，不推广为未知密钥或网络能力。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范围内签收。当前没有远程攻击成功率或密钥恢复结论。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R11</w:t>
              <w:br/>
              <w:t>复现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同一最终 ZIP 在原生新目录构建通过 34 项检查；历史、普通性能、精确统计和模型控制可复算。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部分签收。现有执行者仍为作者代理，缺少真实未参与实现者的执行记录和本人确认。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R12</w:t>
              <w:br/>
              <w:t>实证改进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正确配置 SciPy 的八个新任务共 48 次原确认计数一致；相同八任务另做 48 次预导入复核。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有限效率增量，整体部分。结论限定为精确复算流程效率，不能扩大为密码加速或检测、防护能力提高。</w:t>
            </w:r>
          </w:p>
        </w:tc>
      </w:tr>
    </w:tbl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可以作为亮点的已有成果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优先表述为：在固定成对任务和明确成本窗口下，C11 精确复算与强基线取得相同尾计数，并降低该流程的执行成本；同时将数据资格与统计观察分开报告。预导入复核的窗口比值中位数为 0.001562070，候选仍承担完整启动。该复核沿用原八任务，不能当作新的独立确认。[S6 S9]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官方 R12 要求在列举方向中至少一个方面有可复现实证改进，并不要求所有方向都创新。仍须说明这个有限效率增量与作品统计检测环节的关系；本文件不据此自动升级 R12 状态。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官方 R11 要求评测人员能够复现，并未逐字要求先取得另一位真实成员的日志。真实非原作者执行是本项目已采用的附加验收条件，继续保留。R09 的基础要求是至少一个环境完成完整实验，跨架构是进一步验证。[S1 S2]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四 下一阶段完整工作流程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先固定版本和缺口，再审计证据与安排真人执行；收到真实材料后修复、同步并封装。阶段二和阶段三可以并行。没有新问题时，不重复已有全套检查来代替补证。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1 固定验收对象</w:t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20"/>
        </w:rPr>
        <w:t>负责：Agent。核对当前匿名 ZIP、源码与数据清单、验收表。给独立执行者使用固定副本，保留现有封存物。</w:t>
      </w:r>
    </w:p>
    <w:p>
      <w:pPr>
        <w:widowControl/>
        <w:spacing w:after="100"/>
      </w:pPr>
      <w:r>
        <w:rPr>
          <w:rFonts w:ascii="Arial" w:hAnsi="Arial" w:eastAsia="Heiti SC"/>
          <w:b w:val="0"/>
          <w:color w:val="000000"/>
          <w:sz w:val="20"/>
        </w:rPr>
        <w:t>交付：版本标识、摘要及逐项缺口清单。 验收：文件身份一致；明确哪些是已有证据、哪些仍待取得。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2 审计防护证据</w:t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20"/>
        </w:rPr>
        <w:t>负责：Agent。检查已取得数据的来源、产物、环境可比性、功能检查、计划、原始值与成本。合格数据按适用方法复算，缺失项单列。</w:t>
      </w:r>
    </w:p>
    <w:p>
      <w:pPr>
        <w:widowControl/>
        <w:spacing w:after="100"/>
      </w:pPr>
      <w:r>
        <w:rPr>
          <w:rFonts w:ascii="Arial" w:hAnsi="Arial" w:eastAsia="Heiti SC"/>
          <w:b w:val="0"/>
          <w:color w:val="000000"/>
          <w:sz w:val="20"/>
        </w:rPr>
        <w:t>交付：证据索引、复算结果和支持结论清单。 验收：每个结论都有材料对应；未知成本不写零，回溯说明不充作事前计划。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3 真实队员独立执行</w:t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20"/>
        </w:rPr>
        <w:t>负责：未参与实现的队员。在新目录中解压固定包，按包内 README 构建、检查和复算，保存所有失败及协助记录。Agent 解释问题并核对输出。</w:t>
      </w:r>
    </w:p>
    <w:p>
      <w:pPr>
        <w:widowControl/>
        <w:spacing w:after="100"/>
      </w:pPr>
      <w:r>
        <w:rPr>
          <w:rFonts w:ascii="Arial" w:hAnsi="Arial" w:eastAsia="Heiti SC"/>
          <w:b w:val="0"/>
          <w:color w:val="000000"/>
          <w:sz w:val="20"/>
        </w:rPr>
        <w:t>交付：完整执行日志、输出目录、差异记录及本人确认。 验收：实际执行者和版本清楚；结果可核查，不能由作者代理代跑后请人署名。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4 人工截图与演示核对</w:t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20"/>
        </w:rPr>
        <w:t>负责：实际操作者与 Agent。操作者截取真实功能检查、普通现场运行、复算结果及离线页面。Agent 核对图文和匿名副本。</w:t>
      </w:r>
    </w:p>
    <w:p>
      <w:pPr>
        <w:widowControl/>
        <w:spacing w:after="100"/>
      </w:pPr>
      <w:r>
        <w:rPr>
          <w:rFonts w:ascii="Arial" w:hAnsi="Arial" w:eastAsia="Heiti SC"/>
          <w:b w:val="0"/>
          <w:color w:val="000000"/>
          <w:sz w:val="20"/>
        </w:rPr>
        <w:t>交付：原始截图、对应日志位置及图注。 验收：现场与封存结果标注准确；不改数字、不拼造结果，截图不替代原始数据。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5 修复并进行必要复验</w:t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20"/>
        </w:rPr>
        <w:t>负责：Agent 与实际执行者。针对发现的问题修复，完成必要检查、diff 审查和模块提交。影响结论的修改由队员补验，旧失败保留。</w:t>
      </w:r>
    </w:p>
    <w:p>
      <w:pPr>
        <w:widowControl/>
        <w:spacing w:after="100"/>
      </w:pPr>
      <w:r>
        <w:rPr>
          <w:rFonts w:ascii="Arial" w:hAnsi="Arial" w:eastAsia="Heiti SC"/>
          <w:b w:val="0"/>
          <w:color w:val="000000"/>
          <w:sz w:val="20"/>
        </w:rPr>
        <w:t>交付：新提交、变更说明、受影响范围的复验记录。 验收：main、提交身份和邮箱正确；不自动 push，不覆盖用户文件和旧证据。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6 同步并完成交付核验</w:t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20"/>
        </w:rPr>
        <w:t>负责：Agent 与项目负责人。同步报告、图表、演示和验收表，生成新匿名包；负责人填写真实编号、贡献及审批信息并完成正式提交。</w:t>
      </w:r>
    </w:p>
    <w:p>
      <w:pPr>
        <w:widowControl/>
        <w:spacing w:after="100"/>
      </w:pPr>
      <w:r>
        <w:rPr>
          <w:rFonts w:ascii="Arial" w:hAnsi="Arial" w:eastAsia="Heiti SC"/>
          <w:b w:val="0"/>
          <w:color w:val="000000"/>
          <w:sz w:val="20"/>
        </w:rPr>
        <w:t>交付：一致的报告和支撑包、摘要清单、最终验收表及实际提交回执。 验收：分别确认软件、实验、假设和全部要求状态；缺项不签收，负结果不删去。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五 真实队员操作与留证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开始之前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执行者应未参与代码实现，并如实说明其他参与和接受协助的情况。可使用现有服务器，不必购买新机器；使用同一服务器不产生跨机器验证证据。服务器权限由负责人通过正常授权方式提供，交付包不包含私钥。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取得第七节所列固定 ZIP，核对 SHA-256，解压到新目录。进入 source 目录后检查 CMake、C 编译器、Git 工具、patch、shasum 与 OpenSSL 是否可用。依赖不足时保留错误并联系 Agent 排查，不自行修改算法或统计参数。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保存实际操作过程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在 Ubuntu 终端中可使用系统 script 工具记录会话。先进入解压后的 source 目录，下面的 mktemp 会创建本次独有的日志目录；设置成功后再开始会话。会话结束输入 exit。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mkdir -p runs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execution_log_directory=$(mktemp -d "$PWD/runs/operator-log.XXXXXX")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script -q -e -f "$execution_log_directory/terminal.log"</w:t>
      </w:r>
    </w:p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0"/>
        </w:rPr>
        <w:t>会话中先完成以下入口；每条执行后都保留其状态。示例中的 echo 只记录上一条命令退出码。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cmake --preset baseline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echo "exit_code=$?"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cmake --build --preset baseline --parallel 4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echo "exit_code=$?"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build/cmake/audit version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echo "exit_code=$?"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build/cmake/audit check</w:t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echo "exit_code=$?"</w:t>
      </w:r>
    </w:p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0"/>
        </w:rPr>
        <w:t>任一命令失败时，先停止后续步骤，保留日志再处理。成功后按同一包内 source/README.md 继续执行历史、普通性能、精确统计和后赋标签复算；结果写入新路径。有限模型复算入口为 audit calibrate 新目录。不要使用旧文档中的历史检查数量作为本次通过标准。</w:t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截图和本人确认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0"/>
        </w:rPr>
        <w:t>截图覆盖版本与功能检查、普通现场运行、主要复算结果、离线展示四类画面。短演示只验证入口；封存结果标为封存结果。截图前隐藏个人目录和账号等无关信息，内部原始日志保留，公开副本另做匿名处理。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0"/>
        </w:rPr>
        <w:t>按独立执行模板填写真实执行人、参与情况、版本、环境、命令和退出码、结果差异、未执行事项、接受协助情况与日期。回传完整输出目录、原始截图和本人确认记录。Agent 核对材料后才能更新对应验收状态。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六 分工边界与最终验收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6"/>
        <w:gridCol w:w="4054"/>
        <w:gridCol w:w="4309"/>
      </w:tblGrid>
      <w:tr>
        <w:trPr>
          <w:cantSplit/>
          <w:tblHeader/>
        </w:trPr>
        <w:tc>
          <w:tcPr>
            <w:tcW w:type="dxa" w:w="127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事项</w:t>
            </w:r>
          </w:p>
        </w:tc>
        <w:tc>
          <w:tcPr>
            <w:tcW w:type="dxa" w:w="40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Agent 可以承担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需要本人或外部真实证据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工程与复算</w:t>
            </w:r>
          </w:p>
        </w:tc>
        <w:tc>
          <w:tcPr>
            <w:tcW w:type="dxa" w:w="40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功能核验、普通性能评估、已取得数据审计和离线复算、问题修复、报告与匿名包同步。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人员、签署、缺失原始资料不能由软件生成替代。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独立执行</w:t>
            </w:r>
          </w:p>
        </w:tc>
        <w:tc>
          <w:tcPr>
            <w:tcW w:type="dxa" w:w="40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准备说明、排查错误、核对结果并记录协助。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未参与实现者实际操作并确认；另一个 Agent 不自动构成独立人员。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真实截图</w:t>
            </w:r>
          </w:p>
        </w:tc>
        <w:tc>
          <w:tcPr>
            <w:tcW w:type="dxa" w:w="40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指定需要的画面、核对内容和匿名信息、编排图注。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按此前工具拒绝记录，需人工截取真实画面；不能绕过被禁止的访问路径。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防护研究证据</w:t>
            </w:r>
          </w:p>
        </w:tc>
        <w:tc>
          <w:tcPr>
            <w:tcW w:type="dxa" w:w="40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防护代码审查、功能保持检查、普通性能测量、已有防御评估数据分析。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Agent 不新建或重跑时序漏洞复现、泄露利用或密钥恢复流程，也不通过其他 Agent 代做。缺失证据继续单列。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结论与审批</w:t>
            </w:r>
          </w:p>
        </w:tc>
        <w:tc>
          <w:tcPr>
            <w:tcW w:type="dxa" w:w="40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按数据判断支持范围，保留负结果，准备可审查文件。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不能保证正面结果或伪造事前计划、成本和签名。编号、贡献、审批意见及回执由实际负责人确认。</w:t>
            </w:r>
          </w:p>
        </w:tc>
      </w:tr>
    </w:tbl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最终分别判断四种状态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78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签收条件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软件完成</w:t>
            </w:r>
          </w:p>
        </w:tc>
        <w:tc>
          <w:tcPr>
            <w:tcW w:type="dxa" w:w="78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固定版本在相应平台通过必要检查，产物和入口一致。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实验执行完成</w:t>
            </w:r>
          </w:p>
        </w:tc>
        <w:tc>
          <w:tcPr>
            <w:tcW w:type="dxa" w:w="78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固定方案规定的运行及记录完整，失败、负结果和成本保留。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研究假设成立</w:t>
            </w:r>
          </w:p>
        </w:tc>
        <w:tc>
          <w:tcPr>
            <w:tcW w:type="dxa" w:w="78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数据及适用条件支持该假设；实验完成不保证假设成立。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全部目标完成</w:t>
            </w:r>
          </w:p>
        </w:tc>
        <w:tc>
          <w:tcPr>
            <w:tcW w:type="dxa" w:w="78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所有既定必做要求均有充分证据；真实人员事项和正式交付已完成。</w:t>
            </w:r>
          </w:p>
        </w:tc>
      </w:tr>
    </w:tbl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pStyle w:val="Heading2"/>
      </w:pPr>
      <w:r>
        <w:rPr>
          <w:rFonts w:ascii="Arial" w:hAnsi="Arial" w:eastAsia="Heiti SC"/>
          <w:b/>
          <w:color w:val="000000"/>
          <w:sz w:val="23"/>
        </w:rPr>
        <w:t>遇到缺口时如何处理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0"/>
        </w:rPr>
        <w:t>缺少真实防护前后证据时，报告继续保留该限制，不能用普通性能、合成模型或事后标签控制关闭 R07。结果不支持预期时，交付结果和解释，相关要求继续保持未完成。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0"/>
        </w:rPr>
        <w:t>版本或数据摘要不一致时停止签收并核对来源；软件失败按新提交修复；人员或截图缺失时仅保留对应待办，不把它扩大为整个工程环境故障。未经用户明确调整，既定验收条件不降低。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b/>
          <w:color w:val="000000"/>
          <w:sz w:val="30"/>
        </w:rPr>
        <w:t>七 文件入口与版本记录</w:t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21"/>
        </w:rPr>
        <w:t>核验日期为 2026 年 10 月 7 日。仓库核验起点为 f7befaa，以下材料定位均相对于仓库根目录。阅读顺序建议为 S1、S2、S3，再按工作内容查阅对应方案。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636"/>
        <w:gridCol w:w="6321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7EDF3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文件位置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S1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官方题面及原件说明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docs/reference/official-2026/A1-13-original.docx</w:t>
              <w:br/>
              <w:t>docs/reference/official-2026/README.md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S2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当前 R01 至 R12 验收状态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docs/full-work-acceptance.md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S3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完成性审计与实际进度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docs/completion-audit-20261007.md</w:t>
              <w:br/>
              <w:t>docs/full-work-progress.md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S4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工程约定与参考验收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AGENTS.md</w:t>
              <w:br/>
              <w:t>docs/style.md</w:t>
              <w:br/>
              <w:t>docs/reference-recheck.md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S5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计时及已停止的批次路线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docs/timing.md</w:t>
              <w:br/>
              <w:t>docs/next-comparison.md</w:t>
              <w:br/>
              <w:t>docs/batch-execution-v1.md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S6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精确复算效率比较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docs/controlled-comparison-v1.md</w:t>
              <w:br/>
              <w:t>docs/warm-replay-supplement-v1.md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S7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有限模型及后赋标签控制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docs/finite-calibration-v1.md</w:t>
              <w:br/>
              <w:t>docs/reference-label-control-v1.md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S8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历史防御案例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docs/defensive-case.md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S9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产品入口与贡献表述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docs/product-workflow.md</w:t>
              <w:br/>
              <w:t>docs/contribution-positioning.md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S10</w:t>
            </w:r>
          </w:p>
        </w:tc>
        <w:tc>
          <w:tcPr>
            <w:tcW w:type="dxa" w:w="2636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固定支撑包与真人交接</w:t>
            </w:r>
          </w:p>
        </w:tc>
        <w:tc>
          <w:tcPr>
            <w:tcW w:type="dxa" w:w="63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deliverables/support/revision-ef20a33/README.md</w:t>
              <w:br/>
              <w:t>deliverables/demo/独立执行记录模板.md</w:t>
              <w:br/>
              <w:t>deliverables/demo/演示说明.md</w:t>
            </w:r>
          </w:p>
        </w:tc>
      </w:tr>
    </w:tbl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widowControl/>
        <w:spacing w:after="80"/>
      </w:pPr>
      <w:r>
        <w:rPr>
          <w:rFonts w:ascii="Arial" w:hAnsi="Arial" w:eastAsia="Heiti SC"/>
          <w:b w:val="0"/>
          <w:color w:val="000000"/>
          <w:sz w:val="18"/>
        </w:rPr>
        <w:t>当前固定包：deliverables/support/revision-ef20a33/待编号-2026密码竞赛复赛相关支撑材料.zip</w:t>
      </w:r>
    </w:p>
    <w:p>
      <w:pPr>
        <w:widowControl/>
        <w:spacing w:after="40"/>
      </w:pPr>
      <w:r>
        <w:rPr>
          <w:rFonts w:ascii="Arial" w:hAnsi="Arial" w:eastAsia="Heiti SC"/>
          <w:b/>
          <w:color w:val="000000"/>
          <w:sz w:val="18"/>
        </w:rPr>
        <w:t>ZIP 的 SHA-256 摘要</w:t>
      </w:r>
      <w:r>
        <w:rPr>
          <w:rFonts w:ascii="Arial" w:hAnsi="Arial" w:eastAsia="Heiti SC"/>
          <w:b w:val="0"/>
          <w:color w:val="000000"/>
          <w:sz w:val="18"/>
        </w:rPr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2745db7fa6d402a2875b69cfe84828a99cb03407f629bbef7345835d628dfb56</w:t>
      </w:r>
    </w:p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widowControl/>
        <w:spacing w:after="40"/>
      </w:pPr>
      <w:r>
        <w:rPr>
          <w:rFonts w:ascii="Arial" w:hAnsi="Arial" w:eastAsia="Heiti SC"/>
          <w:b/>
          <w:color w:val="000000"/>
          <w:sz w:val="18"/>
        </w:rPr>
        <w:t>源码导出清单的 SHA-256 摘要</w:t>
      </w:r>
      <w:r>
        <w:rPr>
          <w:rFonts w:ascii="Arial" w:hAnsi="Arial" w:eastAsia="Heiti SC"/>
          <w:b w:val="0"/>
          <w:color w:val="000000"/>
          <w:sz w:val="18"/>
        </w:rPr>
      </w:r>
    </w:p>
    <w:p>
      <w:pPr>
        <w:spacing w:after="40" w:line="252" w:lineRule="auto"/>
      </w:pPr>
      <w:r>
        <w:rPr>
          <w:rFonts w:ascii="Menlo" w:hAnsi="Menlo" w:eastAsia="Heiti SC"/>
          <w:b w:val="0"/>
          <w:color w:val="000000"/>
          <w:sz w:val="17"/>
        </w:rPr>
        <w:t>3ecb7af73355140a9951092c735bc2f7829e2217af055b257da78ba4d28c3823</w:t>
      </w:r>
    </w:p>
    <w:p>
      <w:pPr>
        <w:widowControl/>
        <w:spacing w:after="40"/>
      </w:pPr>
      <w:r>
        <w:rPr>
          <w:rFonts w:ascii="Arial" w:hAnsi="Arial" w:eastAsia="Heiti SC"/>
          <w:b w:val="0"/>
          <w:color w:val="000000"/>
          <w:sz w:val="21"/>
        </w:rPr>
      </w:r>
    </w:p>
    <w:p>
      <w:pPr>
        <w:widowControl/>
        <w:spacing w:after="140"/>
      </w:pPr>
      <w:r>
        <w:rPr>
          <w:rFonts w:ascii="Arial" w:hAnsi="Arial" w:eastAsia="Heiti SC"/>
          <w:b w:val="0"/>
          <w:color w:val="000000"/>
          <w:sz w:val="18"/>
        </w:rPr>
        <w:t>本次整理重新核对了现有方案、官方要求和 ZIP 摘要；34 项检查及各类复算结果引用既有验收记录，本次没有重新执行实验。此工作说明单独交付，不直接加入已封存匿名包。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b w:val="0"/>
        <w:color w:val="000000"/>
        <w:sz w:val="18"/>
      </w:rPr>
      <w:t xml:space="preserve">第 </w:t>
    </w:r>
    <w:fldSimple w:instr="PAGE"/>
    <w:r>
      <w:rPr>
        <w:rFonts w:ascii="Arial" w:hAnsi="Arial" w:eastAsia="Heiti SC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300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00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40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13 现有规划与后续验收流程</dc:title>
  <dc:subject>已有规划与题目要求的对应关系及后续验收流程</dc:subject>
  <dc:creator>cryProject</dc:creator>
  <cp:keywords/>
  <dc:description/>
  <cp:lastModifiedBy>cryProject</cp:lastModifiedBy>
  <cp:revision>1</cp:revision>
  <dcterms:created xsi:type="dcterms:W3CDTF">2026-10-07T00:00:00Z</dcterms:created>
  <dcterms:modified xsi:type="dcterms:W3CDTF">2026-10-07T00:00:00Z</dcterms:modified>
  <cp:category/>
</cp:coreProperties>
</file>