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4FBB6D">
      <w:pPr>
        <w:rPr>
          <w:rFonts w:hint="eastAsia"/>
          <w:sz w:val="24"/>
          <w:szCs w:val="24"/>
        </w:rPr>
      </w:pPr>
    </w:p>
    <w:p w14:paraId="21D86AD8">
      <w:pPr>
        <w:jc w:val="center"/>
        <w:rPr>
          <w:rFonts w:hint="eastAsia" w:ascii="华文中宋" w:hAnsi="华文中宋" w:eastAsia="华文中宋"/>
          <w:b/>
          <w:sz w:val="36"/>
          <w:szCs w:val="36"/>
        </w:rPr>
      </w:pPr>
      <w:r>
        <w:rPr>
          <w:rFonts w:hint="eastAsia" w:ascii="华文中宋" w:hAnsi="华文中宋" w:eastAsia="华文中宋"/>
          <w:b/>
          <w:sz w:val="36"/>
          <w:szCs w:val="36"/>
        </w:rPr>
        <w:t>2026第十一届全国密码技术竞赛复赛题目</w:t>
      </w:r>
    </w:p>
    <w:tbl>
      <w:tblPr>
        <w:tblStyle w:val="16"/>
        <w:tblW w:w="9634" w:type="dxa"/>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35"/>
        <w:gridCol w:w="8499"/>
      </w:tblGrid>
      <w:tr w14:paraId="60E3A2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3" w:hRule="atLeast"/>
        </w:trPr>
        <w:tc>
          <w:tcPr>
            <w:tcW w:w="1135" w:type="dxa"/>
            <w:vMerge w:val="restart"/>
            <w:vAlign w:val="center"/>
          </w:tcPr>
          <w:p w14:paraId="06879AFE">
            <w:pPr>
              <w:rPr>
                <w:rFonts w:hint="eastAsia"/>
                <w:sz w:val="24"/>
                <w:szCs w:val="24"/>
              </w:rPr>
            </w:pPr>
            <w:r>
              <w:rPr>
                <w:sz w:val="24"/>
                <w:szCs w:val="24"/>
              </w:rPr>
              <w:t>题目</w:t>
            </w:r>
          </w:p>
          <w:p w14:paraId="1B51B06F">
            <w:pPr>
              <w:rPr>
                <w:rFonts w:hint="eastAsia"/>
                <w:sz w:val="24"/>
                <w:szCs w:val="24"/>
              </w:rPr>
            </w:pPr>
            <w:r>
              <w:rPr>
                <w:sz w:val="24"/>
                <w:szCs w:val="24"/>
              </w:rPr>
              <w:t>类别</w:t>
            </w:r>
          </w:p>
        </w:tc>
        <w:tc>
          <w:tcPr>
            <w:tcW w:w="8499" w:type="dxa"/>
          </w:tcPr>
          <w:p w14:paraId="27EA419B">
            <w:pPr>
              <w:jc w:val="left"/>
              <w:rPr>
                <w:rFonts w:hint="eastAsia"/>
                <w:sz w:val="28"/>
                <w:szCs w:val="28"/>
              </w:rPr>
            </w:pPr>
            <w:r>
              <w:rPr>
                <w:rFonts w:hint="eastAsia"/>
                <w:sz w:val="28"/>
                <w:szCs w:val="28"/>
              </w:rPr>
              <w:t>ML-KEM解封装实现的时间侧信道检测与常数时间防护</w:t>
            </w:r>
          </w:p>
        </w:tc>
      </w:tr>
      <w:tr w14:paraId="5D9DA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3" w:hRule="atLeast"/>
        </w:trPr>
        <w:tc>
          <w:tcPr>
            <w:tcW w:w="1135" w:type="dxa"/>
            <w:vMerge w:val="continue"/>
          </w:tcPr>
          <w:p w14:paraId="17D989F5">
            <w:pPr>
              <w:rPr>
                <w:rFonts w:hint="eastAsia"/>
                <w:sz w:val="24"/>
                <w:szCs w:val="24"/>
              </w:rPr>
            </w:pPr>
          </w:p>
        </w:tc>
        <w:tc>
          <w:tcPr>
            <w:tcW w:w="8499" w:type="dxa"/>
          </w:tcPr>
          <w:p w14:paraId="0F8E3541">
            <w:pPr>
              <w:ind w:left="343"/>
              <w:jc w:val="left"/>
              <w:rPr>
                <w:rFonts w:hint="eastAsia"/>
                <w:sz w:val="28"/>
                <w:szCs w:val="28"/>
              </w:rPr>
            </w:pPr>
            <w:r>
              <w:rPr>
                <w:sz w:val="28"/>
                <w:szCs w:val="28"/>
              </w:rPr>
              <w:t>□软件设计</w:t>
            </w:r>
            <w:r>
              <w:rPr>
                <w:rFonts w:hint="eastAsia"/>
                <w:sz w:val="28"/>
                <w:szCs w:val="28"/>
              </w:rPr>
              <w:t xml:space="preserve"> </w:t>
            </w:r>
            <w:r>
              <w:rPr>
                <w:sz w:val="28"/>
                <w:szCs w:val="28"/>
              </w:rPr>
              <w:t>□硬件制作</w:t>
            </w:r>
            <w:r>
              <w:rPr>
                <w:rFonts w:hint="eastAsia"/>
                <w:sz w:val="28"/>
                <w:szCs w:val="28"/>
              </w:rPr>
              <w:t xml:space="preserve"> ■</w:t>
            </w:r>
            <w:r>
              <w:rPr>
                <w:sz w:val="28"/>
                <w:szCs w:val="28"/>
              </w:rPr>
              <w:t>工程实践</w:t>
            </w:r>
            <w:r>
              <w:rPr>
                <w:rFonts w:hint="eastAsia"/>
                <w:sz w:val="28"/>
                <w:szCs w:val="28"/>
              </w:rPr>
              <w:t xml:space="preserve"> </w:t>
            </w:r>
            <w:r>
              <w:rPr>
                <w:sz w:val="28"/>
                <w:szCs w:val="28"/>
              </w:rPr>
              <w:t>□密码应用</w:t>
            </w:r>
            <w:r>
              <w:rPr>
                <w:rFonts w:hint="eastAsia"/>
                <w:sz w:val="28"/>
                <w:szCs w:val="28"/>
              </w:rPr>
              <w:t xml:space="preserve"> </w:t>
            </w:r>
            <w:r>
              <w:rPr>
                <w:sz w:val="28"/>
                <w:szCs w:val="28"/>
              </w:rPr>
              <w:t>□其它</w:t>
            </w:r>
          </w:p>
        </w:tc>
      </w:tr>
      <w:tr w14:paraId="76385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39" w:hRule="atLeast"/>
        </w:trPr>
        <w:tc>
          <w:tcPr>
            <w:tcW w:w="1135" w:type="dxa"/>
            <w:vAlign w:val="center"/>
          </w:tcPr>
          <w:p w14:paraId="04787D08">
            <w:pPr>
              <w:rPr>
                <w:rFonts w:hint="eastAsia"/>
                <w:sz w:val="24"/>
                <w:szCs w:val="24"/>
              </w:rPr>
            </w:pPr>
            <w:r>
              <w:rPr>
                <w:sz w:val="24"/>
                <w:szCs w:val="24"/>
              </w:rPr>
              <w:t>典型场景业务需求</w:t>
            </w:r>
          </w:p>
        </w:tc>
        <w:tc>
          <w:tcPr>
            <w:tcW w:w="8499" w:type="dxa"/>
            <w:vAlign w:val="center"/>
          </w:tcPr>
          <w:p w14:paraId="3BC45687">
            <w:pPr>
              <w:ind w:firstLine="480" w:firstLineChars="200"/>
              <w:rPr>
                <w:rFonts w:hint="eastAsia"/>
                <w:sz w:val="24"/>
                <w:szCs w:val="24"/>
              </w:rPr>
            </w:pPr>
            <w:r>
              <w:rPr>
                <w:sz w:val="24"/>
                <w:szCs w:val="24"/>
              </w:rPr>
              <w:t>随着ML-KEM等后量子密码算法逐步进入实际部署阶段，算法安全性不仅取决于数学问题本身的计算</w:t>
            </w:r>
            <w:bookmarkStart w:id="0" w:name="_GoBack"/>
            <w:bookmarkEnd w:id="0"/>
            <w:r>
              <w:rPr>
                <w:sz w:val="24"/>
                <w:szCs w:val="24"/>
              </w:rPr>
              <w:t>困难性，也取决于软件实现是否泄露与私钥、中间状态或解封装结果相关的信息。服务器、边缘节点、物联网网关等设备在执行ML-KEM解封装时，若存在依赖敏感数据的条件分支、提前退出、数据相关内存访问或错误处理路径，可能造成不同输入条件下运行时间存在统计差异，进而形成时间侧信道。攻击者在能够多次提交构造密文并测量响应时间的条件下，可能利用这些差异获取与解封装内部状态相关的信息。因此，需要针对ML-KEM解封装实现建立可重复的时间侧信道检测方法，定位潜在泄露源，并采用常数时间编程、统一错误处理、固定执行路径等方法进行防护，在保证算法正确性的同时降低软件实现层面的侧信道风险。该方向与征题文件中提出的后量子密码“侧信道攻击、故障攻击防护”要求直接对应。</w:t>
            </w:r>
          </w:p>
        </w:tc>
      </w:tr>
      <w:tr w14:paraId="69404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9" w:hRule="atLeast"/>
        </w:trPr>
        <w:tc>
          <w:tcPr>
            <w:tcW w:w="1135" w:type="dxa"/>
            <w:vAlign w:val="center"/>
          </w:tcPr>
          <w:p w14:paraId="6B6E6726">
            <w:pPr>
              <w:rPr>
                <w:rFonts w:hint="eastAsia"/>
                <w:sz w:val="24"/>
                <w:szCs w:val="24"/>
              </w:rPr>
            </w:pPr>
            <w:r>
              <w:rPr>
                <w:sz w:val="24"/>
                <w:szCs w:val="24"/>
              </w:rPr>
              <w:t>题目设计考虑</w:t>
            </w:r>
          </w:p>
        </w:tc>
        <w:tc>
          <w:tcPr>
            <w:tcW w:w="8499" w:type="dxa"/>
            <w:vAlign w:val="center"/>
          </w:tcPr>
          <w:p w14:paraId="05780ABA">
            <w:pPr>
              <w:ind w:firstLine="480" w:firstLineChars="200"/>
              <w:rPr>
                <w:rFonts w:hint="eastAsia"/>
                <w:sz w:val="24"/>
                <w:szCs w:val="24"/>
              </w:rPr>
            </w:pPr>
            <w:r>
              <w:rPr>
                <w:sz w:val="24"/>
                <w:szCs w:val="24"/>
              </w:rPr>
              <w:t>本题重点考查参赛团队对ML-KEM算法实现、软件侧信道分析、统计检测以及安全编程方法的综合掌握能力。参赛团队首先应建立可运行的ML-KEM解封装环境，理解密文解码、解密、重加密验证、共享密钥导出和失败处理等关键流程；在此基础上设计不同类别的合法或异常输入，通过大量重复测试采集运行时间，并采用合理的统计方法判断不同输入类别之间是否存在可区分的时间差异。对于检测出的潜在泄露位置，应分析其与条件分支、比较函数、内存访问、异常返回等实现行为之间的关系，并进行常数时间改造。题目采用“检测—定位—防护—复测”的完整实验链路，避免仅要求参赛者给出理论分析。基础队伍可以完成本地高精度计时和明显泄露检测；较强队伍可以开展函数级插桩、统计显著性分析和自动化定位；高水平队伍可进一步考虑网络噪声环境、编译器优化影响及不同处理器平台上的稳定性。题目总体难度为中等偏上至较高，具有较明显的能力区分度，同时不强制使用昂贵示波器、电磁探头等硬件设备，保证普通参赛团队具备完成条件。</w:t>
            </w:r>
          </w:p>
        </w:tc>
      </w:tr>
      <w:tr w14:paraId="38C84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79" w:hRule="atLeast"/>
        </w:trPr>
        <w:tc>
          <w:tcPr>
            <w:tcW w:w="1135" w:type="dxa"/>
            <w:vAlign w:val="center"/>
          </w:tcPr>
          <w:p w14:paraId="61F1BFFE">
            <w:pPr>
              <w:rPr>
                <w:rFonts w:hint="eastAsia"/>
                <w:sz w:val="24"/>
                <w:szCs w:val="24"/>
              </w:rPr>
            </w:pPr>
            <w:r>
              <w:rPr>
                <w:rFonts w:hint="eastAsia"/>
                <w:sz w:val="24"/>
                <w:szCs w:val="24"/>
              </w:rPr>
              <w:t>密码功能与</w:t>
            </w:r>
          </w:p>
          <w:p w14:paraId="125F550F">
            <w:pPr>
              <w:rPr>
                <w:rFonts w:hint="eastAsia"/>
                <w:sz w:val="24"/>
                <w:szCs w:val="24"/>
              </w:rPr>
            </w:pPr>
            <w:r>
              <w:rPr>
                <w:rFonts w:hint="eastAsia"/>
                <w:sz w:val="24"/>
                <w:szCs w:val="24"/>
              </w:rPr>
              <w:t>创新要求</w:t>
            </w:r>
          </w:p>
        </w:tc>
        <w:tc>
          <w:tcPr>
            <w:tcW w:w="8499" w:type="dxa"/>
            <w:vAlign w:val="center"/>
          </w:tcPr>
          <w:p w14:paraId="3F76D0E0">
            <w:pPr>
              <w:ind w:firstLine="480" w:firstLineChars="200"/>
              <w:rPr>
                <w:sz w:val="24"/>
                <w:szCs w:val="24"/>
              </w:rPr>
            </w:pPr>
            <w:r>
              <w:rPr>
                <w:sz w:val="24"/>
                <w:szCs w:val="24"/>
              </w:rPr>
              <w:t>针对ML-KEM软件解封装过程中可能存在的时间侧信道泄露问题，设计并实现一套时间侧信道检测、定位与常数时间防护方案。</w:t>
            </w:r>
          </w:p>
          <w:p w14:paraId="58A56D89">
            <w:pPr>
              <w:ind w:firstLine="480" w:firstLineChars="200"/>
              <w:rPr>
                <w:sz w:val="24"/>
                <w:szCs w:val="24"/>
              </w:rPr>
            </w:pPr>
            <w:r>
              <w:rPr>
                <w:sz w:val="24"/>
                <w:szCs w:val="24"/>
              </w:rPr>
              <w:t>1、基本密码功能：应实现或接入符合规范的ML-KEM密钥生成、封装和解封装功能，并利用公开或主办方提供的测试向量验证算法正确性。不得通过修改密码算法安全语义的方式换取所谓“常数时间”效果。</w:t>
            </w:r>
          </w:p>
          <w:p w14:paraId="4613E05A">
            <w:pPr>
              <w:ind w:firstLine="480" w:firstLineChars="200"/>
              <w:rPr>
                <w:sz w:val="24"/>
                <w:szCs w:val="24"/>
              </w:rPr>
            </w:pPr>
            <w:r>
              <w:rPr>
                <w:sz w:val="24"/>
                <w:szCs w:val="24"/>
              </w:rPr>
              <w:t>2、时间测量环境：建立可重复的高精度时间测量框架，说明处理器、操作系统、编译器、优化级别、CPU频率管理、测试次数及异常样本处理方法；应尽可能降低系统调度、缓存和后台进程造成的随机干扰。</w:t>
            </w:r>
          </w:p>
          <w:p w14:paraId="27FC1794">
            <w:pPr>
              <w:ind w:firstLine="480" w:firstLineChars="200"/>
              <w:rPr>
                <w:sz w:val="24"/>
                <w:szCs w:val="24"/>
              </w:rPr>
            </w:pPr>
            <w:r>
              <w:rPr>
                <w:sz w:val="24"/>
                <w:szCs w:val="24"/>
              </w:rPr>
              <w:t>3、输入分类与测试：应设计至少两类具有明确区别的解封装输入，例如正常密文与经特定位翻转、截断、格式破坏或验证失败的异常密文，并对各类输入进行足够次数的重复实验，记录解封装执行时间。输入设计应服务于泄露分析，不应仅比较明显长度不同、程序路径完全不同且不具有安全意义的数据。</w:t>
            </w:r>
          </w:p>
          <w:p w14:paraId="4F4B5330">
            <w:pPr>
              <w:ind w:firstLine="480" w:firstLineChars="200"/>
              <w:rPr>
                <w:sz w:val="24"/>
                <w:szCs w:val="24"/>
              </w:rPr>
            </w:pPr>
            <w:r>
              <w:rPr>
                <w:sz w:val="24"/>
                <w:szCs w:val="24"/>
              </w:rPr>
              <w:t>4、侧信道检测：应采用统计方法分析不同输入类别执行时间是否存在显著可区分性，可使用均值、方差、分位数、置信区间以及适当的统计检验方法。不能仅凭少量样本或单次测试结果判断是否存在时间泄露。</w:t>
            </w:r>
          </w:p>
          <w:p w14:paraId="040D6D6D">
            <w:pPr>
              <w:ind w:firstLine="480" w:firstLineChars="200"/>
              <w:rPr>
                <w:sz w:val="24"/>
                <w:szCs w:val="24"/>
              </w:rPr>
            </w:pPr>
            <w:r>
              <w:rPr>
                <w:sz w:val="24"/>
                <w:szCs w:val="24"/>
              </w:rPr>
              <w:t>5、泄露定位：对检测到的明显时间差异，应进一步定位可能的泄露来源，包括敏感条件分支、提前返回、可变时间比较函数、数据相关循环、数据相关内存访问、失败路径及异常处理等，并说明其与ML-KEM解封装流程的对应关系。</w:t>
            </w:r>
          </w:p>
          <w:p w14:paraId="30FCE59F">
            <w:pPr>
              <w:ind w:firstLine="480" w:firstLineChars="200"/>
              <w:rPr>
                <w:sz w:val="24"/>
                <w:szCs w:val="24"/>
              </w:rPr>
            </w:pPr>
            <w:r>
              <w:rPr>
                <w:sz w:val="24"/>
                <w:szCs w:val="24"/>
              </w:rPr>
              <w:t>6、常数时间防护：针对已发现问题，采用常数时间比较、掩码选择、固定循环次数、统一错误处理、消除敏感数据相关分支或其他适当方式进行修改。防护过程中不得将私钥、中间敏感数据或验证结果通过日志、异常信息等其他渠道泄露。</w:t>
            </w:r>
          </w:p>
          <w:p w14:paraId="09DBCA37">
            <w:pPr>
              <w:ind w:firstLine="480" w:firstLineChars="200"/>
              <w:rPr>
                <w:sz w:val="24"/>
                <w:szCs w:val="24"/>
              </w:rPr>
            </w:pPr>
            <w:r>
              <w:rPr>
                <w:sz w:val="24"/>
                <w:szCs w:val="24"/>
              </w:rPr>
              <w:t>7、防护效果验证：完成防护后，应在与防护前相同或等价的测试环境下重新采集数据，对比不同输入类别之间的时间分布和统计检测结果，说明泄露是否得到明显降低。应同时验证修改后的ML-KEM功能正确性。</w:t>
            </w:r>
          </w:p>
          <w:p w14:paraId="04B09D3D">
            <w:pPr>
              <w:ind w:firstLine="480" w:firstLineChars="200"/>
              <w:rPr>
                <w:sz w:val="24"/>
                <w:szCs w:val="24"/>
              </w:rPr>
            </w:pPr>
            <w:r>
              <w:rPr>
                <w:sz w:val="24"/>
                <w:szCs w:val="24"/>
              </w:rPr>
              <w:t>8、性能要求：分别给出防护前后ML-KEM解封装平均运行时间、典型分位数及性能开销，分析安全防护带来的效率代价。鼓励控制防护额外开销，但不得以牺牲密码安全性或算法正确性为代价。</w:t>
            </w:r>
          </w:p>
          <w:p w14:paraId="39848CB4">
            <w:pPr>
              <w:ind w:firstLine="480" w:firstLineChars="200"/>
              <w:rPr>
                <w:sz w:val="24"/>
                <w:szCs w:val="24"/>
              </w:rPr>
            </w:pPr>
            <w:r>
              <w:rPr>
                <w:sz w:val="24"/>
                <w:szCs w:val="24"/>
              </w:rPr>
              <w:t>9、跨环境验证：至少在一种软件运行环境完成完整实验；高水平作品可增加不同编译优化级别、不同CPU架构或本地与网络场景下的对比，分析侧信道现象的稳定性。</w:t>
            </w:r>
          </w:p>
          <w:p w14:paraId="1DC43866">
            <w:pPr>
              <w:ind w:firstLine="480" w:firstLineChars="200"/>
              <w:rPr>
                <w:sz w:val="24"/>
                <w:szCs w:val="24"/>
              </w:rPr>
            </w:pPr>
            <w:r>
              <w:rPr>
                <w:sz w:val="24"/>
                <w:szCs w:val="24"/>
              </w:rPr>
              <w:t>10、威胁模型：明确攻击者能够控制的输入、能够观测的信息、是否具有本地执行权限以及测试过程中假设的攻击条件，区分本地高精度计时攻击和远程网络时间攻击的能力边界，避免将实验结果过度推广。</w:t>
            </w:r>
          </w:p>
          <w:p w14:paraId="029AB1BA">
            <w:pPr>
              <w:ind w:firstLine="480" w:firstLineChars="200"/>
              <w:rPr>
                <w:sz w:val="24"/>
                <w:szCs w:val="24"/>
              </w:rPr>
            </w:pPr>
            <w:r>
              <w:rPr>
                <w:sz w:val="24"/>
                <w:szCs w:val="24"/>
              </w:rPr>
              <w:t>11、可复现性：应提供测试程序、测试数据生成方法、实验参数、编译选项和统计分析过程，使评测人员能够复现实验结论</w:t>
            </w:r>
            <w:r>
              <w:rPr>
                <w:rFonts w:hint="eastAsia"/>
                <w:sz w:val="24"/>
                <w:szCs w:val="24"/>
              </w:rPr>
              <w:t>。</w:t>
            </w:r>
          </w:p>
          <w:p w14:paraId="188DF743">
            <w:pPr>
              <w:ind w:firstLine="480" w:firstLineChars="200"/>
              <w:rPr>
                <w:sz w:val="24"/>
                <w:szCs w:val="24"/>
              </w:rPr>
            </w:pPr>
            <w:r>
              <w:rPr>
                <w:sz w:val="24"/>
                <w:szCs w:val="24"/>
              </w:rPr>
              <w:t>12、创新要求：作品应至少在自动化侧信道检测、敏感路径定位、常数时间实现方法、统计检测方法、低开销防护或跨平台验证中的一个方面具有改进，并通过可复现实验说明改进效果。</w:t>
            </w:r>
          </w:p>
          <w:p w14:paraId="1C95C58C">
            <w:pPr>
              <w:ind w:firstLine="480" w:firstLineChars="200"/>
              <w:rPr>
                <w:rFonts w:hint="eastAsia"/>
                <w:sz w:val="24"/>
                <w:szCs w:val="24"/>
              </w:rPr>
            </w:pPr>
            <w:r>
              <w:rPr>
                <w:sz w:val="24"/>
                <w:szCs w:val="24"/>
              </w:rPr>
              <w:t>高水平作品可进一步实现自动生成测试样本、函数级时序追踪、编译后二进制检查或面向持续集成环境的时间侧信道回归测试工具。</w:t>
            </w:r>
          </w:p>
        </w:tc>
      </w:tr>
    </w:tbl>
    <w:p w14:paraId="7743801D">
      <w:pPr>
        <w:rPr>
          <w:rFonts w:hint="eastAsia"/>
          <w:sz w:val="24"/>
          <w:szCs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6A9"/>
    <w:rsid w:val="000966FF"/>
    <w:rsid w:val="001C31A7"/>
    <w:rsid w:val="00281683"/>
    <w:rsid w:val="003216A9"/>
    <w:rsid w:val="00333960"/>
    <w:rsid w:val="00464D79"/>
    <w:rsid w:val="006A02B3"/>
    <w:rsid w:val="00732E0F"/>
    <w:rsid w:val="007F75EE"/>
    <w:rsid w:val="00876425"/>
    <w:rsid w:val="00BB1903"/>
    <w:rsid w:val="00CB5A51"/>
    <w:rsid w:val="00DC21A3"/>
    <w:rsid w:val="4F680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宋体" w:hAnsi="宋体" w:eastAsia="宋体" w:cs="宋体"/>
      <w:kern w:val="0"/>
      <w:sz w:val="22"/>
      <w:szCs w:val="22"/>
      <w:lang w:val="en-US" w:eastAsia="zh-CN" w:bidi="ar-SA"/>
      <w14:ligatures w14:val="none"/>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Body Text"/>
    <w:basedOn w:val="1"/>
    <w:link w:val="39"/>
    <w:qFormat/>
    <w:uiPriority w:val="1"/>
    <w:rPr>
      <w:rFonts w:ascii="仿宋" w:hAnsi="仿宋" w:eastAsia="仿宋" w:cs="仿宋"/>
      <w:sz w:val="32"/>
      <w:szCs w:val="32"/>
    </w:rPr>
  </w:style>
  <w:style w:type="paragraph" w:styleId="12">
    <w:name w:val="footer"/>
    <w:basedOn w:val="1"/>
    <w:link w:val="37"/>
    <w:unhideWhenUsed/>
    <w:uiPriority w:val="99"/>
    <w:pPr>
      <w:tabs>
        <w:tab w:val="center" w:pos="4153"/>
        <w:tab w:val="right" w:pos="8306"/>
      </w:tabs>
      <w:snapToGrid w:val="0"/>
    </w:pPr>
    <w:rPr>
      <w:sz w:val="18"/>
      <w:szCs w:val="18"/>
    </w:rPr>
  </w:style>
  <w:style w:type="paragraph" w:styleId="13">
    <w:name w:val="header"/>
    <w:basedOn w:val="1"/>
    <w:link w:val="36"/>
    <w:unhideWhenUsed/>
    <w:qFormat/>
    <w:uiPriority w:val="99"/>
    <w:pPr>
      <w:tabs>
        <w:tab w:val="center" w:pos="4153"/>
        <w:tab w:val="right" w:pos="8306"/>
      </w:tabs>
      <w:snapToGrid w:val="0"/>
      <w:jc w:val="center"/>
    </w:pPr>
    <w:rPr>
      <w:sz w:val="18"/>
      <w:szCs w:val="18"/>
    </w:rPr>
  </w:style>
  <w:style w:type="paragraph" w:styleId="14">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qFormat/>
    <w:uiPriority w:val="9"/>
    <w:rPr>
      <w:rFonts w:cstheme="majorBidi"/>
      <w:color w:val="2F5597" w:themeColor="accent1" w:themeShade="BF"/>
      <w:sz w:val="28"/>
      <w:szCs w:val="28"/>
    </w:rPr>
  </w:style>
  <w:style w:type="character" w:customStyle="1" w:styleId="22">
    <w:name w:val="标题 5 字符"/>
    <w:basedOn w:val="17"/>
    <w:link w:val="6"/>
    <w:semiHidden/>
    <w:qFormat/>
    <w:uiPriority w:val="9"/>
    <w:rPr>
      <w:rFonts w:cstheme="majorBidi"/>
      <w:color w:val="2F5597" w:themeColor="accent1" w:themeShade="BF"/>
      <w:sz w:val="24"/>
    </w:rPr>
  </w:style>
  <w:style w:type="character" w:customStyle="1" w:styleId="23">
    <w:name w:val="标题 6 字符"/>
    <w:basedOn w:val="17"/>
    <w:link w:val="7"/>
    <w:semiHidden/>
    <w:uiPriority w:val="9"/>
    <w:rPr>
      <w:rFonts w:cstheme="majorBidi"/>
      <w:b/>
      <w:bCs/>
      <w:color w:val="2F5597"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3"/>
    <w:qFormat/>
    <w:uiPriority w:val="99"/>
    <w:rPr>
      <w:sz w:val="18"/>
      <w:szCs w:val="18"/>
    </w:rPr>
  </w:style>
  <w:style w:type="character" w:customStyle="1" w:styleId="37">
    <w:name w:val="页脚 字符"/>
    <w:basedOn w:val="17"/>
    <w:link w:val="12"/>
    <w:qFormat/>
    <w:uiPriority w:val="99"/>
    <w:rPr>
      <w:sz w:val="18"/>
      <w:szCs w:val="18"/>
    </w:rPr>
  </w:style>
  <w:style w:type="table" w:customStyle="1" w:styleId="38">
    <w:name w:val="Table Normal"/>
    <w:semiHidden/>
    <w:unhideWhenUsed/>
    <w:qFormat/>
    <w:uiPriority w:val="2"/>
    <w:pPr>
      <w:widowControl w:val="0"/>
      <w:autoSpaceDE w:val="0"/>
      <w:autoSpaceDN w:val="0"/>
      <w:spacing w:after="0" w:line="240" w:lineRule="auto"/>
    </w:pPr>
    <w:rPr>
      <w:kern w:val="0"/>
      <w:szCs w:val="22"/>
      <w:lang w:eastAsia="en-US"/>
      <w14:ligatures w14:val="none"/>
    </w:rPr>
    <w:tblPr>
      <w:tblCellMar>
        <w:top w:w="0" w:type="dxa"/>
        <w:left w:w="0" w:type="dxa"/>
        <w:bottom w:w="0" w:type="dxa"/>
        <w:right w:w="0" w:type="dxa"/>
      </w:tblCellMar>
    </w:tblPr>
  </w:style>
  <w:style w:type="character" w:customStyle="1" w:styleId="39">
    <w:name w:val="正文文本 字符"/>
    <w:basedOn w:val="17"/>
    <w:link w:val="11"/>
    <w:uiPriority w:val="1"/>
    <w:rPr>
      <w:rFonts w:ascii="仿宋" w:hAnsi="仿宋" w:eastAsia="仿宋" w:cs="仿宋"/>
      <w:kern w:val="0"/>
      <w:sz w:val="32"/>
      <w:szCs w:val="32"/>
      <w14:ligatures w14:val="none"/>
    </w:rPr>
  </w:style>
  <w:style w:type="paragraph" w:customStyle="1" w:styleId="40">
    <w:name w:val="Table Paragraph"/>
    <w:basedOn w:val="1"/>
    <w:qFormat/>
    <w:uiPriority w:val="1"/>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2060</Words>
  <Characters>2125</Characters>
  <Lines>15</Lines>
  <Paragraphs>4</Paragraphs>
  <TotalTime>29</TotalTime>
  <ScaleCrop>false</ScaleCrop>
  <LinksUpToDate>false</LinksUpToDate>
  <CharactersWithSpaces>2129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2026-09-18T08:29:00Z</dcterms:created>
  <dc:creator>岳茏 何</dc:creator>
  <cp:lastModifiedBy>SeanXiao</cp:lastModifiedBy>
  <dcterms:modified xsi:type="dcterms:W3CDTF">2026-09-20T03:23:22Z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eyJoZGlkIjoiNWQ5ZDQyNWExM2I5OGFkYzI5NTUwZWI3YjM5NzhlYzciLCJ1c2VySWQiOiIxNTUxNjk3NTg4In0=</vt:lpwstr>
  </property>
  <property fmtid="{D5CDD505-2E9C-101B-9397-08002B2CF9AE}" pid="3" name="KSOProductBuildVer">
    <vt:lpwstr>2052-12.1.0.28505</vt:lpwstr>
  </property>
  <property fmtid="{D5CDD505-2E9C-101B-9397-08002B2CF9AE}" pid="4" name="ICV">
    <vt:lpwstr>AF15986C9EA44793B7937F210310C68E_12</vt:lpwstr>
  </property>
</Properties>
</file>