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4A34B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作品编号：[系统编号待填写]</w:t>
      </w:r>
      <w:r>
        <w:rPr>
          <w:rFonts w:ascii="楷体_GB2312" w:hAnsi="Times New Roman" w:eastAsia="楷体_GB2312"/>
          <w:bCs/>
          <w:sz w:val="28"/>
          <w:szCs w:val="28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4584700</wp:posOffset>
            </wp:positionH>
            <wp:positionV relativeFrom="paragraph">
              <wp:posOffset>-90805</wp:posOffset>
            </wp:positionV>
            <wp:extent cx="1534795" cy="1163320"/>
            <wp:effectExtent l="0" t="0" r="8255" b="0"/>
            <wp:wrapSquare wrapText="bothSides"/>
            <wp:docPr id="2" name="图片 2" descr="D:\密码学会教育工作委员会\学会\学会图标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D:\密码学会教育工作委员会\学会\学会图标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4795" cy="116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楷体_GB2312" w:hAnsi="Times New Roman" w:eastAsia="楷体_GB2312"/>
          <w:bCs/>
          <w:sz w:val="28"/>
          <w:szCs w:val="28"/>
        </w:rPr>
        <w:t xml:space="preserve"/>
      </w: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/>
          <w:color w:val="FF0000"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Cs/>
          <w:color w:val="FF0000"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w:t xml:space="preserve"/>
      </w:r>
    </w:p>
    <w:p w14:paraId="4ED5BDDA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4656AD64">
      <w:pPr>
        <w:widowControl/>
        <w:adjustRightInd w:val="0"/>
        <w:snapToGrid w:val="0"/>
        <w:spacing w:line="480" w:lineRule="exact"/>
        <w:rPr>
          <w:rFonts w:hint="eastAsia" w:ascii="宋体" w:hAnsi="宋体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作品类别： □软件设计   □硬件制作   ■工程实践</w:t>
      </w:r>
      <w:bookmarkStart w:id="0" w:name="OLE_LINK1"/>
      <w:bookmarkStart w:id="1" w:name="OLE_LINK2"/>
      <w:r>
        <w:rPr>
          <w:rFonts w:hint="eastAsia" w:ascii="楷体_GB2312" w:hAnsi="Times New Roman" w:eastAsia="楷体_GB2312"/>
          <w:bCs/>
          <w:sz w:val="28"/>
          <w:szCs w:val="28"/>
        </w:rPr>
        <w:t xml:space="preserve"/>
      </w:r>
      <w:bookmarkEnd w:id="0"/>
      <w:bookmarkEnd w:id="1"/>
      <w:r>
        <w:rPr>
          <w:rFonts w:hint="eastAsia" w:ascii="宋体" w:hAnsi="宋体"/>
        </w:rPr>
        <w:t xml:space="preserve"/>
      </w:r>
      <w:r>
        <w:rPr>
          <w:rFonts w:hint="eastAsia"/>
        </w:rPr>
        <w:t xml:space="preserve"/>
      </w:r>
      <w:r>
        <w:rPr>
          <w:rFonts w:hint="eastAsia" w:ascii="宋体" w:hAnsi="宋体"/>
        </w:rPr>
        <w:t xml:space="preserve"/>
      </w:r>
      <w:r>
        <w:rPr>
          <w:rFonts w:ascii="宋体" w:hAnsi="宋体"/>
        </w:rPr>
        <w:t xml:space="preserve"/>
      </w:r>
    </w:p>
    <w:p w14:paraId="1929CAAD">
      <w:pPr>
        <w:widowControl/>
        <w:adjustRightInd w:val="0"/>
        <w:snapToGrid w:val="0"/>
        <w:spacing w:line="480" w:lineRule="exact"/>
        <w:ind w:firstLine="1470" w:firstLineChars="700"/>
        <w:rPr>
          <w:rFonts w:hint="eastAsia" w:ascii="宋体" w:hAnsi="宋体"/>
        </w:rPr>
      </w:pPr>
      <w:r>
        <w:rPr>
          <w:rFonts w:hint="eastAsia" w:ascii="宋体" w:hAnsi="宋体"/>
        </w:rPr>
        <w:t>□密码应用技术  □其它</w:t>
      </w:r>
    </w:p>
    <w:p w14:paraId="1B6B0FE6">
      <w:pPr>
        <w:widowControl/>
        <w:adjustRightInd w:val="0"/>
        <w:snapToGrid w:val="0"/>
        <w:spacing w:line="480" w:lineRule="exact"/>
        <w:ind w:firstLine="1470" w:firstLineChars="700"/>
        <w:rPr>
          <w:rFonts w:hint="eastAsia" w:ascii="宋体" w:hAnsi="宋体"/>
        </w:rPr>
      </w:pPr>
    </w:p>
    <w:p w14:paraId="78E13ED1">
      <w:pPr>
        <w:widowControl/>
        <w:adjustRightInd w:val="0"/>
        <w:snapToGrid w:val="0"/>
        <w:spacing w:line="480" w:lineRule="exact"/>
        <w:rPr>
          <w:rFonts w:hint="eastAsia" w:ascii="宋体" w:hAnsi="宋体"/>
        </w:rPr>
      </w:pPr>
    </w:p>
    <w:p w14:paraId="7433C3F8">
      <w:pPr>
        <w:widowControl/>
        <w:adjustRightInd w:val="0"/>
        <w:snapToGrid w:val="0"/>
        <w:jc w:val="right"/>
        <w:rPr>
          <w:rFonts w:ascii="楷体_GB2312" w:hAnsi="Times New Roman" w:eastAsia="楷体_GB2312"/>
          <w:bCs/>
          <w:sz w:val="28"/>
          <w:szCs w:val="28"/>
        </w:rPr>
      </w:pPr>
    </w:p>
    <w:p w14:paraId="00F1FE9A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0519D025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bookmarkStart w:id="2" w:name="_GoBack"/>
      <w:bookmarkEnd w:id="2"/>
    </w:p>
    <w:p w14:paraId="4A52C4E0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6457B05F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/>
          <w:bCs/>
          <w:sz w:val="36"/>
          <w:szCs w:val="36"/>
        </w:rPr>
      </w:pPr>
      <w:r>
        <w:rPr>
          <w:rFonts w:ascii="楷体_GB2312" w:hAnsi="Times New Roman" w:eastAsia="楷体_GB2312"/>
          <w:b/>
          <w:bCs/>
          <w:sz w:val="36"/>
          <w:szCs w:val="36"/>
        </w:rPr>
        <w:t>202</w:t>
      </w:r>
      <w:r>
        <w:rPr>
          <w:rFonts w:hint="eastAsia" w:ascii="楷体_GB2312" w:hAnsi="Times New Roman" w:eastAsia="楷体_GB2312"/>
          <w:b/>
          <w:bCs/>
          <w:sz w:val="36"/>
          <w:szCs w:val="36"/>
          <w:lang w:val="en-US" w:eastAsia="zh-CN"/>
        </w:rPr>
        <w:t>6</w:t>
      </w:r>
      <w:r>
        <w:rPr>
          <w:rFonts w:hint="eastAsia" w:ascii="楷体_GB2312" w:hAnsi="Times New Roman" w:eastAsia="楷体_GB2312"/>
          <w:b/>
          <w:bCs/>
          <w:sz w:val="36"/>
          <w:szCs w:val="36"/>
        </w:rPr>
        <w:t>年第十</w:t>
      </w:r>
      <w:r>
        <w:rPr>
          <w:rFonts w:hint="eastAsia" w:ascii="楷体_GB2312" w:hAnsi="Times New Roman" w:eastAsia="楷体_GB2312"/>
          <w:b/>
          <w:bCs/>
          <w:sz w:val="36"/>
          <w:szCs w:val="36"/>
          <w:lang w:val="en-US" w:eastAsia="zh-CN"/>
        </w:rPr>
        <w:t>一</w:t>
      </w:r>
      <w:r>
        <w:rPr>
          <w:rFonts w:hint="eastAsia" w:ascii="楷体_GB2312" w:hAnsi="Times New Roman" w:eastAsia="楷体_GB2312"/>
          <w:b/>
          <w:bCs/>
          <w:sz w:val="36"/>
          <w:szCs w:val="36"/>
        </w:rPr>
        <w:t>届全国密码技术竞赛作品设计报告</w:t>
      </w:r>
    </w:p>
    <w:p w14:paraId="1316150A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539115</wp:posOffset>
                </wp:positionH>
                <wp:positionV relativeFrom="paragraph">
                  <wp:posOffset>213995</wp:posOffset>
                </wp:positionV>
                <wp:extent cx="4899660" cy="34290"/>
                <wp:effectExtent l="19050" t="19050" r="15240" b="2286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99803" cy="34506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42.45pt;margin-top:16.85pt;height:2.7pt;width:385.8pt;z-index:251659264;mso-width-relative:page;mso-height-relative:page;" filled="f" stroked="t" coordsize="21600,21600" o:gfxdata="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BBC8vj1QAAAAgBAAAPAAAAAAAAAAEAIAAAACIAAABkcnMvZG93bnJldi54bWxQ&#10;SwECFAAUAAAACACHTuJAsRge9PoBAADiAwAADgAAAAAAAAABACAAAAAkAQAAZHJzL2Uyb0RvYy54&#10;bWxQSwUGAAAAAAYABgBZAQAAkAUAAAAA&#10;">
                <v:fill on="f" focussize="0,0"/>
                <v:stroke weight="3pt"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5131E305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01DF0E1D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0D429881">
      <w:pPr>
        <w:widowControl/>
        <w:adjustRightInd w:val="0"/>
        <w:snapToGrid w:val="0"/>
        <w:spacing w:line="700" w:lineRule="exact"/>
        <w:ind w:firstLine="1680" w:firstLineChars="600"/>
        <w:rPr>
          <w:rFonts w:hint="eastAsia" w:ascii="华文中宋" w:hAnsi="华文中宋" w:eastAsia="华文中宋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作品题目：</w:t>
      </w:r>
      <w:r>
        <w:rPr>
          <w:rFonts w:hint="eastAsia" w:ascii="华文中宋" w:hAnsi="华文中宋" w:eastAsia="华文中宋"/>
          <w:bCs/>
          <w:sz w:val="28"/>
          <w:szCs w:val="28"/>
          <w:u w:val="single"/>
        </w:rPr>
        <w:t>ML-KEM 解封装实现的时间侧信道检测与常数时间防护（暂定题名）</w:t>
      </w:r>
    </w:p>
    <w:p w14:paraId="4EE13EFD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323A5D9B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0A15B53C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7DD67DF5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28AB24E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48B47AE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4EDCC657">
      <w:pPr>
        <w:widowControl/>
        <w:adjustRightInd w:val="0"/>
        <w:snapToGrid w:val="0"/>
        <w:spacing w:line="600" w:lineRule="exact"/>
        <w:ind w:firstLine="560" w:firstLineChars="200"/>
        <w:jc w:val="center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2026 年 10 月 7 日</w:t>
      </w:r>
    </w:p>
    <w:p w14:paraId="06B1D532">
      <w:pPr>
        <w:widowControl/>
        <w:adjustRightInd w:val="0"/>
        <w:snapToGrid w:val="0"/>
        <w:spacing w:line="600" w:lineRule="exact"/>
        <w:ind w:firstLine="560" w:firstLineChars="200"/>
        <w:jc w:val="center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中国密码学会</w:t>
      </w:r>
    </w:p>
    <w:p w14:paraId="6F4C8D9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  <w:sectPr>
          <w:pgSz w:w="11906" w:h="16838"/>
          <w:pgMar w:top="1134" w:right="1134" w:bottom="1134" w:left="1134" w:header="851" w:footer="992" w:gutter="0"/>
          <w:cols w:space="425" w:num="1"/>
          <w:docGrid w:type="lines" w:linePitch="312" w:charSpace="0"/>
        </w:sectPr>
      </w:pPr>
    </w:p>
    <w:tbl>
      <w:tblPr>
        <w:tblStyle w:val="7"/>
        <w:tblW w:w="8913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13"/>
      </w:tblGrid>
      <w:tr w14:paraId="01250D0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6E1D7EA">
            <w:pPr>
              <w:jc w:val="center"/>
              <w:rPr>
                <w:sz w:val="24"/>
              </w:rPr>
            </w:pPr>
            <w:r>
              <w:rPr>
                <w:rFonts w:hint="eastAsia"/>
                <w:spacing w:val="-8"/>
                <w:sz w:val="30"/>
              </w:rPr>
              <w:t xml:space="preserve">基本信息表</w:t>
            </w:r>
          </w:p>
        </w:tc>
      </w:tr>
      <w:tr w14:paraId="05860EC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5721B18">
            <w:pPr>
              <w:rPr>
                <w:spacing w:val="-8"/>
                <w:sz w:val="30"/>
              </w:rPr>
            </w:pPr>
            <w:r>
              <w:rPr>
                <w:rFonts w:hint="eastAsia"/>
                <w:spacing w:val="-8"/>
                <w:sz w:val="30"/>
              </w:rPr>
              <w:t xml:space="preserve">编号：[系统编号待填写]</w:t>
            </w:r>
          </w:p>
        </w:tc>
      </w:tr>
      <w:tr w14:paraId="7292356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2F0FFCE">
            <w:pPr>
              <w:rPr>
                <w:spacing w:val="-8"/>
                <w:sz w:val="30"/>
              </w:rPr>
            </w:pPr>
            <w:r>
              <w:rPr>
                <w:rFonts w:hint="eastAsia"/>
                <w:spacing w:val="-8"/>
                <w:sz w:val="30"/>
              </w:rPr>
              <w:t xml:space="preserve">作品题目：ML-KEM 解封装实现的时间侧信道检测与常数时间防护（暂定题名）</w:t>
            </w:r>
          </w:p>
        </w:tc>
      </w:tr>
      <w:tr w14:paraId="4CC36284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9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</w:tcPr>
          <w:p w14:paraId="6E18E984">
            <w:pPr>
              <w:adjustRightInd w:val="0"/>
              <w:snapToGrid w:val="0"/>
              <w:spacing w:line="360" w:lineRule="auto"/>
              <w:ind w:left="1500" w:hanging="1500" w:hangingChars="500"/>
              <w:jc w:val="left"/>
              <w:rPr>
                <w:snapToGrid w:val="0"/>
                <w:sz w:val="24"/>
              </w:rPr>
            </w:pPr>
            <w:r>
              <w:rPr>
                <w:rFonts w:hint="eastAsia"/>
                <w:snapToGrid w:val="0"/>
                <w:sz w:val="30"/>
                <w:szCs w:val="30"/>
              </w:rPr>
              <w:t>作品类别：</w:t>
            </w:r>
            <w:r>
              <w:rPr>
                <w:rFonts w:hint="eastAsia" w:ascii="宋体" w:hAnsi="宋体"/>
              </w:rPr>
              <w:t>□软件设计   □</w:t>
            </w:r>
            <w:r>
              <w:rPr>
                <w:rFonts w:hint="eastAsia"/>
              </w:rPr>
              <w:t xml:space="preserve">硬件制作   </w:t>
            </w:r>
            <w:r>
              <w:rPr>
                <w:rFonts w:hint="eastAsia" w:ascii="宋体" w:hAnsi="宋体"/>
              </w:rPr>
              <w:t xml:space="preserve">■工程实践 </w:t>
            </w:r>
            <w:r>
              <w:rPr>
                <w:rFonts w:ascii="宋体" w:hAnsi="宋体"/>
              </w:rPr>
              <w:t xml:space="preserve"> </w:t>
            </w:r>
            <w:r>
              <w:rPr>
                <w:rFonts w:hint="eastAsia" w:ascii="宋体" w:hAnsi="宋体"/>
              </w:rPr>
              <w:t>□密码技术应用  □其它</w:t>
            </w:r>
          </w:p>
        </w:tc>
      </w:tr>
      <w:tr w14:paraId="4B036C0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05" w:hRule="atLeast"/>
          <w:jc w:val="center"/>
        </w:trPr>
        <w:tc>
          <w:tcPr>
            <w:tcW w:w="8913" w:type="dxa"/>
            <w:tcBorders>
              <w:top w:val="single" w:color="auto" w:sz="4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7EA73BA4">
            <w:pPr>
              <w:rPr>
                <w:sz w:val="30"/>
              </w:rPr>
            </w:pPr>
            <w:r>
              <w:rPr>
                <w:rFonts w:hint="eastAsia"/>
                <w:sz w:val="30"/>
              </w:rPr>
              <w:t xml:space="preserve">作品内容摘要：</w:t>
            </w:r>
          </w:p>
          <w:p w14:paraId="7EA73BA4">
            <w:pPr>
              <w:rPr>
                <w:sz w:val="30"/>
              </w:rPr>
            </w:pPr>
            <w:r>
              <w:rPr>
                <w:rFonts w:hint="eastAsia"/>
                <w:sz w:val="30"/>
              </w:rPr>
              <w:t xml:space="preserve">本作品构建C11本地审计与复算工程，接入固定ML-KEM-768便携C实现，用独立NIST向量、接口边界及版本等价验证功能。普通采集在完整解封装窗口内计时，保留逐次记录、公开输入流摘要、源码与产物身份。历史人工分支回归关联源码、机器码、名义统计与掩码对照，明确其教学审计边界。在真实4vCPU KVM/x86_64 Linux取得普通参考及三种编码无分支形态的实现的性能数据；在8个固定无秘密任务上，C与SciPy精确复算结果一致，补充预导入对照后的窗口比值中位数0.001562。作品提供统一入口、离线展示与干净复算。新受控防护时序闭环及非原作者执行仍缺，不把未检出、功能通过或复算更快解释为安全认证。</w:t>
            </w:r>
          </w:p>
        </w:tc>
      </w:tr>
      <w:tr w14:paraId="449FB0E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87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5D556087">
            <w:pPr>
              <w:rPr>
                <w:sz w:val="30"/>
              </w:rPr>
            </w:pPr>
            <w:r>
              <w:rPr>
                <w:rFonts w:hint="eastAsia"/>
                <w:sz w:val="30"/>
              </w:rPr>
              <w:t xml:space="preserve">关键词（五个）：ML-KEM；时间侧信道；常数时间；证据资格；可复现性</w:t>
            </w:r>
          </w:p>
        </w:tc>
      </w:tr>
    </w:tbl>
    <w:p w14:paraId="3D5215B6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1117BCC3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sectPr>
          <w:headerReference r:id="rId3" w:type="default"/>
          <w:footerReference r:id="rId4" w:type="default"/>
          <w:pgSz w:w="11906" w:h="16838"/>
          <w:pgMar w:top="1134" w:right="1134" w:bottom="1134" w:left="1134" w:header="851" w:footer="992" w:gutter="0"/>
          <w:pgNumType w:start="1"/>
          <w:cols w:space="425" w:num="1"/>
          <w:docGrid w:type="lines" w:linePitch="312" w:charSpace="0"/>
        </w:sectPr>
      </w:pP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1.作品功能与性能说明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本作品处理ML-KEM软件解封装审计中常见的证据脱节：只有时间差而缺少对象身份，只有源码改造而缺少实际产物，或者把未检出与安全认证混为一谈。工程将功能、测量、分析、定位、防护和复现分为可核验步骤，使使用者能够判断一份结果支持到哪一层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可运行对象固定为ML-KEM-768；核心算法封装、随机源、输入生成、计时、统计与运行校验为C11。CMake/CTest是唯一构建测试来源。audit入口提供环境及源身份、功能检查、普通采集、描述分析、条件化成对分析、历史复算和离线HTML导出。没有远程服务或密钥恢复功能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当前成果包括独立功能证据、真实x86_64 Linux普通记录、历史人工机制防御案例及有限精确复算效率增量。正式批次比较在准备失败处停止，未执行K4/K16开发或20对确认。工程可用与竞赛所有要求达标是不同状态；后续章节保留尚未闭合的要求。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2.设计与实现方案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2.1 实现原理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ML-KEM库采用mlkem-native便携C后端的固定快照，完整提交见来源[2]，标准口径为2024年FIPS 203。公钥1184字节、私钥2400字节、密文1088字节、共享密钥32字节。上游源码和许可证原样保留；向量正确不代表FIPS模块认证。[1][2]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封装层首先检查指针和精确长度，避免短缓冲区进入固定长度内核。正确长度的无效密文继续走隐式拒绝，不向CLI暴露重加密验证标志。系统随机源失败向调用方传播；公开种子的确定性入口限实验夹具，不用于保护业务密钥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本轮公开核查U01与适用审查D01区分旧Kyber、最终ML-KEM、架构后端及固定版本。固定库已有volatile值屏障和相关清理；后续配置、汇编栈标记及ABI问题按实际便携构建排除。C层恒时未形式证明，硬件乘法前提和不可读勘误保留未知。自有修正DEF-F01仅补齐真实构建路径记录，不改变密码运算，也不构成上游新漏洞或防护效果证据。[2]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普通输入为valid、bit-flipped、random三类，比例1:1:1，全部长度1088字节。标签来自生成规则，不来自内部接受标志。输入生成、分配、结果消费及I/O位于计时窗口外，窗口内覆盖完整包装层与内核解封装。数据保存原始顺序，公开种子固定类别乱序，不删除普通长尾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程序记录时钟、单位、读钟及空窗自检、运行完成声明、实际可执行文件SHA3-256、源身份和编译条件。统一入口仅在数据结构和完成声明通过后导出描述页面；HTML完成写入后独占发布，失败产物保留为部分输出。默认使用归档机制案例，不构建旧主动机制计时入口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3086100"/>
            <wp:docPr id="101" name="architecture" descr="图1 软件流程。实时普通记录、历史重分析和合成统计分别留证。"/>
            <wp:cNvGraphicFramePr/>
            <a:graphic>
              <a:graphicData uri="http://schemas.openxmlformats.org/drawingml/2006/picture">
                <pic:pic>
                  <pic:nvPicPr>
                    <pic:cNvPr id="101" name="architecture"/>
                    <pic:cNvPicPr/>
                  </pic:nvPicPr>
                  <pic:blipFill>
                    <a:blip r:embed="rIdA113Figure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图1 软件流程。实时普通记录、历史重分析和合成统计分别留证。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2.2运行结果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原生目标环境为Ubuntu 24.04.4、Linux 6.8.0-138、x86_64/KVM、4个vCPU，CPU型号字符串为AMD EPYC 9K65 192-Core Processor。192-Core是型号字符串，不是实例资源。正式普通产物为GCC 13.3.0、RelWithDebInfo、-O2 -g -DNDEBUG、无LTO及非sanitizer，外部taskset绑定CPU2。宿主频率、物理资源和调度无法由来宾控制。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前置参考三次各3000条，共9000条完整记录，均值分别47075.037、46237.526、46121.981ns。CLOCK_MONOTONIC报告分辨率1ns，观察最小正读钟增量19ns；表示单位和报告分辨率不能替代实际精度。每次保存10000个读钟增量及1000个空窗值，未扣开销。源、产物与数据见证据E01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统一入口已完成参考短采集并导出真实页面；短演示仅证明流程，不替代正式样本。历史20份五种子四版本数据生成40份报告，与归档逐字一致，未重新采集。功能、历史重分析及实时普通记录分别展示，避免把封存材料伪装成现场实验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2.3技术指标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接口以1088字节正确长度密文作为普通测量负载；每次固定100次预热。逐次CSV含运行、实现、类别、序号、纳秒值和单位；配套元数据保留源与产物身份。描述分位数按floor(p×(n−1)+0.5)零基下标，不插值。旧报告“nearest rank”名称不准确，但数值和历史兼容输出不改。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新的条件化分析限4—20个成对单位、相同调用数和有界整数时间差。令d_k为对内总耗时差，T为差值和的绝对值，枚举全部2^m种标签交换，上尾包含等值，alpha固定0.01。独立对内交换及无后效条件不足时输出证据不足；效应区间另需成对单位iid。程序资格声明不是外部独立审计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这是既有精确随机化方法的工程实现，并未首次提出。C11利用相邻交换状态更新整数和，避免浮点近似移动等值边界；独立手算及SciPy核对验证实现。真实参考后赋独立标签属于无秘密零效应控制，合成偏移属于统计夹具，不能写成密码泄露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3.系统测试与结果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3.1测试方案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测试分为功能与接口、记录与来源、统计正确性、失败传播、产物核对及作者复算。独立NIST向量提供预期答案，不由被测实现自产。源码和编译条件改变后，对受影响产物重建并执行必要检查；动态检查与正式测量分目录、分时执行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正常构建覆盖四版KAT、随机源失败、功能等价、CLI、向量及摘要、记录与数据资格、配对数学和预算失败、统计手算、工作流及源码导出。普通性能固定S02执行31项；后续只读复算S03增加到32项。有限模型校准S04新增卷积手算检查，原生固定源码的GCC普通与Clang动态各33项通过。各快照按其实际注册与执行解释，旧主动机制计时不在默认交付范围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参数、方法、成本边界与有限数据集合在观察确认结果前冻结。开发和确认分开；原始负结果、失败准备和未闭合成本保留，不换种子、改阈值或重开预算得到通过。软件夹具时间不进入真实平台性能结果。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3.2 功能测试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每版独立KAT覆盖25组KeyGen、25组Encaps、10组Decaps及20组密钥校验，解封装包含5组隐式拒绝。四版共320组独立用例；接口检查包括空指针及错误长度。三组对参考版的差分各覆盖64个公开种子和三类输入，拒绝样本另核对J(z∥c)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已有S02/S03/S04各按31/32/33项解释。本轮N01主要执行窗口为UTC 16:18:45—16:19:13，GCC13.3普通及Clang18.1.3 ASan/UBSan各34项通过，GNU_STACK为RW。四版构建路径于UTC 16:22:32另行交叉核对。40份旧报告及C01—C04主结果逐字一致；执行者为作者代理，非原作者尚未执行。随机open失败已测，read/close故障注入未执行；此前GCC动态构建失败内部原件保留，未关闭警告或改封存补丁。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统计正确性包含4个相同差的精确尾计数2/16、零总和16/16、全并列、整数边界、畸形数据及计划拒绝、覆盖拒绝和依赖资格不足。源码导出按清单验证，不含.git；构建身份明确为导出摘要，兼容字段不冒称Git提交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3.3 性能测试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普通性能在同一Linux目标、固定源码S02和6个运行块执行。每块三种编码无分支形态的实现分别3000正式及100预热，六种方法排列全部出现；三种实现共享该块公开种子、有序输入流和负载比例。18个完整运行，共54000条正式记录、1800次预热；采集过程中不并行安装、编译或其他测量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逐次数据支持单次P50/P90/P99；每运行均值独立保留，不池化成同样数量的独立任务。相对参考，hardened均值差101.959ns、相对开销0.220522%，探索性99%成对bootstrap区间−3.725至189.399ns；deployable差−30.101ns、开销−0.065103%，区间−240.918至193.997ns。区间均跨零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6个运行对的iid条件在KVM上未得到证明，bootstrap区间仅是该模型下的探索描述，不保证总体覆盖，也不作防护效果判定。hardened保留函数级O0控制，reference/deployable正常优化，比较同时包含优化和代码形态差异；不能把速度差完全归于安全防护。负开销允许存在，不能据此声称更安全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本轮N01另采18个普通运行，54000条正式记录和1800次预热；hardened与deployable相对reference开销分别为0.824599%及1.091517%，99%探索区间均跨零，完整父窗口合计4.162秒。新源码及产物另列N01；图2和表1仍为旧E02，两个身份不混用，普通开销不判防护效果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3086100"/>
            <wp:docPr id="102" name="native-performance" descr="图2 全部18个普通运行均值。单位换算为微秒；非单次记录或总体置信区间，长尾及分位数见表1和原始数据。"/>
            <wp:cNvGraphicFramePr/>
            <a:graphic>
              <a:graphicData uri="http://schemas.openxmlformats.org/drawingml/2006/picture">
                <pic:pic>
                  <pic:nvPicPr>
                    <pic:cNvPr id="102" name="native-performance"/>
                    <pic:cNvPicPr/>
                  </pic:nvPicPr>
                  <pic:blipFill>
                    <a:blip r:embed="rIdA113Figure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图2 全部18个普通运行均值。单位换算为微秒；非单次记录或总体置信区间，长尾及分位数见表1和原始数据。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keepNext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表1 原生普通运行的逐次分位数  单位ns  每运行3000条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blGrid>
        <w:gridCol w:w="1100"/>
        <w:gridCol w:w="2050"/>
        <w:gridCol w:w="1850"/>
        <w:gridCol w:w="1546"/>
        <w:gridCol w:w="1546"/>
        <w:gridCol w:w="1546"/>
      </w:tblGrid>
      <w:tr>
        <w:trPr>
          <w:tblHeader/>
        </w:trP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运行块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实现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均值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P50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P90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P99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46193.517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45720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54699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46148.423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45908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46058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50968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45925.623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45688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50667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2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46407.084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45538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48678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60098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2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46383.034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56419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2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46102.585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45578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45808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56459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3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46206.193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45688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55897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3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46350.749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45808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46029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56530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3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46209.969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45689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45909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56238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46267.377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45950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56348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46480.338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46169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56799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46621.075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45779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47489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60619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46261.240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45719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45950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56279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46401.231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46089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56408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46241.867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45718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45938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56498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46077.670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45540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45879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56389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46261.061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45719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56549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46131.357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45579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45789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56479</w:t>
            </w:r>
          </w:p>
        </w:tc>
      </w:tr>
    </w:tbl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表1来源：E02/performance.report及同名CSV/meta；原始长尾完整保留。区间见正文，属于运行级条件描述。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3.4 测试数据与结果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历史人工回归在重加密所用消息编码中引入秘密相关分支。消息来自私钥参与的解密，源依赖与实际编译产物可以对应。hardened在相同优化控制下改用掩码，保持密码语义；deployable是正常优化下的编码形态对照。上游目标函数本来无分支，二者不是对上游新漏洞的修复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既有ARM64五种子四版本档案中，H1全零对全一主比较在预定1e−4阈值仅4/5显著；H2恒定组对变化组在1e−3阈值，人工回归5/5显著、reference/deployable各5/5未检出、hardened有1/5显著残差。两轮假设和阈值不同；固定消息组仅两个密文反复测量，名义p值不校正序列依赖。既有强措辞以统计审计限制为准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有限批次路线首次原生准备在GCC结构体初始化编译错误处停止，保留40000共同调用/3600秒未闭合预留。K4/K16开发、选择及20对确认未执行，没有稳定性收益或成本比值。后续可移植性修复和普通验收不能回填成该合同成功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统计主方向尚无超越正确配置dudect或RTLF的依据。dudect是自适应Welch检验族，RTLF理论涉及iid及有限方差，不能把既有相依记录误用造成的失败当胜利。[3][4] 备用方向采用SciPy1.16.3/NumPy2.3.5的精确成对交换、向量化、batch4096，与C使用相同20对整数数据、完整2^20分母、上尾含等值及同一检验统计量。[5]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开发2份固定文件、12次进程只用于兼容与选择；确认采用8份新冻结无秘密任务，每方法每份3次，共48次完整进程，精确尾计数及判定全部一致，原始CSV未变。每份最大C耗时均小于最小SciPy耗时，24个比值中位数0.001388504，范围0.001139408—0.001734854。SciPy总进程56.401718秒，C为0.080189秒；确认观察窗口56.487808秒，开发14.048571秒，均在固定总预算内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启动成本敏感性补充沿用这8份任务。SciPy预导入后，48次尾计数仍完全一致，中位窗口比值0.001562070，每份C最大仍小于SciPy最小；基线就绪后49.704188秒，C完整进程0.079016秒，就绪6.559904秒另计。比较观察窗口56.349633秒，未超120秒。这是既有数据的成本边界复核，不是新独立确认、纯内核或密码加速；也不支持灵敏度或安全性提升。固定任务没有总体速度区间，研发完整墙钟未采集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3086100"/>
            <wp:docPr id="103" name="replay-efficiency" descr="图3 固定确认轮24个进程各自的成本合计。源为C观察报告；导入与启动计入SciPy，未作纯内核性能或密码安全声明。"/>
            <wp:cNvGraphicFramePr/>
            <a:graphic>
              <a:graphicData uri="http://schemas.openxmlformats.org/drawingml/2006/picture">
                <pic:pic>
                  <pic:nvPicPr>
                    <pic:cNvPr id="103" name="replay-efficiency"/>
                    <pic:cNvPicPr/>
                  </pic:nvPicPr>
                  <pic:blipFill>
                    <a:blip r:embed="rIdA113Figure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图3 两种成本边界下的精确复算耗时（对数刻度）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keepNext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表2 有限效率确认  完整精确检验判定逐项一致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r>
        <w:trPr>
          <w:tblHeader/>
        </w:trP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项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结果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固定确认任务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8份新冻结文件，各20对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实际完整进程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48次，退出码全部0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比值中位数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0.001388504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比值范围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0.001139408—0.001734854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原始身份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CSV及冻结计划未修改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支持范围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限定完整进程复算效率</w:t>
            </w:r>
          </w:p>
        </w:tc>
      </w:tr>
    </w:tbl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>3.5 有限模型统计校准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在观察结果前固定12个成对单位。equal每对幅度为1，graded依次为1至12；差值为delta加正负幅度，五个效应值见表3。独立模型的全部4096种符号组合等概率；共同符号模型各仅两种结果。共40964份数据由C生成和验证，单位为合成ns，不是密码采集时间；没有新的ML-KEM解封装调用，不把模型当真实密码噪声分布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每份数据分别用现有精确入口和另行实现的整数分布卷积核对，40964份尾计数全部一致；44份预先选定的SciPy审计也一致。独立零效应的误拒绝概率为26/4096和38/4096，均低于alpha=0.01；equal的结果与二项式手算吻合。表3保留全部效应结果，graded在效应4时仍只有353/4096检出；equal在效应1时的一份全零数据保留在分母中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共同符号模型虽然均值为零，盲用独立交换规则时每个模型都是2/2拒绝；实际成对入口对四份依赖数据均返回证据不足。拒绝签收不等于把误报降至零。该补证支持固定有限模型的错误、检出和资格边界，未校准真实密码总体或真实序列依赖，不提供超越正确配置dudect/RTLF的检测证据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keepNext/>
      </w:pPr>
      <w:r>
        <w:rPr>
          <w:rFonts w:hint="eastAsia" w:ascii="楷体_GB2312" w:hAnsi="Times New Roman" w:eastAsia="楷体_GB2312"/>
          <w:bCs/>
          <w:sz w:val="28"/>
          <w:szCs w:val="28"/>
        </w:rPr>
        <w:t>表3 固定有限模型的原始拒绝数  每个独立模型4096种结果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r>
        <w:trPr>
          <w:tblHeader/>
        </w:trP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效应delta（合成ns）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equal拒绝数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graded拒绝数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26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38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1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794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48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2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4096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91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4096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353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12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4096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4096</w:t>
            </w:r>
          </w:p>
        </w:tc>
      </w:tr>
    </w:tbl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表3来源：C02有限模型原始记录及C报告；效应0为模型内误拒绝，其余为该模型检出，不估计真实密码总体概率。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>3.6 真实参考时间的后赋标签控制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C04使用E02六份封存普通参考记录。程序完整读取每份3000条及meta/cost并核验资格，每块固定取原序0至23组成12对；采集后独立等概率交换标签，遍历全部4096种组合。时间值不添加偏移，也不按原密文类别或秘密分类。保存144个原时间及24576份差值和计数，新解封装调用为0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整数精确结果与独立逐项求和、排序秩核验逐行一致，24份预定SciPy审计一致，完整动态运行的原始行也一致。表4给出全部六块结果，各自的条件拒绝概率不超过0.01。C任务约0.209秒，读取、计算和原始记录关闭均计入，最终摘要及状态发布另列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keepNext/>
      </w:pPr>
      <w:r>
        <w:rPr>
          <w:rFonts w:hint="eastAsia" w:ascii="楷体_GB2312" w:hAnsi="Times New Roman" w:eastAsia="楷体_GB2312"/>
          <w:bCs/>
          <w:sz w:val="28"/>
          <w:szCs w:val="28"/>
        </w:rPr>
        <w:t>表4 后赋标签模型的条件拒绝数 每块4096种标签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r>
        <w:trPr>
          <w:tblHeader/>
        </w:trP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运行块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条件拒绝数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条件概率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1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0.009765625000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2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0.009765625000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3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0.009765625000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38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0.009277343750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5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0.009765625000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38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0.009277343750</w:t>
            </w:r>
          </w:p>
        </w:tc>
      </w:tr>
    </w:tbl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表4 来源：C04完整标签记录及C报告；条件概率以4096为分母，无Monte Carlo抽样误差，不是总体误报率估计。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这只验证给定时间对后独立标签模型的条件错误控制，不要求这些给定时间值iid；不代表采集时实施了该随机化，也不校准原密文类别或真实密码总体。初版遗漏成本内容校验，未签收并保留；修复复用共用C读取器，时钟、身份、计数或成本矛盾在输出数据前被拒绝。旧统计规则和原始时间不改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4.应用前景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可作为本地密码实现审计教学及工程复核工具。开发者可以先确认功能和接口，再保存普通运行的完整记录；使用者可从指定文件重分析，核对方法、源身份和限制，减少“只有一个p值”或“只看源码分支”的错误判断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适用范围是单机ML-KEM-768便携C实现、本地运行与离线复算。未来需要团队在批准的防御测试计划下取得新的受控防护前后数据、进行必要的因果分离，并由实际未参与实现的成员独立执行。云宿主控制不足、其他处理器、优化条件或网络环境的变化都需要新的身份和证据，不能用现有数字外推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5. 结论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本轮补齐公开来源与固定版本适用性审查，修正构建身份记录中的路径错误，保留算法及历史数据。软件、功能与产物核验、普通性能、既有数据复算分别留证。有限精确复算效率服务于统计检测的核查与复现，不支持ML-KEM加速、检测更灵敏或防护已有效；当前材料为供团队审阅修改的提交候选版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演示的实际界面截图因工具本地文件访问策略受限，未取得；离线页面和真实程序日志已提供，截图需团队手工完成。未闭合项仍包括新受控防护时序闭环、历史差异的完整因果分离、运行独立性校准和真实非原作者执行。新平台普通性能与静态产物核验不能替代这些证据。作品编号、正式题名、实际分工、签字、意见和盖章由团队真实填写及完成；本报告不宣称已经正式提交或全部要求达标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6 来源与复现材料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[1] NIST. Module-Lattice-Based Key-Encapsulation Mechanism Standard. FIPS 203, 2024. https://csrc.nist.gov/pubs/fips/203/final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[2] pq-code-package. mlkem-native固定快照及证明边界。https://github.com/pq-code-package/mlkem-native/blob/b3ba7b32773e657dd37f6f87bce82528459ad8a4/SOUNDNESS.md；预防性值屏障变更：https://github.com/pq-code-package/mlkem-native/pull/1342。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[3] Reparaz O, Balasch J, Verbauwhede I. Dude, is my code constant time? DATE 2017；dudect固定dc269651fb2567e46755cfb2a13d3875592968b5。https://github.com/oreparaz/dudect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[4] Dunsche M, et al. With Great Power Come Great Side Channels: Statistical Timing Side-Channel Analyses with Bounded Type-1 Errors. USENIX Security 2024；已核对官方勘误。https://www.usenix.org/conference/usenixsecurity24/presentation/dunsche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[5] SciPy. permutation_test官方定义；对照实际版本SciPy1.16.3/NumPy2.3.5。https://docs.scipy.org/doc/scipy/reference/generated/scipy.stats.permutation_test.html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[6] clangover机制出处固定7f4d5dc162b77c362a34a0d52949f7a3e1b16d81，原对象是旧Kyber，不能冒称FIPS 203。https://github.com/antoonpurnal/clangover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证据：U01公开来源，D01固定版本审查，E01前置，E02旧性能，H01人工档案，C01—C04统计复核，A01旧作者复现（旧别名R01），N01本轮Linux核验与A02作者代理复算。原数值CSV不改；运行原件内部保留。支撑包source/docs内含公开审查与适用性，source/docs/evidence/candidate-round-20261007/native为有转换记录的匿名副本，复算与离线索引见source/README.md。真实非原作者须另留本人日志并签收。</w:t>
      </w: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KSOFF9CBECC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414236616"/>
      <w:docPartObj>
        <w:docPartGallery w:val="autotext"/>
      </w:docPartObj>
    </w:sdtPr>
    <w:sdtEndPr>
      <w:rPr>
        <w:rFonts w:ascii="Times New Roman" w:hAnsi="Times New Roman" w:cs="Times New Roman"/>
      </w:rPr>
    </w:sdtEndPr>
    <w:sdtContent>
      <w:p w14:paraId="212440BD">
        <w:pPr>
          <w:pStyle w:val="5"/>
          <w:jc w:val="center"/>
          <w:rPr>
            <w:rFonts w:ascii="Times New Roman" w:hAnsi="Times New Roman" w:cs="Times New Roman"/>
          </w:rPr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PAGE   \* MERGEFORMAT</w:instrText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  <w:lang w:val="zh-CN"/>
          </w:rPr>
          <w:t>1</w:t>
        </w:r>
        <w:r>
          <w:rPr>
            <w:rFonts w:ascii="Times New Roman" w:hAnsi="Times New Roman" w:cs="Times New Roman"/>
          </w:rPr>
          <w:fldChar w:fldCharType="end"/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F00957">
    <w:pPr>
      <w:pStyle w:val="6"/>
    </w:pPr>
    <w:r>
      <w:rPr>
        <w:rFonts w:hint="eastAsia"/>
      </w:rPr>
      <w:t>全国密码技术竞赛作品设计报告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D3B4D"/>
    <w:rsid w:val="0001769F"/>
    <w:rsid w:val="00035012"/>
    <w:rsid w:val="00075049"/>
    <w:rsid w:val="00090885"/>
    <w:rsid w:val="00146555"/>
    <w:rsid w:val="00161B1B"/>
    <w:rsid w:val="00175070"/>
    <w:rsid w:val="00186455"/>
    <w:rsid w:val="00191B02"/>
    <w:rsid w:val="001A47C8"/>
    <w:rsid w:val="001B1DB6"/>
    <w:rsid w:val="001C1D17"/>
    <w:rsid w:val="001C6D92"/>
    <w:rsid w:val="001D3664"/>
    <w:rsid w:val="001E1D13"/>
    <w:rsid w:val="0022689B"/>
    <w:rsid w:val="00256BB7"/>
    <w:rsid w:val="002774FA"/>
    <w:rsid w:val="002822D8"/>
    <w:rsid w:val="002845D6"/>
    <w:rsid w:val="002A4EA5"/>
    <w:rsid w:val="003141E7"/>
    <w:rsid w:val="00332691"/>
    <w:rsid w:val="0034273A"/>
    <w:rsid w:val="0039611F"/>
    <w:rsid w:val="00425721"/>
    <w:rsid w:val="00432817"/>
    <w:rsid w:val="00434101"/>
    <w:rsid w:val="0043470B"/>
    <w:rsid w:val="00466388"/>
    <w:rsid w:val="004F4C94"/>
    <w:rsid w:val="00513A12"/>
    <w:rsid w:val="00517279"/>
    <w:rsid w:val="00547813"/>
    <w:rsid w:val="00554F5D"/>
    <w:rsid w:val="0057300D"/>
    <w:rsid w:val="00574703"/>
    <w:rsid w:val="005822FE"/>
    <w:rsid w:val="0059419A"/>
    <w:rsid w:val="005F7A30"/>
    <w:rsid w:val="00611E07"/>
    <w:rsid w:val="00621AF2"/>
    <w:rsid w:val="00631E26"/>
    <w:rsid w:val="0063657D"/>
    <w:rsid w:val="00664B42"/>
    <w:rsid w:val="0067271A"/>
    <w:rsid w:val="00677002"/>
    <w:rsid w:val="00687301"/>
    <w:rsid w:val="006D30A0"/>
    <w:rsid w:val="006D3B4D"/>
    <w:rsid w:val="006F3184"/>
    <w:rsid w:val="00731E6B"/>
    <w:rsid w:val="00747B59"/>
    <w:rsid w:val="00766607"/>
    <w:rsid w:val="0077465F"/>
    <w:rsid w:val="007817EC"/>
    <w:rsid w:val="007D255F"/>
    <w:rsid w:val="007E6BB3"/>
    <w:rsid w:val="008201D9"/>
    <w:rsid w:val="00830906"/>
    <w:rsid w:val="00845996"/>
    <w:rsid w:val="00847781"/>
    <w:rsid w:val="00863E71"/>
    <w:rsid w:val="008F5F36"/>
    <w:rsid w:val="00903383"/>
    <w:rsid w:val="00934DCF"/>
    <w:rsid w:val="00946FD5"/>
    <w:rsid w:val="009733E4"/>
    <w:rsid w:val="009943D4"/>
    <w:rsid w:val="009A03F1"/>
    <w:rsid w:val="009F6678"/>
    <w:rsid w:val="00A2005F"/>
    <w:rsid w:val="00A21582"/>
    <w:rsid w:val="00A40871"/>
    <w:rsid w:val="00A41124"/>
    <w:rsid w:val="00AA005E"/>
    <w:rsid w:val="00AB58A4"/>
    <w:rsid w:val="00AD1EA7"/>
    <w:rsid w:val="00AF2C1B"/>
    <w:rsid w:val="00AF71EF"/>
    <w:rsid w:val="00AF784B"/>
    <w:rsid w:val="00AF7905"/>
    <w:rsid w:val="00B15194"/>
    <w:rsid w:val="00B40659"/>
    <w:rsid w:val="00B64376"/>
    <w:rsid w:val="00B711FB"/>
    <w:rsid w:val="00B938E4"/>
    <w:rsid w:val="00BC477C"/>
    <w:rsid w:val="00BC5F07"/>
    <w:rsid w:val="00BD2BD8"/>
    <w:rsid w:val="00C15503"/>
    <w:rsid w:val="00C22111"/>
    <w:rsid w:val="00C30983"/>
    <w:rsid w:val="00C33189"/>
    <w:rsid w:val="00C649BD"/>
    <w:rsid w:val="00CB56D2"/>
    <w:rsid w:val="00CC465B"/>
    <w:rsid w:val="00CC620C"/>
    <w:rsid w:val="00CD077A"/>
    <w:rsid w:val="00D22DCE"/>
    <w:rsid w:val="00D3438E"/>
    <w:rsid w:val="00D414A2"/>
    <w:rsid w:val="00D42866"/>
    <w:rsid w:val="00D9024E"/>
    <w:rsid w:val="00DD00B4"/>
    <w:rsid w:val="00DE0776"/>
    <w:rsid w:val="00E219F6"/>
    <w:rsid w:val="00E42F92"/>
    <w:rsid w:val="00E46B6F"/>
    <w:rsid w:val="00E60254"/>
    <w:rsid w:val="00E80179"/>
    <w:rsid w:val="00E966EE"/>
    <w:rsid w:val="00EA59BD"/>
    <w:rsid w:val="00EA77A6"/>
    <w:rsid w:val="00ED492E"/>
    <w:rsid w:val="00EF686B"/>
    <w:rsid w:val="00F81DAA"/>
    <w:rsid w:val="00F84C28"/>
    <w:rsid w:val="00FA04FA"/>
    <w:rsid w:val="00FB1F38"/>
    <w:rsid w:val="00FB7EE9"/>
    <w:rsid w:val="00FD3354"/>
    <w:rsid w:val="00FE0607"/>
    <w:rsid w:val="00FF3324"/>
    <w:rsid w:val="0FAA12E4"/>
    <w:rsid w:val="4C7C2AD2"/>
    <w:rsid w:val="79F71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6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character" w:customStyle="1" w:styleId="9">
    <w:name w:val="页眉 字符"/>
    <w:basedOn w:val="8"/>
    <w:link w:val="6"/>
    <w:qFormat/>
    <w:uiPriority w:val="99"/>
    <w:rPr>
      <w:sz w:val="18"/>
      <w:szCs w:val="18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批注框文本 字符"/>
    <w:basedOn w:val="8"/>
    <w:link w:val="4"/>
    <w:semiHidden/>
    <w:uiPriority w:val="99"/>
    <w:rPr>
      <w:rFonts w:ascii="Calibri" w:hAnsi="Calibri" w:eastAsia="宋体" w:cs="Times New Roman"/>
      <w:sz w:val="18"/>
      <w:szCs w:val="18"/>
    </w:rPr>
  </w:style>
  <w:style w:type="character" w:customStyle="1" w:styleId="12">
    <w:name w:val="QB正文 Char"/>
    <w:link w:val="13"/>
    <w:uiPriority w:val="0"/>
    <w:rPr>
      <w:rFonts w:ascii="宋体"/>
    </w:rPr>
  </w:style>
  <w:style w:type="paragraph" w:customStyle="1" w:styleId="13">
    <w:name w:val="QB正文"/>
    <w:basedOn w:val="1"/>
    <w:link w:val="12"/>
    <w:qFormat/>
    <w:uiPriority w:val="0"/>
    <w:pPr>
      <w:widowControl/>
      <w:autoSpaceDE w:val="0"/>
      <w:autoSpaceDN w:val="0"/>
      <w:spacing w:line="300" w:lineRule="auto"/>
      <w:ind w:firstLine="200" w:firstLineChars="200"/>
    </w:pPr>
    <w:rPr>
      <w:rFonts w:ascii="宋体" w:hAnsiTheme="minorHAnsi" w:eastAsiaTheme="minorEastAsia" w:cstheme="minorBidi"/>
    </w:rPr>
  </w:style>
  <w:style w:type="paragraph" w:customStyle="1" w:styleId="14">
    <w:name w:val="p15"/>
    <w:basedOn w:val="1"/>
    <w:qFormat/>
    <w:uiPriority w:val="0"/>
    <w:pPr>
      <w:widowControl/>
      <w:ind w:firstLine="420"/>
    </w:pPr>
    <w:rPr>
      <w:rFonts w:ascii="Times New Roman" w:hAnsi="Times New Roman"/>
      <w:kern w:val="0"/>
      <w:szCs w:val="21"/>
    </w:rPr>
  </w:style>
  <w:style w:type="paragraph" w:customStyle="1" w:styleId="15">
    <w:name w:val="p0"/>
    <w:basedOn w:val="1"/>
    <w:uiPriority w:val="0"/>
    <w:pPr>
      <w:widowControl/>
    </w:pPr>
    <w:rPr>
      <w:rFonts w:ascii="Times New Roman" w:hAnsi="Times New Roman"/>
      <w:kern w:val="0"/>
      <w:szCs w:val="21"/>
    </w:rPr>
  </w:style>
  <w:style w:type="character" w:customStyle="1" w:styleId="16">
    <w:name w:val="标题 1 字符"/>
    <w:basedOn w:val="8"/>
    <w:link w:val="2"/>
    <w:uiPriority w:val="9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7">
    <w:name w:val="标题 2 字符"/>
    <w:basedOn w:val="8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A113Figure1" Type="http://schemas.openxmlformats.org/officeDocument/2006/relationships/image" Target="media/a113-architecture.png"/><Relationship Id="rIdA113Figure2" Type="http://schemas.openxmlformats.org/officeDocument/2006/relationships/image" Target="media/a113-native-performance.png"/><Relationship Id="rIdA113Figure3" Type="http://schemas.openxmlformats.org/officeDocument/2006/relationships/image" Target="media/a113-replay-efficiency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EEFF8F8-817C-46C2-B7C0-7F1D2A20EB1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4</Pages>
  <Words>236</Words>
  <Characters>243</Characters>
  <Lines>3</Lines>
  <Paragraphs>1</Paragraphs>
  <TotalTime>24</TotalTime>
  <ScaleCrop>false</ScaleCrop>
  <LinksUpToDate>false</LinksUpToDate>
  <CharactersWithSpaces>309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2019-09-14T06:53:00Z</dcterms:created>
  <dc:creator/>
  <cp:lastModifiedBy/>
  <dcterms:modified xsi:type="dcterms:W3CDTF">2026-09-20T07:09:28Z</dcterms:modified>
  <dc:title/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RubyTemplateID" linkTarget="0">
    <vt:lpwstr>6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eyJoZGlkIjoiNWQ5ZDQyNWExM2I5OGFkYzI5NTUwZWI3YjM5NzhlYzciLCJ1c2VySWQiOiIxNTUxNjk3NTg4In0=</vt:lpwstr>
  </property>
  <property fmtid="{D5CDD505-2E9C-101B-9397-08002B2CF9AE}" pid="5" name="ICV">
    <vt:lpwstr>3C07B40A024C48A48B1C0127491CFB76_12</vt:lpwstr>
  </property>
</Properties>
</file>