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A34BC">
      <w:pPr>
        <w:keepNext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作品编号：CACR2026EA16XZ</w:t>
      </w:r>
      <w:r>
        <w:rPr>
          <w:rFonts w:ascii="楷体_GB2312" w:hAnsi="Times New Roman" w:eastAsia="楷体_GB2312"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4584700</wp:posOffset>
            </wp:positionH>
            <wp:positionV relativeFrom="paragraph">
              <wp:posOffset>-90805</wp:posOffset>
            </wp:positionV>
            <wp:extent cx="1534795" cy="1163320"/>
            <wp:effectExtent l="0" t="0" r="8255" b="0"/>
            <wp:wrapSquare wrapText="bothSides"/>
            <wp:docPr id="2" name="图片 2" descr="D:\密码学会教育工作委员会\学会\学会图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密码学会教育工作委员会\学会\学会图标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_GB2312" w:hAnsi="Times New Roman" w:eastAsia="楷体_GB2312"/>
          <w:bCs/>
          <w:sz w:val="28"/>
          <w:szCs w:val="28"/>
        </w:rPr>
        <w:t xml:space="preserve"/>
      </w: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w:t xml:space="preserve"/>
      </w:r>
      <w:r>
        <w:rPr>
          <w:rFonts w:hint="eastAsia" w:ascii="楷体_GB2312" w:hAnsi="Times New Roman" w:eastAsia="楷体_GB2312"/>
          <w:b/>
          <w:color w:val="FF0000"/>
          <w:sz w:val="28"/>
          <w:szCs w:val="28"/>
          <w:u w:val="single"/>
        </w:rPr>
        <w:t xml:space="preserve"/>
      </w:r>
      <w:r>
        <w:rPr>
          <w:rFonts w:hint="eastAsia" w:ascii="楷体_GB2312" w:hAnsi="Times New Roman" w:eastAsia="楷体_GB2312"/>
          <w:bCs/>
          <w:color w:val="FF0000"/>
          <w:sz w:val="28"/>
          <w:szCs w:val="28"/>
          <w:u w:val="single"/>
        </w:rPr>
        <w:t xml:space="preserve"/>
      </w: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w:t xml:space="preserve"/>
      </w:r>
    </w:p>
    <w:p w14:paraId="4ED5BDDA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4656AD64">
      <w:pPr>
        <w:widowControl/>
        <w:adjustRightInd w:val="0"/>
        <w:snapToGrid w:val="0"/>
        <w:spacing w:line="480" w:lineRule="exact"/>
        <w:rPr>
          <w:rFonts w:hint="eastAsia" w:ascii="宋体" w:hAnsi="宋体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作品类别： □软件设计   □硬件制作   ■工程实践</w:t>
      </w:r>
      <w:bookmarkStart w:id="0" w:name="OLE_LINK1"/>
      <w:bookmarkStart w:id="1" w:name="OLE_LINK2"/>
      <w:r>
        <w:rPr>
          <w:rFonts w:hint="eastAsia" w:ascii="楷体_GB2312" w:hAnsi="Times New Roman" w:eastAsia="楷体_GB2312"/>
          <w:bCs/>
          <w:sz w:val="28"/>
          <w:szCs w:val="28"/>
        </w:rPr>
        <w:t xml:space="preserve"/>
      </w:r>
      <w:bookmarkEnd w:id="0"/>
      <w:bookmarkEnd w:id="1"/>
      <w:r>
        <w:rPr>
          <w:rFonts w:hint="eastAsia" w:ascii="宋体" w:hAnsi="宋体"/>
        </w:rPr>
        <w:t xml:space="preserve"/>
      </w:r>
      <w:r>
        <w:rPr>
          <w:rFonts w:hint="eastAsia"/>
        </w:rPr>
        <w:t xml:space="preserve"/>
      </w:r>
      <w:r>
        <w:rPr>
          <w:rFonts w:hint="eastAsia" w:ascii="宋体" w:hAnsi="宋体"/>
        </w:rPr>
        <w:t xml:space="preserve"/>
      </w:r>
      <w:r>
        <w:rPr>
          <w:rFonts w:ascii="宋体" w:hAnsi="宋体"/>
        </w:rPr>
        <w:t xml:space="preserve"/>
      </w:r>
    </w:p>
    <w:p w14:paraId="1929CAAD">
      <w:pPr>
        <w:widowControl/>
        <w:adjustRightInd w:val="0"/>
        <w:snapToGrid w:val="0"/>
        <w:spacing w:line="480" w:lineRule="exact"/>
        <w:ind w:firstLine="1470" w:firstLineChars="700"/>
        <w:rPr>
          <w:rFonts w:hint="eastAsia" w:ascii="宋体" w:hAnsi="宋体"/>
        </w:rPr>
      </w:pPr>
      <w:r>
        <w:rPr>
          <w:rFonts w:hint="eastAsia" w:ascii="宋体" w:hAnsi="宋体"/>
        </w:rPr>
        <w:t>□密码应用技术  □其它</w:t>
      </w:r>
    </w:p>
    <w:p w14:paraId="1B6B0FE6">
      <w:pPr>
        <w:widowControl/>
        <w:adjustRightInd w:val="0"/>
        <w:snapToGrid w:val="0"/>
        <w:spacing w:line="480" w:lineRule="exact"/>
        <w:ind w:firstLine="1470" w:firstLineChars="700"/>
        <w:rPr>
          <w:rFonts w:hint="eastAsia" w:ascii="宋体" w:hAnsi="宋体"/>
        </w:rPr>
      </w:pPr>
    </w:p>
    <w:p w14:paraId="78E13ED1">
      <w:pPr>
        <w:widowControl/>
        <w:adjustRightInd w:val="0"/>
        <w:snapToGrid w:val="0"/>
        <w:spacing w:line="480" w:lineRule="exact"/>
        <w:rPr>
          <w:rFonts w:hint="eastAsia" w:ascii="宋体" w:hAnsi="宋体"/>
        </w:rPr>
      </w:pPr>
    </w:p>
    <w:p w14:paraId="7433C3F8">
      <w:pPr>
        <w:widowControl/>
        <w:adjustRightInd w:val="0"/>
        <w:snapToGrid w:val="0"/>
        <w:jc w:val="right"/>
        <w:rPr>
          <w:rFonts w:ascii="楷体_GB2312" w:hAnsi="Times New Roman" w:eastAsia="楷体_GB2312"/>
          <w:bCs/>
          <w:sz w:val="28"/>
          <w:szCs w:val="28"/>
        </w:rPr>
      </w:pPr>
    </w:p>
    <w:p w14:paraId="00F1FE9A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0519D025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bookmarkStart w:id="2" w:name="_GoBack"/>
      <w:bookmarkEnd w:id="2"/>
    </w:p>
    <w:p w14:paraId="4A52C4E0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6457B05F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/>
          <w:bCs/>
          <w:sz w:val="36"/>
          <w:szCs w:val="36"/>
        </w:rPr>
      </w:pPr>
      <w:r>
        <w:rPr>
          <w:rFonts w:ascii="楷体_GB2312" w:hAnsi="Times New Roman" w:eastAsia="楷体_GB2312"/>
          <w:b/>
          <w:bCs/>
          <w:sz w:val="36"/>
          <w:szCs w:val="36"/>
        </w:rPr>
        <w:t>202</w:t>
      </w:r>
      <w:r>
        <w:rPr>
          <w:rFonts w:hint="eastAsia" w:ascii="楷体_GB2312" w:hAnsi="Times New Roman" w:eastAsia="楷体_GB2312"/>
          <w:b/>
          <w:bCs/>
          <w:sz w:val="36"/>
          <w:szCs w:val="36"/>
          <w:lang w:val="en-US" w:eastAsia="zh-CN"/>
        </w:rPr>
        <w:t>6</w:t>
      </w:r>
      <w:r>
        <w:rPr>
          <w:rFonts w:hint="eastAsia" w:ascii="楷体_GB2312" w:hAnsi="Times New Roman" w:eastAsia="楷体_GB2312"/>
          <w:b/>
          <w:bCs/>
          <w:sz w:val="36"/>
          <w:szCs w:val="36"/>
        </w:rPr>
        <w:t>年第十</w:t>
      </w:r>
      <w:r>
        <w:rPr>
          <w:rFonts w:hint="eastAsia" w:ascii="楷体_GB2312" w:hAnsi="Times New Roman" w:eastAsia="楷体_GB2312"/>
          <w:b/>
          <w:bCs/>
          <w:sz w:val="36"/>
          <w:szCs w:val="36"/>
          <w:lang w:val="en-US" w:eastAsia="zh-CN"/>
        </w:rPr>
        <w:t>一</w:t>
      </w:r>
      <w:r>
        <w:rPr>
          <w:rFonts w:hint="eastAsia" w:ascii="楷体_GB2312" w:hAnsi="Times New Roman" w:eastAsia="楷体_GB2312"/>
          <w:b/>
          <w:bCs/>
          <w:sz w:val="36"/>
          <w:szCs w:val="36"/>
        </w:rPr>
        <w:t>届全国密码技术竞赛作品设计报告</w:t>
      </w:r>
    </w:p>
    <w:p w14:paraId="1316150A">
      <w:pPr>
        <w:keepNext/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2.45pt;margin-top:16.85pt;height:2.7pt;width:385.8pt;z-index:251659264;mso-width-relative:page;mso-height-relative:page;" filled="f" stroked="t" coordsize="21600,21600" o:gfxdata="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BC8vj1QAAAAgBAAAPAAAAAAAAAAEAIAAAACIAAABkcnMvZG93bnJldi54bWxQ&#10;SwECFAAUAAAACACHTuJAsRge9PoBAADiAwAADgAAAAAAAAABACAAAAAkAQAAZHJzL2Uyb0RvYy54&#10;bWxQSwUGAAAAAAYABgBZAQAAkAUAAAAA&#10;">
                <v:fill on="f" focussize="0,0"/>
                <v:stroke weight="3pt"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131E305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01DF0E1D">
      <w:pPr>
        <w:widowControl/>
        <w:adjustRightInd w:val="0"/>
        <w:snapToGrid w:val="0"/>
        <w:spacing w:line="480" w:lineRule="exact"/>
        <w:jc w:val="center"/>
        <w:rPr>
          <w:rFonts w:ascii="楷体_GB2312" w:hAnsi="Times New Roman" w:eastAsia="楷体_GB2312"/>
          <w:bCs/>
          <w:sz w:val="28"/>
          <w:szCs w:val="28"/>
          <w:u w:val="single"/>
        </w:rPr>
      </w:pPr>
    </w:p>
    <w:p w14:paraId="0D429881">
      <w:pPr>
        <w:widowControl/>
        <w:adjustRightInd w:val="0"/>
        <w:snapToGrid w:val="0"/>
        <w:spacing w:line="700" w:lineRule="exact"/>
        <w:ind w:firstLine="1680" w:firstLineChars="600"/>
        <w:rPr>
          <w:rFonts w:hint="eastAsia" w:ascii="华文中宋" w:hAnsi="华文中宋" w:eastAsia="华文中宋"/>
          <w:bCs/>
          <w:sz w:val="28"/>
          <w:szCs w:val="28"/>
          <w:u w:val="single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作品题目：</w:t>
      </w:r>
      <w:r>
        <w:rPr>
          <w:rFonts w:hint="eastAsia" w:ascii="华文中宋" w:hAnsi="华文中宋" w:eastAsia="华文中宋"/>
          <w:bCs/>
          <w:sz w:val="28"/>
          <w:szCs w:val="28"/>
          <w:u w:val="single"/>
        </w:rPr>
        <w:t>ML-KEM 解封装实现的时间侧信道检测与常数时间防护（暂定题名）</w:t>
      </w:r>
    </w:p>
    <w:p w14:paraId="4EE13EFD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323A5D9B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0A15B53C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7DD67DF5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28AB24E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48B47AE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p w14:paraId="4EDCC657">
      <w:pPr>
        <w:widowControl/>
        <w:adjustRightInd w:val="0"/>
        <w:snapToGrid w:val="0"/>
        <w:spacing w:line="600" w:lineRule="exact"/>
        <w:ind w:firstLine="560" w:firstLineChars="200"/>
        <w:jc w:val="center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2026 年 10 月 12 日</w:t>
      </w:r>
    </w:p>
    <w:p w14:paraId="06B1D532">
      <w:pPr>
        <w:widowControl/>
        <w:adjustRightInd w:val="0"/>
        <w:snapToGrid w:val="0"/>
        <w:spacing w:line="600" w:lineRule="exact"/>
        <w:ind w:firstLine="560" w:firstLineChars="200"/>
        <w:jc w:val="center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中国密码学会</w:t>
      </w:r>
    </w:p>
    <w:p w14:paraId="6F4C8D9E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  <w:sectPr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tbl>
      <w:tblPr>
        <w:tblStyle w:val="7"/>
        <w:tblW w:w="891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3"/>
      </w:tblGrid>
      <w:tr w14:paraId="01250D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6E1D7EA">
            <w:pPr>
              <w:jc w:val="center"/>
              <w:rPr>
                <w:sz w:val="24"/>
              </w:rPr>
            </w:pPr>
            <w:r>
              <w:rPr>
                <w:rFonts w:hint="eastAsia"/>
                <w:spacing w:val="-8"/>
                <w:sz w:val="30"/>
              </w:rPr>
              <w:t xml:space="preserve">基本信息表</w:t>
            </w:r>
          </w:p>
        </w:tc>
      </w:tr>
      <w:tr w14:paraId="05860E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721B18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 xml:space="preserve">编号：CACR2026EA16XZ</w:t>
            </w:r>
          </w:p>
        </w:tc>
      </w:tr>
      <w:tr w14:paraId="72923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2F0FFCE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 xml:space="preserve">作品题目：ML-KEM 解封装实现的时间侧信道检测与常数时间防护（暂定题名）</w:t>
            </w:r>
          </w:p>
        </w:tc>
      </w:tr>
      <w:tr w14:paraId="4CC362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6E18E984">
            <w:pPr>
              <w:adjustRightInd w:val="0"/>
              <w:snapToGrid w:val="0"/>
              <w:spacing w:line="360" w:lineRule="auto"/>
              <w:ind w:left="1500" w:hanging="1500" w:hangingChars="500"/>
              <w:jc w:val="left"/>
              <w:rPr>
                <w:snapToGrid w:val="0"/>
                <w:sz w:val="24"/>
              </w:rPr>
            </w:pPr>
            <w:r>
              <w:rPr>
                <w:rFonts w:hint="eastAsia"/>
                <w:snapToGrid w:val="0"/>
                <w:sz w:val="30"/>
                <w:szCs w:val="30"/>
              </w:rPr>
              <w:t>作品类别：</w:t>
            </w:r>
            <w:r>
              <w:rPr>
                <w:rFonts w:hint="eastAsia" w:ascii="宋体" w:hAnsi="宋体"/>
              </w:rPr>
              <w:t>□软件设计   □</w:t>
            </w:r>
            <w:r>
              <w:rPr>
                <w:rFonts w:hint="eastAsia"/>
              </w:rPr>
              <w:t xml:space="preserve">硬件制作   </w:t>
            </w:r>
            <w:r>
              <w:rPr>
                <w:rFonts w:hint="eastAsia" w:ascii="宋体" w:hAnsi="宋体"/>
              </w:rPr>
              <w:t xml:space="preserve">■工程实践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□密码技术应用  □其它</w:t>
            </w:r>
          </w:p>
        </w:tc>
      </w:tr>
      <w:tr w14:paraId="4B036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5" w:hRule="atLeast"/>
          <w:jc w:val="center"/>
        </w:trPr>
        <w:tc>
          <w:tcPr>
            <w:tcW w:w="8913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EA73BA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作品内容摘要：</w:t>
            </w:r>
          </w:p>
          <w:p w14:paraId="7EA73BA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针对 ML-KEM 解封装的时间侧信道审计需求，本作品以固定 ML-KEM-768 便携 C 实现为对象，构建功能验证、完整调用测量、会话统计与函数诊断相结合的 C11 工具。独立 NIST 向量和接口检查用于确认被测程序，原始记录与构建摘要用于追溯结果。在 Ryzen 9 9950X 上，冻结 v3 协议以 20 个会话、每类 5000 次为预算，经 Holm 校正拒绝主比较的零均值差原假设，效应为 −5.467 个时钟计数；重加密与消息编码在 20 次诊断中均进入前三候选。掩码后不再拒绝，但两次回滚均未恢复拒绝，防护因果解释仍待补充。作品另完成 24 个编译配置的功能检查和探索性测量、80 次 Mac 到 Ryzen 的直接 TCP 往返记录，并在 8 个固定无秘密任务上验证 C 与 SciPy 精确复算结果一致。现有结果支持限定条件下的检测、定位和高效复核，不构成物理纳秒精度、恒时实现或远程安全认证。</w:t>
            </w:r>
          </w:p>
        </w:tc>
      </w:tr>
      <w:tr w14:paraId="449FB0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7" w:hRule="atLeast"/>
          <w:jc w:val="center"/>
        </w:trPr>
        <w:tc>
          <w:tcPr>
            <w:tcW w:w="891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D556087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关键词（五个）：ML-KEM；时间侧信道；会话统计；防护验证；可复现性</w:t>
            </w:r>
          </w:p>
        </w:tc>
      </w:tr>
    </w:tbl>
    <w:p w14:paraId="3D5215B6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</w:p>
    <w:p w14:paraId="1117BCC3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134" w:right="1134" w:bottom="1134" w:left="1134" w:header="851" w:footer="992" w:gutter="0"/>
          <w:pgNumType/>
          <w:cols w:space="425" w:num="1"/>
          <w:docGrid w:type="lines" w:linePitch="312" w:charSpace="0"/>
        </w:sectPr>
      </w:pPr>
    </w:p>
    <w:p>
      <w:pPr>
        <w:pageBreakBefore/>
        <w:spacing w:after="360"/>
        <w:jc w:val="center"/>
      </w:pPr>
      <w:r>
        <w:rPr>
          <w:b/>
          <w:sz w:val="32"/>
        </w:rPr>
        <w:t>目　录</w:t>
      </w:r>
    </w:p>
    <w:p>
      <w:pPr>
        <w:tabs>
          <w:tab w:pos="9298" w:val="right" w:leader="dot"/>
        </w:tabs>
        <w:spacing w:after="80" w:line="276" w:lineRule="auto"/>
        <w:ind w:firstLine="0" w:left="0"/>
      </w:pPr>
      <w:hyperlink w:anchor="refined_heading_0">
        <w:r>
          <w:t>1 作品功能与性能说明</w:t>
        </w:r>
      </w:hyperlink>
      <w:r>
        <w:tab/>
        <w:t>4</w:t>
      </w:r>
    </w:p>
    <w:p>
      <w:pPr>
        <w:tabs>
          <w:tab w:pos="9298" w:val="right" w:leader="dot"/>
        </w:tabs>
        <w:spacing w:after="80" w:line="276" w:lineRule="auto"/>
        <w:ind w:firstLine="0" w:left="0"/>
      </w:pPr>
      <w:hyperlink w:anchor="refined_heading_1">
        <w:r>
          <w:t>2 设计与实现方案</w:t>
        </w:r>
      </w:hyperlink>
      <w:r>
        <w:tab/>
        <w:t>4</w:t>
      </w:r>
    </w:p>
    <w:p>
      <w:pPr>
        <w:tabs>
          <w:tab w:pos="9298" w:val="right" w:leader="dot"/>
        </w:tabs>
        <w:spacing w:after="80" w:line="276" w:lineRule="auto"/>
        <w:ind w:firstLine="0" w:left="255"/>
      </w:pPr>
      <w:hyperlink w:anchor="refined_heading_2">
        <w:r>
          <w:t>2.1 实现原理</w:t>
        </w:r>
      </w:hyperlink>
      <w:r>
        <w:tab/>
        <w:t>4</w:t>
      </w:r>
    </w:p>
    <w:p>
      <w:pPr>
        <w:tabs>
          <w:tab w:pos="9298" w:val="right" w:leader="dot"/>
        </w:tabs>
        <w:spacing w:after="80" w:line="276" w:lineRule="auto"/>
        <w:ind w:firstLine="0" w:left="255"/>
      </w:pPr>
      <w:hyperlink w:anchor="refined_heading_3">
        <w:r>
          <w:t>2.2 运行结果</w:t>
        </w:r>
      </w:hyperlink>
      <w:r>
        <w:tab/>
        <w:t>6</w:t>
      </w:r>
    </w:p>
    <w:p>
      <w:pPr>
        <w:tabs>
          <w:tab w:pos="9298" w:val="right" w:leader="dot"/>
        </w:tabs>
        <w:spacing w:after="80" w:line="276" w:lineRule="auto"/>
        <w:ind w:firstLine="0" w:left="255"/>
      </w:pPr>
      <w:hyperlink w:anchor="refined_heading_4">
        <w:r>
          <w:t>2.3 技术指标</w:t>
        </w:r>
      </w:hyperlink>
      <w:r>
        <w:tab/>
        <w:t>7</w:t>
      </w:r>
    </w:p>
    <w:p>
      <w:pPr>
        <w:tabs>
          <w:tab w:pos="9298" w:val="right" w:leader="dot"/>
        </w:tabs>
        <w:spacing w:after="80" w:line="276" w:lineRule="auto"/>
        <w:ind w:firstLine="0" w:left="0"/>
      </w:pPr>
      <w:hyperlink w:anchor="refined_heading_5">
        <w:r>
          <w:t>3 系统测试与结果</w:t>
        </w:r>
      </w:hyperlink>
      <w:r>
        <w:tab/>
        <w:t>7</w:t>
      </w:r>
    </w:p>
    <w:p>
      <w:pPr>
        <w:tabs>
          <w:tab w:pos="9298" w:val="right" w:leader="dot"/>
        </w:tabs>
        <w:spacing w:after="80" w:line="276" w:lineRule="auto"/>
        <w:ind w:firstLine="0" w:left="255"/>
      </w:pPr>
      <w:hyperlink w:anchor="refined_heading_6">
        <w:r>
          <w:t>3.1 测试方案</w:t>
        </w:r>
      </w:hyperlink>
      <w:r>
        <w:tab/>
        <w:t>7</w:t>
      </w:r>
    </w:p>
    <w:p>
      <w:pPr>
        <w:tabs>
          <w:tab w:pos="9298" w:val="right" w:leader="dot"/>
        </w:tabs>
        <w:spacing w:after="80" w:line="276" w:lineRule="auto"/>
        <w:ind w:firstLine="0" w:left="255"/>
      </w:pPr>
      <w:hyperlink w:anchor="refined_heading_7">
        <w:r>
          <w:t>3.2 功能测试</w:t>
        </w:r>
      </w:hyperlink>
      <w:r>
        <w:tab/>
        <w:t>8</w:t>
      </w:r>
    </w:p>
    <w:p>
      <w:pPr>
        <w:tabs>
          <w:tab w:pos="9298" w:val="right" w:leader="dot"/>
        </w:tabs>
        <w:spacing w:after="80" w:line="276" w:lineRule="auto"/>
        <w:ind w:firstLine="0" w:left="255"/>
      </w:pPr>
      <w:hyperlink w:anchor="refined_heading_8">
        <w:r>
          <w:t>3.3 性能测试</w:t>
        </w:r>
      </w:hyperlink>
      <w:r>
        <w:tab/>
        <w:t>8</w:t>
      </w:r>
    </w:p>
    <w:p>
      <w:pPr>
        <w:tabs>
          <w:tab w:pos="9298" w:val="right" w:leader="dot"/>
        </w:tabs>
        <w:spacing w:after="80" w:line="276" w:lineRule="auto"/>
        <w:ind w:firstLine="0" w:left="255"/>
      </w:pPr>
      <w:hyperlink w:anchor="refined_heading_9">
        <w:r>
          <w:t>3.4 测试数据与结果</w:t>
        </w:r>
      </w:hyperlink>
      <w:r>
        <w:tab/>
        <w:t>10</w:t>
      </w:r>
    </w:p>
    <w:p>
      <w:pPr>
        <w:tabs>
          <w:tab w:pos="9298" w:val="right" w:leader="dot"/>
        </w:tabs>
        <w:spacing w:after="80" w:line="276" w:lineRule="auto"/>
        <w:ind w:firstLine="0" w:left="255"/>
      </w:pPr>
      <w:hyperlink w:anchor="refined_heading_10">
        <w:r>
          <w:t>3.5 有限模型统计校准</w:t>
        </w:r>
      </w:hyperlink>
      <w:r>
        <w:tab/>
        <w:t>12</w:t>
      </w:r>
    </w:p>
    <w:p>
      <w:pPr>
        <w:tabs>
          <w:tab w:pos="9298" w:val="right" w:leader="dot"/>
        </w:tabs>
        <w:spacing w:after="80" w:line="276" w:lineRule="auto"/>
        <w:ind w:firstLine="0" w:left="255"/>
      </w:pPr>
      <w:hyperlink w:anchor="refined_heading_11">
        <w:r>
          <w:t>3.6 真实参考时间的标签置换校验</w:t>
        </w:r>
      </w:hyperlink>
      <w:r>
        <w:tab/>
        <w:t>13</w:t>
      </w:r>
    </w:p>
    <w:p>
      <w:pPr>
        <w:tabs>
          <w:tab w:pos="9298" w:val="right" w:leader="dot"/>
        </w:tabs>
        <w:spacing w:after="80" w:line="276" w:lineRule="auto"/>
        <w:ind w:firstLine="0" w:left="255"/>
      </w:pPr>
      <w:hyperlink w:anchor="refined_heading_12">
        <w:r>
          <w:t>3.7 时间侧信道检测定位与跨环境验证</w:t>
        </w:r>
      </w:hyperlink>
      <w:r>
        <w:tab/>
        <w:t>14</w:t>
      </w:r>
    </w:p>
    <w:p>
      <w:pPr>
        <w:tabs>
          <w:tab w:pos="9298" w:val="right" w:leader="dot"/>
        </w:tabs>
        <w:spacing w:after="80" w:line="276" w:lineRule="auto"/>
        <w:ind w:firstLine="0" w:left="510"/>
      </w:pPr>
      <w:hyperlink w:anchor="refined_heading_13">
        <w:r>
          <w:t>3.7.1 本地高精度计时与明显时间泄露检测</w:t>
        </w:r>
      </w:hyperlink>
      <w:r>
        <w:tab/>
        <w:t>15</w:t>
      </w:r>
    </w:p>
    <w:p>
      <w:pPr>
        <w:tabs>
          <w:tab w:pos="9298" w:val="right" w:leader="dot"/>
        </w:tabs>
        <w:spacing w:after="80" w:line="276" w:lineRule="auto"/>
        <w:ind w:firstLine="0" w:left="510"/>
      </w:pPr>
      <w:hyperlink w:anchor="refined_heading_14">
        <w:r>
          <w:t>3.7.2 解封装过程的函数级插桩与时序分析</w:t>
        </w:r>
      </w:hyperlink>
      <w:r>
        <w:tab/>
        <w:t>16</w:t>
      </w:r>
    </w:p>
    <w:p>
      <w:pPr>
        <w:tabs>
          <w:tab w:pos="9298" w:val="right" w:leader="dot"/>
        </w:tabs>
        <w:spacing w:after="80" w:line="276" w:lineRule="auto"/>
        <w:ind w:firstLine="0" w:left="510"/>
      </w:pPr>
      <w:hyperlink w:anchor="refined_heading_15">
        <w:r>
          <w:t>3.7.3 时间差异的统计显著性与检测能力分析</w:t>
        </w:r>
      </w:hyperlink>
      <w:r>
        <w:tab/>
        <w:t>16</w:t>
      </w:r>
    </w:p>
    <w:p>
      <w:pPr>
        <w:tabs>
          <w:tab w:pos="9298" w:val="right" w:leader="dot"/>
        </w:tabs>
        <w:spacing w:after="80" w:line="276" w:lineRule="auto"/>
        <w:ind w:firstLine="0" w:left="510"/>
      </w:pPr>
      <w:hyperlink w:anchor="refined_heading_16">
        <w:r>
          <w:t>3.7.4 潜在泄露源的自动化定位与防护验证</w:t>
        </w:r>
      </w:hyperlink>
      <w:r>
        <w:tab/>
        <w:t>17</w:t>
      </w:r>
    </w:p>
    <w:p>
      <w:pPr>
        <w:tabs>
          <w:tab w:pos="9298" w:val="right" w:leader="dot"/>
        </w:tabs>
        <w:spacing w:after="80" w:line="276" w:lineRule="auto"/>
        <w:ind w:firstLine="0" w:left="510"/>
      </w:pPr>
      <w:hyperlink w:anchor="refined_heading_17">
        <w:r>
          <w:t>3.7.5 网络噪声环境下的时间侧信道检测</w:t>
        </w:r>
      </w:hyperlink>
      <w:r>
        <w:tab/>
        <w:t>18</w:t>
      </w:r>
    </w:p>
    <w:p>
      <w:pPr>
        <w:tabs>
          <w:tab w:pos="9298" w:val="right" w:leader="dot"/>
        </w:tabs>
        <w:spacing w:after="80" w:line="276" w:lineRule="auto"/>
        <w:ind w:firstLine="0" w:left="510"/>
      </w:pPr>
      <w:hyperlink w:anchor="refined_heading_18">
        <w:r>
          <w:t>3.7.6 编译器优化对时序行为及防护效果的影响</w:t>
        </w:r>
      </w:hyperlink>
      <w:r>
        <w:tab/>
        <w:t>19</w:t>
      </w:r>
    </w:p>
    <w:p>
      <w:pPr>
        <w:tabs>
          <w:tab w:pos="9298" w:val="right" w:leader="dot"/>
        </w:tabs>
        <w:spacing w:after="80" w:line="276" w:lineRule="auto"/>
        <w:ind w:firstLine="0" w:left="510"/>
      </w:pPr>
      <w:hyperlink w:anchor="refined_heading_19">
        <w:r>
          <w:t>3.7.7 不同处理器平台上的检测与防护稳定性</w:t>
        </w:r>
      </w:hyperlink>
      <w:r>
        <w:tab/>
        <w:t>20</w:t>
      </w:r>
    </w:p>
    <w:p>
      <w:pPr>
        <w:tabs>
          <w:tab w:pos="9298" w:val="right" w:leader="dot"/>
        </w:tabs>
        <w:spacing w:after="80" w:line="276" w:lineRule="auto"/>
        <w:ind w:firstLine="0" w:left="0"/>
      </w:pPr>
      <w:hyperlink w:anchor="refined_heading_20">
        <w:r>
          <w:t>4 应用前景</w:t>
        </w:r>
      </w:hyperlink>
      <w:r>
        <w:tab/>
        <w:t>20</w:t>
      </w:r>
    </w:p>
    <w:p>
      <w:pPr>
        <w:tabs>
          <w:tab w:pos="9298" w:val="right" w:leader="dot"/>
        </w:tabs>
        <w:spacing w:after="80" w:line="276" w:lineRule="auto"/>
        <w:ind w:firstLine="0" w:left="0"/>
      </w:pPr>
      <w:hyperlink w:anchor="refined_heading_21">
        <w:r>
          <w:t>5 结论</w:t>
        </w:r>
      </w:hyperlink>
      <w:r>
        <w:tab/>
        <w:t>21</w:t>
      </w:r>
    </w:p>
    <w:p>
      <w:pPr>
        <w:tabs>
          <w:tab w:pos="9298" w:val="right" w:leader="dot"/>
        </w:tabs>
        <w:spacing w:after="80" w:line="276" w:lineRule="auto"/>
        <w:ind w:firstLine="0" w:left="0"/>
      </w:pPr>
      <w:hyperlink w:anchor="refined_heading_22">
        <w:r>
          <w:t>6 来源与复现材料</w:t>
        </w:r>
      </w:hyperlink>
      <w:r>
        <w:tab/>
        <w:t>21</w:t>
      </w:r>
    </w:p>
    <w:p w14:paraId="56B14FEB">
      <w:bookmarkStart w:id="5000" w:name="refined_heading_0"/>
      <w:pPr>
        <w:pStyle w:val="2"/>
        <w:pageBreakBefore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1 作品功能与性能说明</w:t>
      </w:r>
      <w:bookmarkEnd w:id="5000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ML-KEM 的功能正确性与实现层面的时间行为需要分别验证。即使解封装能够得到正确结果，其执行过程仍可能因秘密相关的数据依赖而产生可观察差异。本作品围绕固定便携 C 实现的 ML-KEM-768，构建从功能检查、完整调用测量到统计分析、候选定位与防护对照的审计流程，使每项判断都能追溯到被测程序、比较条件和原始记录。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作品的算法封装、随机源、输入生成、计时、统计和运行校验均使用 C11，构建与测试统一由 CMake/CTest 管理。统一入口支持功能验证、普通采集、描述分析、条件化成对分析、历史复算和离线展示。新增实验入口进一步提供会话级检测、函数追踪、编译器配置比较及固定长度 TCP 交互，用于在授权环境中研究时间观察条件；作品未开展密钥恢复。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截至本稿，已完成独立功能验证、真实 x86_64 Linux 普通测量、历史人工分支防护比较及有限精确复算效率验证。最新会话实验在 Ryzen 上按冻结 v3 协议检出主比较差异，20 次诊断均将重加密与消息编码列入前三候选；掩码构建未再拒绝，但两次回滚未恢复拒绝。因此，报告分别评价已实现的能力、实际观察到的结果及仍待验证的解释，不以流程完成代替防护效果确认。</w:t>
      </w:r>
    </w:p>
    <w:p w14:paraId="56B14FEB">
      <w:bookmarkStart w:id="5001" w:name="refined_heading_1"/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2 设计与实现方案</w:t>
      </w:r>
      <w:bookmarkEnd w:id="5001"/>
    </w:p>
    <w:p w14:paraId="2734E110">
      <w:bookmarkStart w:id="5002" w:name="refined_heading_2"/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2.1 实现原理</w:t>
      </w:r>
      <w:bookmarkEnd w:id="5002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被测内核采用 mlkem-native 的固定便携 C 版本，遵循 FIPS 203 中 ML-KEM-768 的参数定义：封装公钥 1184 字节、解封装私钥 2400 字节、密文 1088 字节、共享密钥 32 字节。固定版本及许可证完整保留，便于将实验结果限定到明确的实现对象。标准符合性测试与 FIPS 密码模块认证含义不同，本文只报告已执行的功能验证。[1][2]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外部封装先检查指针和精确长度，防止短缓冲区进入固定长度内核。对于长度正确但验证未通过的密文，内核保持隐式拒绝流程，命令行不暴露重加密比较结果。普通运行从系统安全随机源取得随机数并传播失败；公开种子的确定性入口仅服务于标记清楚的测试，不用于保护业务密钥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实现审查区分旧 Kyber 与最终 ML-KEM，也区分不同架构后端和编译条件。固定便携版本已有值屏障与相应清理措施；既有路径记录修正仅补齐构建来源，不改变密码运算。2026 年 10 月 11 日的补充产物检查在指定 Ryzen、GCC 13.3.0、RelWithDebInfo 参考内核中未发现所检查的 KyberSlash 类除法、clangover 类消息分支或 FO 比较与拒绝选择分支。这一结论限于三类目标机制及该产物，不等同于完整恒时证明；人工分支案例仍作为对照材料单独解释。[2][6]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普通性能测量采用有效、翻位和随机三类密文，比例为 1∶1∶1，长度均为 1088 字节，标签由生成规则确定。输入生成、内存分配、结果消费及文件写入位于窗口之外，计时覆盖完整封装层与内核解封装。原始顺序和普通长尾全部保留，公开种子用于重建类别乱序。第 3.7 节的机制实验在此基础上增加全 0、全 1 封装硬币两类输入，其确定性及重复密文范围另行说明。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每次采集同时保存时钟及单位、读钟与空窗口检查、完成状态、可执行文件摘要、源码版本和编译条件。只有记录结构与完成声明一致时，统一入口才导出描述页面；失败时保留部分输出供排查。历史分析、实时采集与合成校验分别展示，使读者能够识别结论来自哪一种材料，而不把旧记录重放当作新的现场实验。</w:t>
      </w:r>
    </w:p>
    <w:p>
      <w:pPr>
        <w:jc w:val="center"/>
        <w:keepNext/>
      </w:pPr>
      <w:r xmlns:a="http://schemas.openxmlformats.org/drawingml/2006/main" xmlns:pic="http://schemas.openxmlformats.org/drawingml/2006/picture">
        <w:drawing>
          <wp:inline distT="0" distB="0" distL="0" distR="0">
            <wp:extent cx="5486400" cy="3086100"/>
            <wp:docPr id="101" name="architecture" descr="图1 软件流程。实时普通记录、历史重分析和合成统计分别留证。"/>
            <wp:cNvGraphicFramePr/>
            <a:graphic>
              <a:graphicData uri="http://schemas.openxmlformats.org/drawingml/2006/picture">
                <pic:pic>
                  <pic:nvPicPr>
                    <pic:cNvPr id="101" name="architecture"/>
                    <pic:cNvPicPr/>
                  </pic:nvPicPr>
                  <pic:blipFill>
                    <a:blip r:embed="rIdA113Figur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图1 软件流程。实时普通记录、历史重分析和合成统计分别留证。</w:t>
      </w:r>
    </w:p>
    <w:p w14:paraId="2734E110">
      <w:bookmarkStart w:id="5003" w:name="refined_heading_3"/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2.2 运行结果</w:t>
      </w:r>
      <w:bookmarkEnd w:id="5003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本节普通性能数据来自 Ubuntu 24.04.4、Linux 6.8.0-138 的 x86_64 KVM 客户机，实例为 4 个 vCPU。其 CPU 型号字符串为 AMD EPYC 9K65 192-Core Processor，型号中的核数不代表实例拥有的资源。正式程序使用 GCC 13.3.0、RelWithDebInfo 和 O2 优化，无 LTO、无动态检查插桩，进程固定到逻辑 CPU2。宿主频率与调度无法由客户机控制，因此本节结果按该虚拟化环境解释，与第 3.7 节 Ryzen 裸金属测量分列。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前置参考三次各3000条，共9000条完整记录，均值分别47075.037、46237.526、46121.981ns。CLOCK_MONOTONIC报告分辨率1ns，观察最小正读钟增量19ns；表示单位和报告分辨率不能替代实际精度。每次保存10000个读钟增量及1000个空窗值，未扣开销。源、产物与数据见证据E01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统一入口已完成参考短采集与页面导出。另对历史五种子、四版本的 20 份数据生成 40 份分析报告，与归档逐字一致。前者验证实际采集流程，后者验证历史结果可复算；二者都不能代替新实验所需的样本预算。</w:t>
      </w:r>
    </w:p>
    <w:p w14:paraId="2734E110">
      <w:bookmarkStart w:id="5004" w:name="refined_heading_4"/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2.3 技术指标</w:t>
      </w:r>
      <w:bookmarkEnd w:id="5004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本节普通测量以 1088 字节密文为负载，每运行固定预热 100 次。逐次记录含运行编号、实现、类别、序号、时间值及单位，元数据保存源码与程序信息。描述分位数使用 floor(p×(n−1)+0.5) 对应的零基下标，不作插值。历史输出对该规则的命名不够准确，本文保留原数值并明确计算定义。第 3.7 节会话协议的预热次数与预算单独固定，不与本节混用。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条件化成对分析接受 4 至 20 个成对单位，要求调用数相同且整数时间差处于规定范围。设第 k 对的总耗时差为 d_k，统计量为全部差值之和的绝对值；程序枚举 2^m 种对内标签交换，尾部计数包含等值，显著性水平固定为 0.01。独立对内交换或无后效条件不足时，结果标记为证据不足；效应区间还需要成对单位独立同分布的附加前提。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精确随机化方法已有成熟理论，作品的改进集中在有限规模下的实现效率。C11 程序通过相邻交换状态增量更新整数和，减少重复求和，同时避免浮点近似改变等值边界。独立手算与 SciPy 对照用于核验计算结果。真实参考记录的后赋标签属于给定数据上的零效应校验，合成偏移属于统计夹具，两者均不冒充密码泄露样本。</w:t>
      </w:r>
    </w:p>
    <w:p w14:paraId="56B14FEB">
      <w:bookmarkStart w:id="5005" w:name="refined_heading_5"/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3 系统测试与结果</w:t>
      </w:r>
      <w:bookmarkEnd w:id="5005"/>
    </w:p>
    <w:p w14:paraId="2734E110">
      <w:bookmarkStart w:id="5006" w:name="refined_heading_6"/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3.1 测试方案</w:t>
      </w:r>
      <w:bookmarkEnd w:id="5006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验证围绕三个问题展开：被测程序是否正确完成密码操作，测量记录是否准确对应实际运行，统计计算及其解释是否一致。独立 NIST 向量提供预期答案，接口、失败传播和数据完整性检查覆盖正常与异常路径。源码或编译条件变化后，重新核对受影响的程序；动态检查与正式计时分开构建和执行。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功能测试覆盖四种实现的独立向量、随机源失败、版本等价及接口边界；采集与分析测试检查记录完整性、统计手算、失败处理和源码导出。历史构建分别注册并执行 31、32、33 项检查，后续默认交付构建达到 34 项。各阶段以实际构建和执行范围计数，不把不同时点的通过项相加为一次全量测试。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各项确认实验在读取确认结果之前固定参数、方法、成本范围和样本集合，开发数据与确认数据分开保存。未拒绝结果、失败准备及未完成预算均保留原状。最新 v1、v2、v3 属于分别记录的协议版本，不能将后续检出解释为早期实验已经成功，也不能将跨版本尝试合并为一个经统一校正的确认结论。</w:t>
      </w:r>
    </w:p>
    <w:p w14:paraId="2734E110">
      <w:bookmarkStart w:id="5007" w:name="refined_heading_7"/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3.2 功能测试</w:t>
      </w:r>
      <w:bookmarkEnd w:id="5007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每版独立KAT覆盖25组KeyGen、25组Encaps、10组Decaps及20组密钥校验，解封装包含5组隐式拒绝。四版共320组独立用例；接口检查包括空指针及错误长度。三组对参考版的差分各覆盖64个公开种子和三类输入，拒绝样本另核对J(z∥c)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2026 年 10 月 8 日，授权代理在 Linux 新目录重跑封存 v3 包，26 个步骤全部成功，GCC 普通构建与 Clang ASan/UBSan 构建各通过 34 项检查。普通性能主表、精确检验主表、有限模型及标签置换的主要输出与封存记录逐字节一致，另完成 60 条普通短演示。该记录已按既有约定计入复算执行项，但不表述为真实非原作者完成的独立复现。随机源打开失败已测，读取及关闭失败的故障注入尚未执行。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统计计算检查覆盖可手算的精确尾计数，例如四个同号等差对应 2/16、差值总和为零对应 16/16，并检查全并列、整数边界、畸形数据和不满足适用条件时的处理。源码导出按清单核验，不含版本库内部目录；导出摘要与 Git 提交分别标识，避免混淆来源。</w:t>
      </w:r>
    </w:p>
    <w:p w14:paraId="2734E110">
      <w:bookmarkStart w:id="5008" w:name="refined_heading_8"/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3.3 性能测试</w:t>
      </w:r>
      <w:bookmarkEnd w:id="5008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普通性能在同一Linux目标、固定源码S02和6个运行块执行。每块三种编码无分支形态的实现分别3000正式及100预热，六种方法排列全部出现；三种实现共享该块公开种子、有序输入流和负载比例。18个完整运行，共54000条正式记录、1800次预热；采集过程中不并行安装、编译或其他测量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逐次数据支持单次P50/P90/P99；每运行均值独立保留，不池化成同样数量的独立任务。相对参考，hardened均值差101.959ns、相对开销0.220522%，探索性99%成对bootstrap区间−3.725至189.399ns；deployable差−30.101ns、开销−0.065103%，区间−240.918至193.997ns。区间均跨零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6个运行对的iid条件在KVM上未得到证明，bootstrap区间仅是该模型下的探索描述，不保证总体覆盖，也不作防护效果判定。hardened保留函数级O0控制，reference/deployable正常优化，比较同时包含优化和代码形态差异；不能把速度差完全归于安全防护。负开销允许存在，不能据此声称更安全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本轮N01另采18个普通运行，54000条正式记录和1800次预热；hardened与deployable相对reference开销分别为0.824599%及1.091517%，99%探索区间均跨零，完整父窗口合计4.162秒。新源码及产物另列N01；图2和表1仍为旧E02，两个身份不混用，普通开销不判防护效果。</w:t>
      </w:r>
    </w:p>
    <w:p>
      <w:pPr>
        <w:jc w:val="center"/>
        <w:keepNext/>
      </w:pPr>
      <w:r xmlns:a="http://schemas.openxmlformats.org/drawingml/2006/main" xmlns:pic="http://schemas.openxmlformats.org/drawingml/2006/picture">
        <w:drawing>
          <wp:inline distT="0" distB="0" distL="0" distR="0">
            <wp:extent cx="5486400" cy="3086100"/>
            <wp:docPr id="102" name="native-performance" descr="图2 全部18个普通运行均值。单位换算为微秒；非单次记录或总体置信区间，长尾及分位数见表1和原始数据。"/>
            <wp:cNvGraphicFramePr/>
            <a:graphic>
              <a:graphicData uri="http://schemas.openxmlformats.org/drawingml/2006/picture">
                <pic:pic>
                  <pic:nvPicPr>
                    <pic:cNvPr id="102" name="native-performance"/>
                    <pic:cNvPicPr/>
                  </pic:nvPicPr>
                  <pic:blipFill>
                    <a:blip r:embed="rIdA113Figur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图2 全部18个普通运行均值。单位换算为微秒；非单次记录或总体置信区间，长尾及分位数见表1和原始数据。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表1 原生普通运行的逐次分位数  单位ns  每运行3000条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blGrid>
        <w:gridCol w:w="1100"/>
        <w:gridCol w:w="2050"/>
        <w:gridCol w:w="1850"/>
        <w:gridCol w:w="1546"/>
        <w:gridCol w:w="1546"/>
        <w:gridCol w:w="1546"/>
      </w:tblGrid>
      <w:tr>
        <w:trPr>
          <w:tblHeader/>
        </w:trP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运行块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实现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均值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P50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P90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P99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46193.517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45720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54699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46148.423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45908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46058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50968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45925.623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45688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50667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2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46407.084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45538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48678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60098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2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46383.034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56419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2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46102.585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45578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45808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56459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3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46206.193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45688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55897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3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46350.749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45808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56530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3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46209.969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45689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45909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56238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46267.377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45950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56348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46480.338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45929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46169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56799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46621.075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45779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47489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60619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46261.240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45719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45950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56279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46401.231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56408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46241.867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45718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45938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56498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reference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46077.670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45540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45879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56389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hardened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46261.061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45719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45949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56549</w:t>
            </w:r>
          </w:p>
        </w:tc>
      </w:tr>
      <w:tr>
        <w:tc>
          <w:tcPr>
            <w:tcW w:w="110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6</w:t>
            </w:r>
          </w:p>
        </w:tc>
        <w:tc>
          <w:tcPr>
            <w:tcW w:w="20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deployable</w:t>
            </w:r>
          </w:p>
        </w:tc>
        <w:tc>
          <w:tcPr>
            <w:tcW w:w="1850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46131.357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45579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45789</w:t>
            </w:r>
          </w:p>
        </w:tc>
        <w:tc>
          <w:tcPr>
            <w:tcW w:w="1546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56479</w:t>
            </w:r>
          </w:p>
        </w:tc>
      </w:tr>
    </w:tbl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表1来源：E02/performance.report及同名CSV/meta；原始长尾完整保留。区间见正文，属于运行级条件描述。</w:t>
      </w:r>
    </w:p>
    <w:p w14:paraId="2734E110">
      <w:bookmarkStart w:id="5009" w:name="refined_heading_9"/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 xml:space="preserve">3.4 测试数据与结果</w:t>
      </w:r>
      <w:bookmarkEnd w:id="5009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历史防护比较在重加密的消息编码步骤引入人工分支。分支条件对应私钥参与解密后得到的消息位，因此具有明确的秘密数据依赖，且可与机器码对应。掩码版本保留相同函数级优化约束，以比较分支与掩码选择；正常优化版本另用于观察真实优化下的代码形态。参考函数原本已无该分支，故这些版本是机制对照，并非对上游新漏洞的修复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既有 ARM64 五种子档案中，全零对全一主比较在预定阈值 10⁻⁴ 下有 4/5 显著；恒定组对变化组在阈值 10⁻³ 下，人工分支 5/5 显著，参考及正常优化掩码形态均 5/5 未检出，保留函数级优化约束的掩码版本仍有 1/5 显著差异。两种检验的假设和阈值不同，固定组仅重复测量两个密文，名义 p 值也未校正序列依赖，因而这些结果限作历史机制观察。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2026 年 10 月 8 日的同机 Linux 防护比较进一步使用五个预定种子，每类 5000 次，在同一 KVM 构建中完成采集并通过 37 项检查。原分析器下，人工分支的预定主比较在五种子上均显著，参考、掩码及正常优化掩码形态均未检出；分组比较中，人工分支均值差约为 −1277 至 −1329 ns，掩码为 −26 至 +96 ns。该结果支持这一人工机制在指定条件下掩码后未再检出，仍受重复密文和运行依赖限制。它与第 3.7 节的会话协议及 Ryzen 记录分别解释，不用旧实验的显著性补足新回滚未恢复的问题。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有限批次比较在首次 Linux 准备时因结构体初始化编译错误停止，40000 次共同调用与 3600 秒预算预留未闭合。K4/K16 开发、选择和 20 对确认均未执行，因而没有可报告的稳定性收益。后续兼容性修正及普通功能通过不改变该实验的停止事实。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现有结果未证明检测能力优于正确配置的 dudect 或 RTLF。两类方法的适用条件与数据依赖需要同时考虑，不能把在不适用数据上的失败作为本作品的比较优势。[3][4] 因此，效率评价选择可明确对齐的精确成对交换任务：C 与 SciPy 1.16.3、NumPy 2.3.5 使用相同的 20 对整数输入、完整 2^20 个交换状态、含等值的尾部规则及同一统计量；SciPy 采用向量化和 batch=4096。[5]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开发2份固定文件、12次进程只用于兼容与选择；确认采用8份新冻结无秘密任务，每方法每份3次，共48次完整进程，精确尾计数及判定全部一致，原始CSV未变。每份最大C耗时均小于最小SciPy耗时，24个比值中位数0.001388504，范围0.001139408—0.001734854。SciPy总进程56.401718秒，C为0.080189秒；确认观察窗口56.487808秒，开发14.048571秒，均在固定总预算内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启动成本敏感性补充沿用这8份任务。SciPy预导入后，48次尾计数仍完全一致，中位窗口比值0.001562070，每份C最大仍小于SciPy最小；基线就绪后49.704188秒，C完整进程0.079016秒，就绪6.559904秒另计。比较观察窗口56.349633秒，未超120秒。这是既有数据的成本边界复核，不是新独立确认、纯内核或密码加速；也不支持灵敏度或安全性提升。固定任务没有总体速度区间，研发完整墙钟未采集。</w:t>
      </w:r>
    </w:p>
    <w:p>
      <w:pPr>
        <w:jc w:val="center"/>
        <w:keepNext/>
      </w:pPr>
      <w:r xmlns:a="http://schemas.openxmlformats.org/drawingml/2006/main" xmlns:pic="http://schemas.openxmlformats.org/drawingml/2006/picture">
        <w:drawing>
          <wp:inline distT="0" distB="0" distL="0" distR="0">
            <wp:extent cx="5486400" cy="3086100"/>
            <wp:docPr id="103" name="replay-efficiency" descr="图3 固定确认轮24个进程各自的成本合计。源为C观察报告；导入与启动计入SciPy，未作纯内核性能或密码安全声明。"/>
            <wp:cNvGraphicFramePr/>
            <a:graphic>
              <a:graphicData uri="http://schemas.openxmlformats.org/drawingml/2006/picture">
                <pic:pic>
                  <pic:nvPicPr>
                    <pic:cNvPr id="103" name="replay-efficiency"/>
                    <pic:cNvPicPr/>
                  </pic:nvPicPr>
                  <pic:blipFill>
                    <a:blip r:embed="rIdA113Figure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图3 两种成本边界下的精确复算耗时（对数刻度）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表2 有限效率确认  完整精确检验判定逐项一致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r>
        <w:trPr>
          <w:tblHeader/>
        </w:trP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项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结果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固定确认任务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8份新冻结文件，各20对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实际完整进程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48次，退出码全部0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比值中位数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0.001388504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比值范围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0.001139408—0.001734854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原始身份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CSV及冻结计划未修改</w:t>
            </w:r>
          </w:p>
        </w:tc>
      </w:tr>
      <w:tr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支持范围</w:t>
            </w:r>
          </w:p>
        </w:tc>
        <w:tc>
          <w:tcPr>
            <w:tcW w:w="4819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 xml:space="preserve">限定完整进程复算效率</w:t>
            </w:r>
          </w:p>
        </w:tc>
      </w:tr>
    </w:tbl>
    <w:p w14:paraId="2734E110">
      <w:bookmarkStart w:id="5010" w:name="refined_heading_10"/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3.5 有限模型统计校准</w:t>
      </w:r>
      <w:bookmarkEnd w:id="5010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在观察结果前固定12个成对单位。equal每对幅度为1，graded依次为1至12；差值为delta加正负幅度，五个效应值见表3。独立模型的全部4096种符号组合等概率；共同符号模型各仅两种结果。共40964份数据由C生成和验证，单位为合成ns，不是密码采集时间；没有新的ML-KEM解封装调用，不把模型当真实密码噪声分布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每份数据分别用现有精确入口和另行实现的整数分布卷积核对，40964份尾计数全部一致；44份预先选定的SciPy审计也一致。独立零效应的误拒绝概率为26/4096和38/4096，均低于alpha=0.01；equal的结果与二项式手算吻合。表3保留全部效应结果，graded在效应4时仍只有353/4096检出；equal在效应1时的一份全零数据保留在分母中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共同符号模型保持零均值，但样本之间完全共享符号。若仍套用独立交换规则，两种模型各自的 2 个结果都会被拒绝；实际入口对这 4 份数据均返回证据不足。该对照说明，计算无误不保证推断适用，识别依赖条件是分析的一部分。这里验证的是固定有限模型中的错误与检出行为，尚未校准真实密码总体，也不构成超越 dudect 或 RTLF 的检测证据。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>表3 固定有限模型的原始拒绝数  每个独立模型4096种结果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r>
        <w:trPr>
          <w:tblHeader/>
        </w:trP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效应delta（合成ns）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equal拒绝数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graded拒绝数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26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38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1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794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48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2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91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353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12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4096</w:t>
            </w:r>
          </w:p>
        </w:tc>
      </w:tr>
    </w:tbl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表3来源：C02有限模型原始记录及C报告；效应0为模型内误拒绝，其余为该模型检出，不估计真实密码总体概率。</w:t>
      </w:r>
    </w:p>
    <w:p w14:paraId="2734E110">
      <w:bookmarkStart w:id="5011" w:name="refined_heading_11"/>
      <w:pPr>
        <w:pStyle w:val="3"/>
        <w:spacing w:before="240" w:after="240" w:line="360" w:lineRule="auto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3.6 真实参考时间的标签置换校验</w:t>
      </w:r>
      <w:bookmarkEnd w:id="5011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C04使用E02六份封存普通参考记录。程序完整读取每份3000条及meta/cost并核验资格，每块固定取原序0至23组成12对；采集后独立等概率交换标签，遍历全部4096种组合。时间值不添加偏移，也不按原密文类别或秘密分类。保存144个原时间及24576份差值和计数，新解封装调用为0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整数精确结果与独立逐项求和、排序秩核验逐行一致，24份预定SciPy审计一致，完整动态运行的原始行也一致。表4给出全部六块结果，各自的条件拒绝概率不超过0.01。C任务约0.209秒，读取、计算和原始记录关闭均计入，最终摘要及状态发布另列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keepNext/>
      </w:pPr>
      <w:r>
        <w:rPr>
          <w:rFonts w:hint="eastAsia" w:ascii="楷体_GB2312" w:hAnsi="Times New Roman" w:eastAsia="楷体_GB2312"/>
          <w:bCs/>
          <w:sz w:val="28"/>
          <w:szCs w:val="28"/>
        </w:rPr>
        <w:t>表4 后赋标签模型的条件拒绝数 每块4096种标签</w:t>
      </w:r>
    </w:p>
    <w:tbl>
      <w:tblPr>
        <w:tblW w:w="9638" w:type="dxa"/>
        <w:tblBorders>
          <w:top w:val="single" w:sz="4" w:color="8899A5"/>
          <w:left w:val="single" w:sz="4" w:color="8899A5"/>
          <w:bottom w:val="single" w:sz="4" w:color="8899A5"/>
          <w:right w:val="single" w:sz="4" w:color="8899A5"/>
          <w:insideH w:val="single" w:sz="4" w:color="8899A5"/>
          <w:insideV w:val="single" w:sz="4" w:color="8899A5"/>
        </w:tblBorders>
      </w:tblPr>
      <w:tr>
        <w:trPr>
          <w:tblHeader/>
        </w:trP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运行块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条件拒绝数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条件概率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1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0.009765625000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2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0.009765625000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0.009765625000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38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0.009277343750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5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40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0.009765625000</w:t>
            </w:r>
          </w:p>
        </w:tc>
      </w:tr>
      <w:tr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6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38</w:t>
            </w:r>
          </w:p>
        </w:tc>
        <w:tc>
          <w:tcPr>
            <w:tcW w:w="3212" w:type="dxa"/>
          </w:tcPr>
          <w:p w14:paraId="6B53C45C">
            <w:pPr>
              <w:widowControl/>
              <w:adjustRightInd w:val="0"/>
              <w:snapToGrid w:val="0"/>
              <w:spacing w:line="480" w:lineRule="exact"/>
              <w:rPr>
                <w:rFonts w:ascii="楷体_GB2312" w:hAnsi="Times New Roman" w:eastAsia="楷体_GB2312"/>
                <w:bCs/>
                <w:sz w:val="28"/>
                <w:szCs w:val="28"/>
              </w:rPr>
            </w:pPr>
            <w:r>
              <w:rPr>
                <w:rFonts w:hint="eastAsia" w:ascii="楷体_GB2312" w:hAnsi="Times New Roman" w:eastAsia="楷体_GB2312"/>
                <w:bCs/>
                <w:sz w:val="28"/>
                <w:szCs w:val="28"/>
              </w:rPr>
              <w:t>0.009277343750</w:t>
            </w:r>
          </w:p>
        </w:tc>
      </w:tr>
    </w:tbl>
    <w:p w14:paraId="6B53C45C">
      <w:pPr>
        <w:keepNext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表4 来源：C04完整标签记录及C报告；条件概率以4096为分母，无Monte Carlo抽样误差，不是总体误报率估计。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本项结论以给定时间对和独立随机标签为条件，不要求这些固定时间值本身独立同分布；它也不表示采集时已经实施该随机化，或真实密文类别具有相同错误率。校验同时核对时钟、程序来源、调用数、完成状态和成本记录，阻止不完整或矛盾记录进入分析。统计规则与原始时间始终保持一致。</w:t>
      </w:r>
    </w:p>
    <w:p>
      <w:bookmarkStart w:id="5012" w:name="refined_heading_12"/>
      <w:pPr>
        <w:pStyle w:val="3"/>
      </w:pPr>
      <w:r>
        <w:t>3.7 时间侧信道检测定位与跨环境验证</w:t>
      </w:r>
      <w:bookmarkEnd w:id="5012"/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时间侧信道分析的核心，是判断可观察的执行时间是否随输入类别发生可重复的变化，并进一步查明这种变化与实现中的数据依赖有何关系。本节以固定便携 C 实现的 ML-KEM-768 为对象，将完整解封装测量、函数级诊断和防护对照结合起来，同时考察网络、编译器与平台变化对结果解释的影响。被测消息分支为有来源的人工对照，不代表参考实现中新发现的漏洞。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实验区分开发探索与冻结协议下的确认。最新 v3 协议在 Ryzen 9 9950X 上得到主比较的 Holm 拒绝结果；随后诊断中，重加密阶段及其消息编码包装均在 20 次追踪中进入候选前三名。掩码构建未再拒绝，但两次回滚也未恢复拒绝。因此，现有结果支持特定条件下的时间差检测与候选定位，尚不足以完成防护效果的因果确认。以下七节依次说明测量依据、分析方法与适用范围。</w:t>
      </w:r>
    </w:p>
    <w:p>
      <w:bookmarkStart w:id="5013" w:name="refined_heading_13"/>
      <w:pPr>
        <w:pStyle w:val="Heading3"/>
      </w:pPr>
      <w:r>
        <w:t>3.7.1 本地高精度计时与明显时间泄露检测</w:t>
      </w:r>
      <w:bookmarkEnd w:id="5013"/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正式测量以一次完整解封装为观察单位。计时窗口覆盖外部接口检查及内核运算，输入生成、内存分配、预热、结果核对和文件写入均在窗口之外。这一安排使测量对应调用者实际能够观察的操作，减少输入准备与日志开销对类别差异的干扰。局部函数计时则单独用于诊断，不代替完整调用的检测结果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输入包括有效密文、翻位密文、随机密文，以及全 0 和全 1 封装硬币生成的密文，长度均为 1088 字节。后两类改变的是封装所用硬币，并非直接将消息字节置为常数；在同一密钥下，两类各只有一条密文。因此，重复调用扩大的是对既定输入的观察次数，不能视为同等数量的独立密文。普通运行使用系统安全随机源并处理失败，确定性种子仅用于明确标记的实验入口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Ryzen 实验在 Ubuntu 24.04、GCC 13.3.0 和 RelWithDebInfo 条件下进行，使用无动态检查插桩的程序，将进程固定到逻辑 CPU2，预热 8 次，采集块长为 50。频率控制未配置。计时采用 CLOCK_MONOTONIC，保存原始整数计数，同时记录报告分辨率与空窗口分布；普通长尾全部保留，未从正式样本中扣除空窗口开销。时钟表示的细粒度有助于记录微小差异，但不等同于同量级的物理测量精度。</w:t>
      </w:r>
    </w:p>
    <w:p>
      <w:pPr>
        <w:keepNext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表 5 汇总了三个协议版本的 Ryzen 主比较。效应定义为全 0 类会话均值减去全 1 类会话均值。v1 与 v2 均未拒绝，v3 在预先冻结的会话检验中拒绝主比较。三个版本分别保留原判定，不将后续成功回填到早期记录，也不把它们合并成一次连续追加样本的实验。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737"/>
        <w:gridCol w:w="1417"/>
        <w:gridCol w:w="1984"/>
        <w:gridCol w:w="1814"/>
        <w:gridCol w:w="1984"/>
        <w:gridCol w:w="1587"/>
      </w:tblGrid>
      <w:tr>
        <w:trPr>
          <w:cantSplit/>
          <w:tblHeader/>
        </w:trPr>
        <w:tc>
          <w:tcPr>
            <w:tcW w:type="dxa" w:w="73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协议</w:t>
            </w:r>
          </w:p>
        </w:tc>
        <w:tc>
          <w:tcPr>
            <w:tcW w:type="dxa" w:w="141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确认种子</w:t>
            </w:r>
          </w:p>
        </w:tc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会话数×每类调用数</w:t>
            </w:r>
          </w:p>
        </w:tc>
        <w:tc>
          <w:tcPr>
            <w:tcW w:type="dxa" w:w="181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主效应（计数）</w:t>
            </w:r>
          </w:p>
        </w:tc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原始双侧 p 值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Holm 判定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v1</w:t>
            </w:r>
          </w:p>
        </w:tc>
        <w:tc>
          <w:tcPr>
            <w:tcW w:type="dxa" w:w="141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20261111</w:t>
            </w:r>
          </w:p>
        </w:tc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6×1000</w:t>
            </w:r>
          </w:p>
        </w:tc>
        <w:tc>
          <w:tcPr>
            <w:tcW w:type="dxa" w:w="181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15.44</w:t>
            </w:r>
          </w:p>
        </w:tc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0.419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不拒绝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v2</w:t>
            </w:r>
          </w:p>
        </w:tc>
        <w:tc>
          <w:tcPr>
            <w:tcW w:type="dxa" w:w="141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8675309</w:t>
            </w:r>
          </w:p>
        </w:tc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20×5000</w:t>
            </w:r>
          </w:p>
        </w:tc>
        <w:tc>
          <w:tcPr>
            <w:tcW w:type="dxa" w:w="181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</w:p>
        </w:tc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0.852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不拒绝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v3</w:t>
            </w:r>
          </w:p>
        </w:tc>
        <w:tc>
          <w:tcPr>
            <w:tcW w:type="dxa" w:w="141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31415926</w:t>
            </w:r>
          </w:p>
        </w:tc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20×5000</w:t>
            </w:r>
          </w:p>
        </w:tc>
        <w:tc>
          <w:tcPr>
            <w:tcW w:type="dxa" w:w="181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−5.467</w:t>
            </w:r>
          </w:p>
        </w:tc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0.00287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拒绝</w:t>
            </w:r>
          </w:p>
        </w:tc>
      </w:tr>
    </w:tbl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v3 的 t 统计量为 −3.420，Wald 95% 区间为 −8.60 至 −2.33 个计数。其首会话报告分辨率为 1 个计数，256 次同路径空窗口的最大值为 110 个计数，高于主效应的绝对值。这说明微小均值差必须结合多次观察及统计条件解释，不能据此宣称单次调用具有约 5 纳秒的物理精度，也不能仅因差值小于某次空窗开销而否定会话检验。R02 所涉测量能力仍按部分签收处理。</w:t>
      </w:r>
    </w:p>
    <w:p>
      <w:bookmarkStart w:id="5014" w:name="refined_heading_14"/>
      <w:pPr>
        <w:pStyle w:val="Heading3"/>
      </w:pPr>
      <w:r>
        <w:t>3.7.2 解封装过程的函数级插桩与时序分析</w:t>
      </w:r>
      <w:bookmarkEnd w:id="5014"/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完整调用出现差异后，还需回答差异主要集中在哪一段计算。作品为此设置独立诊断构建，在阶段包装函数的进入与退出处记录时间，分别计算包含子调用的时间和排除子调用后的时间。前者反映某一阶段对总耗时的贡献，后者有助于区分外层重加密与内部消息编码，避免将同一段耗时重复解释为多个独立来源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部分上游操作以宏或内联函数实现，不能直接将它们视为独立可观测函数。诊断将比较、拒绝密钥派生和选择映射到相应包装阶段，并为消息多项式编码设置单独包装，使该运算位于完整解封装窗口内。记录保存样本编号、模块相对函数编号、进入或退出事件、时间戳及完整性状态，不输出密钥、共享秘密或内部接受标志。阶段映射和事件容量检查用于发现追踪缺失，而不是推断安全性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插桩本身会改变程序行为，诊断时间因而需要单独解释。macOS/ARM 参考构建的开销检查中，无插桩全部样本的均值为 24000 个计数，仅记账模式的有效类外层均值为 25500，完整计时钩子为 43500。三项汇总范围并不完全相同，只用于说明诊断扰动，不能据此计算严格的统一开销比例。分析保留原始时间，没有用常数扣除钩子成本来构造所谓无扰动函数时间。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开发种子 90210 的无插桩窗口核对另得到全 0 类均值 29833.835、全 1 类均值 29812.960，差为 20.875 个计数；该次分辨率为 1，空窗口最大值为 50。它用于核对目标计算确实纳入测量范围，未计入 v3 确认样本。函数追踪的作用是缩小检查范围，其排名需与端到端检测及防护对照共同解释。</w:t>
      </w:r>
    </w:p>
    <w:p>
      <w:bookmarkStart w:id="5015" w:name="refined_heading_15"/>
      <w:pPr>
        <w:pStyle w:val="Heading3"/>
      </w:pPr>
      <w:r>
        <w:t>3.7.3 时间差异的统计显著性与检测能力分析</w:t>
      </w:r>
      <w:bookmarkEnd w:id="5015"/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连续调用可能共享缓存、预测器及调度状态，将全部调用直接作为独立样本会夸大证据数量。作品以会话为推断单位：先在各会话内计算两类均值之差，再汇总会话效应。全 0 对全 1 为双侧主比较，同一族还包含有效对全 0、翻位对随机及全 0 对有效，按冻结协议原样保留，并在族内显著性水平 0.01 下应用 Holm 校正。表中的 p 值是校正前的双侧值，是否拒绝以完整族的 Holm 结果为准。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v3 在确认样本采集前固定种子 31415926、20 个会话及每类 5000 次的预算，到达预算即停止。开发种子 31337 和 90210 用于流程检查与方案探索，其分析输出不作为确认结论。v1、v2 的未拒绝结果与各自协议共同保存；v3 的拒绝只属于该版本预先规定的条件，不代表对整个研究过程中所有尝试进行了统一错误率控制。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统计程序还通过可独立计算的夹具检查。例如，自由度为 1、t 统计量为 3 时，双侧概率应为 1−2 arctan(3)/π，程序结果与之相符。此类校验回答的是计算是否正确；真实数据能否满足推断前提仍须另行审查。将会话内数据等长分块后再平均，不会改变总均值，因而不同块长给出同一主效应也不构成额外独立验证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现有记录没有证明会话内自相关可以忽略，也未证明所测输入足以代表真实密文总体。采用会话分析可避免直接把全部调用数量当作独立样本数，却不能自动消除会话间环境影响。Wald 95% 区间用于呈现效应范围，与族内 0.01 的多重比较判定不同；区间不跨零不必然意味着 Holm 拒绝。因此，本节报告的是冻结规则下的判定，而非真实总体误报率、检出率或恒时认证，R04 仍为部分签收。</w:t>
      </w:r>
    </w:p>
    <w:p>
      <w:bookmarkStart w:id="5016" w:name="refined_heading_16"/>
      <w:pPr>
        <w:pStyle w:val="Heading3"/>
      </w:pPr>
      <w:r>
        <w:t>3.7.4 潜在泄露源的自动化定位与防护验证</w:t>
      </w:r>
      <w:bookmarkEnd w:id="5016"/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自动定位将时间差转换为可供人工复核的候选函数。排名仅使用阶段、函数、源码位置以及包含差和排他差，不读取预置真值、补丁名称或目标答案；候选表混入此类字段时，程序拒绝处理。端到端未检出时不强制给出根因，检出后也只输出候选排序，以避免把已知补丁位置循环论证为定位成功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在 v3 主比较拒绝后，同一种子对应的 20 个会话分别执行一次诊断追踪。重加密阶段与消息编码包装进入前三名均为 20/20，表明候选位置在这组诊断中具有一致性。这里的分母是 20 次追踪，不是 20 个独立漏洞，也不是任意程序上的定位成功率。所有追踪均未断言唯一根因；早先单次追踪保留为补充记录，不与这 20 次混算。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防护对照将人工消息分支改为掩码选择，并保留对应函数级优化约束及密码处理规则。三份被测程序所链接的既有静态库通过公开 KAT，覆盖 25 次密钥生成、25 次封装、10 次解封装，其中包括 5 条接受密文和 5 条隐式拒绝密文。检查前后的采集程序摘要与 v3 元数据一致，避免用另一份重编程序的功能结果替代被测对象。完整摘要留在复核材料中。</w:t>
      </w:r>
    </w:p>
    <w:p>
      <w:pPr>
        <w:keepNext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表 6 给出同一判定规则下的防护与回滚结果。掩码后主效应绝对值由 5.467 降至 1.535 个计数，且不再拒绝。可是，恢复分支的新构建及随后在新目录中的再次回滚均未恢复拒绝。这一反证限制了防护解释：观测与掩码减弱差异相容，但还不能排除运行状态或其他构建差异的影响。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984"/>
        <w:gridCol w:w="1701"/>
        <w:gridCol w:w="1701"/>
        <w:gridCol w:w="1361"/>
        <w:gridCol w:w="2778"/>
      </w:tblGrid>
      <w:tr>
        <w:trPr>
          <w:cantSplit/>
          <w:tblHeader/>
        </w:trPr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对照条件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主效应（计数）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原始双侧 p 值</w:t>
            </w:r>
          </w:p>
        </w:tc>
        <w:tc>
          <w:tcPr>
            <w:tcW w:type="dxa" w:w="136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Holm 判定</w:t>
            </w:r>
          </w:p>
        </w:tc>
        <w:tc>
          <w:tcPr>
            <w:tcW w:type="dxa" w:w="277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结果解释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人工分支 v3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−5.467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0.00287</w:t>
            </w:r>
          </w:p>
        </w:tc>
        <w:tc>
          <w:tcPr>
            <w:tcW w:type="dxa" w:w="136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拒绝</w:t>
            </w:r>
          </w:p>
        </w:tc>
        <w:tc>
          <w:tcPr>
            <w:tcW w:type="dxa" w:w="277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在冻结规则下检出类别差异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掩码对照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−1.535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0.197</w:t>
            </w:r>
          </w:p>
        </w:tc>
        <w:tc>
          <w:tcPr>
            <w:tcW w:type="dxa" w:w="136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不拒绝</w:t>
            </w:r>
          </w:p>
        </w:tc>
        <w:tc>
          <w:tcPr>
            <w:tcW w:type="dxa" w:w="277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观测效应减小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首次新构建回滚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−2.976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0.026</w:t>
            </w:r>
          </w:p>
        </w:tc>
        <w:tc>
          <w:tcPr>
            <w:tcW w:type="dxa" w:w="136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不拒绝</w:t>
            </w:r>
          </w:p>
        </w:tc>
        <w:tc>
          <w:tcPr>
            <w:tcW w:type="dxa" w:w="277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未恢复拒绝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再次回滚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−3.682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0.0436</w:t>
            </w:r>
          </w:p>
        </w:tc>
        <w:tc>
          <w:tcPr>
            <w:tcW w:type="dxa" w:w="136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不拒绝</w:t>
            </w:r>
          </w:p>
        </w:tc>
        <w:tc>
          <w:tcPr>
            <w:tcW w:type="dxa" w:w="277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未恢复拒绝</w:t>
            </w:r>
          </w:p>
        </w:tc>
      </w:tr>
    </w:tbl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因此，检测成立、候选稳定出现和防护因果确认是三个不同层次的结论。当前前两项已有对应记录，最后一项尚未完成；既不能将掩码后未拒绝写成实现恒时，也不能将 20/20 排名写成唯一根因已经证实。</w:t>
      </w:r>
    </w:p>
    <w:p>
      <w:bookmarkStart w:id="5017" w:name="refined_heading_17"/>
      <w:pPr>
        <w:pStyle w:val="Heading3"/>
      </w:pPr>
      <w:r>
        <w:t>3.7.5 网络噪声环境下的时间侧信道检测</w:t>
      </w:r>
      <w:bookmarkEnd w:id="5017"/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网络场景中，客户端可见的是请求到固定应答之间的往返时间，其中同时包含服务端处理与传输、调度等开销。实验采用 1104 字节请求和 32 字节固定确认应答，服务端完成解封装后返回同一内容，不传出共享秘密、内部接受标志或内部耗时。客户端从发送前计时至完整应答接收后，并核对应答内容与服务端完成数。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受控噪声测试在 Ryzen 的网络命名空间与 veth 链路上进行，netem 作用于密码计时窗口之外。三档配置各完成 80 个请求，客户端均值分别为 152652.7125、1081638.2875 和 10308449.3625 个计数，按该时钟单位换算约为 152.7、1081.6 和 10308.4 微秒。原配置标记分别为单向 100 微秒、1 毫秒及 10 毫秒；这些是各自网络设置下的 RTT 观察，不能当作跨机器链路结果或严格的单向延迟校准。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直接跨机器测试由 Mac 客户端通过 TCP 连接 Ryzen 服务端，未使用 SSH 隧道。80 次请求保存了 80 行原始 RTT 和 2560 字节应答，服务端完成数为 80。均值为 30189475 个客户端单调钟纳秒计数，按表示单位换算约为 30.189 毫秒。另一次单请求记录为 26393000 个计数，应答 32 字节，与服务端完成数 1 对应。此前未产生数据行的连接尝试不计入样本。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直接链路的 RTT 比本地约 30 微秒的解封装大两个数量级以上，表明网络开销是远程分析必须面对的主要观察背景。现有测试验证了固定长度交互、完整记录和完成数核对，尚未建立远程类别差的确认结果。单凭这一量级比较，无法判断本地约 5 个计数的差异是否能够在远程重复观察；本节也不据此宣称网络上不存在时间泄露。</w:t>
      </w:r>
    </w:p>
    <w:p>
      <w:bookmarkStart w:id="5018" w:name="refined_heading_18"/>
      <w:pPr>
        <w:pStyle w:val="Heading3"/>
      </w:pPr>
      <w:r>
        <w:t>3.7.6 编译器优化对时序行为及防护效果的影响</w:t>
      </w:r>
      <w:bookmarkEnd w:id="5018"/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源码中的选择方式不一定原样保留到机器码，内联和链接时优化也可能改变定位对象。作品因此按实际编译与链接命令建立比较矩阵。reference 与正常优化掩码形态 deployable 分别覆盖 GCC、Clang 的 O0、O1、O2、O3 和 O2+LTO，共 20 个配置；人工分支 vulnerable 与掩码 hardened 各在两种编译器的外层 O2 下构建，另计 4 个配置。后四项仍保留目标函数的 O0 或 optnone 约束，不能视为目标函数已经接受相同的 O2 优化。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24 个配置均通过公开 KAT，计时使用无动态检查插桩的程序。后续会话采集复用已核对摘要的二进制，不重新编译。外层 O2 的 8 个配置各采用 20 个会话，其余 16 个配置各采用 5 个会话，每类均为 5000 次；统一使用开发种子 31337。早期每类 20 次的基础计时另行保留，不与会话结果合并。</w:t>
      </w:r>
    </w:p>
    <w:p>
      <w:pPr>
        <w:keepNext/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表 7 选列与分支及掩码对照有关的会话效应。GCC 与 Clang 下人工分支的效应方向不同，提示构建条件会影响观测形态；掩码构建的效应绝对值在这组记录中较小。然而，该批次没有在采集前为每个配置单独冻结检验协议，分析器给出的拒绝标记只能作为探索性输出。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948"/>
        <w:gridCol w:w="1757"/>
        <w:gridCol w:w="2381"/>
        <w:gridCol w:w="2438"/>
      </w:tblGrid>
      <w:tr>
        <w:trPr>
          <w:cantSplit/>
          <w:tblHeader/>
        </w:trPr>
        <w:tc>
          <w:tcPr>
            <w:tcW w:type="dxa" w:w="294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  <w:tc>
          <w:tcPr>
            <w:tcW w:type="dxa" w:w="175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主效应（计数）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原始双侧 p 值</w:t>
            </w:r>
          </w:p>
        </w:tc>
        <w:tc>
          <w:tcPr>
            <w:tcW w:type="dxa" w:w="243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分析器 Holm 输出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reference GCC O2</w:t>
            </w:r>
          </w:p>
        </w:tc>
        <w:tc>
          <w:tcPr>
            <w:tcW w:type="dxa" w:w="175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−0.033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0.9833</w:t>
            </w:r>
          </w:p>
        </w:tc>
        <w:tc>
          <w:tcPr>
            <w:tcW w:type="dxa" w:w="243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不拒绝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vulnerable GCC 外层 O2</w:t>
            </w:r>
          </w:p>
        </w:tc>
        <w:tc>
          <w:tcPr>
            <w:tcW w:type="dxa" w:w="175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−8.153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4.0590×10⁻⁵</w:t>
            </w:r>
          </w:p>
        </w:tc>
        <w:tc>
          <w:tcPr>
            <w:tcW w:type="dxa" w:w="243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拒绝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vulnerable Clang 外层 O2</w:t>
            </w:r>
          </w:p>
        </w:tc>
        <w:tc>
          <w:tcPr>
            <w:tcW w:type="dxa" w:w="175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5.090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0.0012595</w:t>
            </w:r>
          </w:p>
        </w:tc>
        <w:tc>
          <w:tcPr>
            <w:tcW w:type="dxa" w:w="243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拒绝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hardened GCC 外层 O2</w:t>
            </w:r>
          </w:p>
        </w:tc>
        <w:tc>
          <w:tcPr>
            <w:tcW w:type="dxa" w:w="175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−2.184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0.0696</w:t>
            </w:r>
          </w:p>
        </w:tc>
        <w:tc>
          <w:tcPr>
            <w:tcW w:type="dxa" w:w="243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不拒绝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hardened Clang 外层 O2</w:t>
            </w:r>
          </w:p>
        </w:tc>
        <w:tc>
          <w:tcPr>
            <w:tcW w:type="dxa" w:w="1757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1.544</w:t>
            </w:r>
          </w:p>
        </w:tc>
        <w:tc>
          <w:tcPr>
            <w:tcW w:type="dxa" w:w="2381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0.2738</w:t>
            </w:r>
          </w:p>
        </w:tc>
        <w:tc>
          <w:tcPr>
            <w:tcW w:type="dxa" w:w="2438"/>
          </w:tcPr>
          <w:p>
            <w:pPr>
              <w:spacing w:after="60" w:before="6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不拒绝</w:t>
            </w:r>
          </w:p>
        </w:tc>
      </w:tr>
    </w:tbl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按格记录保留 frozen_per_cell_test=no。表 7 不属于 v3 确认，也不能用于宣布某一优化级防护成立或失效。矩阵的价值在于将功能、实际构建条件与探索性时间表现逐一对应，为后续有针对性的确认提供依据，而不是用构建数量代替安全结论。</w:t>
      </w:r>
    </w:p>
    <w:p>
      <w:bookmarkStart w:id="5019" w:name="refined_heading_19"/>
      <w:pPr>
        <w:pStyle w:val="Heading3"/>
      </w:pPr>
      <w:r>
        <w:t>3.7.7 不同处理器平台上的检测与防护稳定性</w:t>
      </w:r>
      <w:bookmarkEnd w:id="5019"/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跨平台比较采用相同 v1 协议、种子 20261111 和 6×1000 预算，在 Ryzen 9 9950X 与 Apple Silicon 上分别分析。Ryzen 的主效应为 15.44 个计数，p=0.419，Wald 95% 区间为 −18.96 至 49.85；Apple 的主效应为 −297.67，p=0.627，区间为 −1424.51 至 829.17。两者均未通过 Holm 拒绝规则。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这些数值处于不同测量环境中：Ryzen 运行 x86_64 Linux，其首会话报告分辨率为 1、空窗最大值为 40；Apple 运行 macOS/ARM，分辨率与空窗最大值均为 1000。处理器、操作系统、工具链与时钟条件同时变化，因此本项是同协议下的跨环境复测，不能将差异单独归因于 CPU，也不能直接相减两边计数来衡量防护强弱。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Apple 上未检出不说明防护更强。当前也没有在 Apple 上取得 v3 的 20×5000 确认记录，没有第三台机器的新确认；历史 KVM 数据及 Mac 到 Ryzen 的网络 RTT 均未并入平台比较。v3 的拒绝、20/20 候选排名、掩码不拒绝和两次回滚未恢复，目前均限于这台 Ryzen 的相应记录。</w:t>
      </w:r>
    </w:p>
    <w:p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pPr/>
      <w:r>
        <w:rPr>
          <w:rFonts w:hint="eastAsia" w:ascii="楷体_GB2312" w:hAnsi="Times New Roman" w:eastAsia="楷体_GB2312"/>
          <w:bCs/>
          <w:sz w:val="28"/>
          <w:szCs w:val="28"/>
        </w:rPr>
        <w:t>综合七项验证，作品已能将完整调用测量、冻结规则下的统计判定和诊断候选对应到具体程序与环境。新增结果使检测与定位有了直接实验依据，也揭示了防护解释中尚未排除的混杂因素。逐调用物理精度、真实总体误报与检出能力，以及跨环境防护稳定性仍需补充证据；R02、R04 保持部分签收。上述限制不改变已完成的软件与实验事实，也不因流程可运行而自动消失。</w:t>
      </w:r>
    </w:p>
    <w:p w14:paraId="56B14FEB">
      <w:bookmarkStart w:id="5020" w:name="refined_heading_20"/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4 应用前景</w:t>
      </w:r>
      <w:bookmarkEnd w:id="5020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作品适用于密码实现的工程复核与审计教学。使用者可以先用独立向量确认功能，再对完整调用进行测量，将时间差与函数候选、实际编译产物及防护对照联系起来。原始记录、固定协议和复算入口使评审能够沿着结论返回依据，降低仅凭一个 p 值或一处源码分支作出安全判断的风险。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已验证的范围为 ML-KEM-768 便携 C 实现及报告列明的运行环境。固定长度 TCP 测试提供了远程观察的工程入口，但尚未完成远程类别差确认。后续工作宜优先解释回滚未恢复的原因，在固定构建与运行条件下补充能够区分实现机制和环境影响的对照，再检验结论能否扩展到其他平台与输入。真实非原作者执行仍需单独留下记录；匿名包、现场截图及审批签章按提交要求另行完成。</w:t>
      </w:r>
    </w:p>
    <w:p w14:paraId="56B14FEB">
      <w:bookmarkStart w:id="5021" w:name="refined_heading_21"/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>5 结论</w:t>
      </w:r>
      <w:bookmarkEnd w:id="5021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本作品围绕 ML-KEM 解封装时间行为，完成了功能验证、完整调用测量、统计复算和候选定位的可运行实现。最新 Ryzen 实验在冻结 v3 协议下经 Holm 校正拒绝主比较的零均值差原假设，主效应为 −5.467 个时钟计数；20 次诊断均将重加密与消息编码列入前三候选。掩码构建的效应绝对值减小且未再拒绝，但两次回滚也未恢复拒绝，因而现阶段支持条件限定的检测与定位，尚不支持唯一根因或恒时防护已经证实。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另外，24 个编译配置通过功能检查并形成探索性会话记录，Mac 与 Ryzen 的直接 TCP 测试保存 80 次完整往返记录；这些成果分别回答构建适配和交互可测性问题。固定无秘密任务中的精确复算效率改进则降低重复核查的计算开销，不意味着密码运算加速或检测灵敏度提高。约 5 个时钟计数不能解释为逐次调用的物理纳秒精度，真实总体错误率与跨环境防护稳定性仍待验证，R02、R04 保持部分签收。本稿为审阅用完整报告，尚未完成与之配套的匿名包、现场截图、审批和签章。</w:t>
      </w:r>
    </w:p>
    <w:p w14:paraId="56B14FEB">
      <w:bookmarkStart w:id="5022" w:name="refined_heading_22"/>
      <w:pPr>
        <w:pStyle w:val="2"/>
        <w:spacing w:before="240" w:after="240" w:line="360" w:lineRule="auto"/>
        <w:rPr>
          <w:rFonts w:hint="eastAsia" w:ascii="华文楷体" w:hAnsi="华文楷体" w:eastAsia="华文楷体"/>
          <w:sz w:val="30"/>
          <w:szCs w:val="30"/>
        </w:rPr>
      </w:pPr>
      <w:r>
        <w:rPr>
          <w:rFonts w:hint="eastAsia" w:ascii="华文楷体" w:hAnsi="华文楷体" w:eastAsia="华文楷体"/>
          <w:sz w:val="30"/>
          <w:szCs w:val="30"/>
        </w:rPr>
        <w:t xml:space="preserve">6 来源与复现材料</w:t>
      </w:r>
      <w:bookmarkEnd w:id="5022"/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[1] NIST. Module-Lattice-Based Key-Encapsulation Mechanism Standard. FIPS 203, 2024. https://csrc.nist.gov/pubs/fips/203/final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[2] pq-code-package. mlkem-native固定快照及证明边界。https://github.com/pq-code-package/mlkem-native/blob/b3ba7b32773e657dd37f6f87bce82528459ad8a4/SOUNDNESS.md；预防性值屏障变更：https://github.com/pq-code-package/mlkem-native/pull/1342。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[3] Reparaz O, Balasch J, Verbauwhede I. Dude, is my code constant time? DATE 2017；dudect固定dc269651fb2567e46755cfb2a13d3875592968b5。https://github.com/oreparaz/dudect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[4] Dunsche M, et al. With Great Power Come Great Side Channels: Statistical Timing Side-Channel Analyses with Bounded Type-1 Errors. USENIX Security 2024；已核对官方勘误。https://www.usenix.org/conference/usenixsecurity24/presentation/dunsche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[5] SciPy. permutation_test官方定义；对照实际版本SciPy1.16.3/NumPy2.3.5。https://docs.scipy.org/doc/scipy/reference/generated/scipy.stats.permutation_test.html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  <w:jc w:val="left"/>
      </w:pPr>
      <w:r>
        <w:rPr>
          <w:rFonts w:hint="eastAsia" w:ascii="楷体_GB2312" w:hAnsi="Times New Roman" w:eastAsia="楷体_GB2312"/>
          <w:bCs/>
          <w:sz w:val="28"/>
          <w:szCs w:val="28"/>
        </w:rPr>
        <w:t xml:space="preserve">[6] clangover机制出处固定7f4d5dc162b77c362a34a0d52949f7a3e1b16d81，原对象是旧Kyber，不能冒称FIPS 203。https://github.com/antoonpurnal/clangover</w:t>
      </w:r>
    </w:p>
    <w:p w14:paraId="6B53C45C">
      <w:pPr>
        <w:widowControl/>
        <w:adjustRightInd w:val="0"/>
        <w:snapToGrid w:val="0"/>
        <w:spacing w:line="480" w:lineRule="exact"/>
        <w:rPr>
          <w:rFonts w:ascii="楷体_GB2312" w:hAnsi="Times New Roman" w:eastAsia="楷体_GB2312"/>
          <w:bCs/>
          <w:sz w:val="28"/>
          <w:szCs w:val="28"/>
        </w:rPr>
      </w:pPr>
      <w:r>
        <w:rPr>
          <w:rFonts w:hint="eastAsia" w:ascii="楷体_GB2312" w:hAnsi="Times New Roman" w:eastAsia="楷体_GB2312"/>
          <w:bCs/>
          <w:sz w:val="28"/>
          <w:szCs w:val="28"/>
        </w:rPr>
        <w:t>历史材料按原证据编号保留。第 3.7 节新增结论对应 2026 年 10 月 11 日的冻结协议、会话判定、KAT、诊断、回滚、编译矩阵与直接 TCP 记录，详见随稿来源索引。旧封存报告及匿名副本保持原样，不视为已经包含本次新增结果。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14236616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212440BD">
        <w:pPr>
          <w:pStyle w:val="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00957">
    <w:pPr>
      <w:pStyle w:val="6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B4D"/>
    <w:rsid w:val="0001769F"/>
    <w:rsid w:val="00035012"/>
    <w:rsid w:val="00075049"/>
    <w:rsid w:val="00090885"/>
    <w:rsid w:val="00146555"/>
    <w:rsid w:val="00161B1B"/>
    <w:rsid w:val="00175070"/>
    <w:rsid w:val="00186455"/>
    <w:rsid w:val="00191B02"/>
    <w:rsid w:val="001A47C8"/>
    <w:rsid w:val="001B1DB6"/>
    <w:rsid w:val="001C1D17"/>
    <w:rsid w:val="001C6D92"/>
    <w:rsid w:val="001D3664"/>
    <w:rsid w:val="001E1D13"/>
    <w:rsid w:val="0022689B"/>
    <w:rsid w:val="00256BB7"/>
    <w:rsid w:val="002774FA"/>
    <w:rsid w:val="002822D8"/>
    <w:rsid w:val="002845D6"/>
    <w:rsid w:val="002A4EA5"/>
    <w:rsid w:val="003141E7"/>
    <w:rsid w:val="00332691"/>
    <w:rsid w:val="0034273A"/>
    <w:rsid w:val="0039611F"/>
    <w:rsid w:val="00425721"/>
    <w:rsid w:val="00432817"/>
    <w:rsid w:val="00434101"/>
    <w:rsid w:val="0043470B"/>
    <w:rsid w:val="00466388"/>
    <w:rsid w:val="004F4C94"/>
    <w:rsid w:val="00513A12"/>
    <w:rsid w:val="00517279"/>
    <w:rsid w:val="00547813"/>
    <w:rsid w:val="00554F5D"/>
    <w:rsid w:val="0057300D"/>
    <w:rsid w:val="00574703"/>
    <w:rsid w:val="005822FE"/>
    <w:rsid w:val="0059419A"/>
    <w:rsid w:val="005F7A30"/>
    <w:rsid w:val="00611E07"/>
    <w:rsid w:val="00621AF2"/>
    <w:rsid w:val="00631E26"/>
    <w:rsid w:val="0063657D"/>
    <w:rsid w:val="00664B42"/>
    <w:rsid w:val="0067271A"/>
    <w:rsid w:val="00677002"/>
    <w:rsid w:val="00687301"/>
    <w:rsid w:val="006D30A0"/>
    <w:rsid w:val="006D3B4D"/>
    <w:rsid w:val="006F3184"/>
    <w:rsid w:val="00731E6B"/>
    <w:rsid w:val="00747B59"/>
    <w:rsid w:val="00766607"/>
    <w:rsid w:val="0077465F"/>
    <w:rsid w:val="007817EC"/>
    <w:rsid w:val="007D255F"/>
    <w:rsid w:val="007E6BB3"/>
    <w:rsid w:val="008201D9"/>
    <w:rsid w:val="00830906"/>
    <w:rsid w:val="00845996"/>
    <w:rsid w:val="00847781"/>
    <w:rsid w:val="00863E71"/>
    <w:rsid w:val="008F5F36"/>
    <w:rsid w:val="00903383"/>
    <w:rsid w:val="00934DCF"/>
    <w:rsid w:val="00946FD5"/>
    <w:rsid w:val="009733E4"/>
    <w:rsid w:val="009943D4"/>
    <w:rsid w:val="009A03F1"/>
    <w:rsid w:val="009F6678"/>
    <w:rsid w:val="00A2005F"/>
    <w:rsid w:val="00A21582"/>
    <w:rsid w:val="00A40871"/>
    <w:rsid w:val="00A41124"/>
    <w:rsid w:val="00AA005E"/>
    <w:rsid w:val="00AB58A4"/>
    <w:rsid w:val="00AD1EA7"/>
    <w:rsid w:val="00AF2C1B"/>
    <w:rsid w:val="00AF71EF"/>
    <w:rsid w:val="00AF784B"/>
    <w:rsid w:val="00AF7905"/>
    <w:rsid w:val="00B15194"/>
    <w:rsid w:val="00B40659"/>
    <w:rsid w:val="00B64376"/>
    <w:rsid w:val="00B711FB"/>
    <w:rsid w:val="00B938E4"/>
    <w:rsid w:val="00BC477C"/>
    <w:rsid w:val="00BC5F07"/>
    <w:rsid w:val="00BD2BD8"/>
    <w:rsid w:val="00C15503"/>
    <w:rsid w:val="00C22111"/>
    <w:rsid w:val="00C30983"/>
    <w:rsid w:val="00C33189"/>
    <w:rsid w:val="00C649BD"/>
    <w:rsid w:val="00CB56D2"/>
    <w:rsid w:val="00CC465B"/>
    <w:rsid w:val="00CC620C"/>
    <w:rsid w:val="00CD077A"/>
    <w:rsid w:val="00D22DCE"/>
    <w:rsid w:val="00D3438E"/>
    <w:rsid w:val="00D414A2"/>
    <w:rsid w:val="00D42866"/>
    <w:rsid w:val="00D9024E"/>
    <w:rsid w:val="00DD00B4"/>
    <w:rsid w:val="00DE0776"/>
    <w:rsid w:val="00E219F6"/>
    <w:rsid w:val="00E42F92"/>
    <w:rsid w:val="00E46B6F"/>
    <w:rsid w:val="00E60254"/>
    <w:rsid w:val="00E80179"/>
    <w:rsid w:val="00E966EE"/>
    <w:rsid w:val="00EA59BD"/>
    <w:rsid w:val="00EA77A6"/>
    <w:rsid w:val="00ED492E"/>
    <w:rsid w:val="00EF686B"/>
    <w:rsid w:val="00F81DAA"/>
    <w:rsid w:val="00F84C28"/>
    <w:rsid w:val="00FA04FA"/>
    <w:rsid w:val="00FB1F38"/>
    <w:rsid w:val="00FB7EE9"/>
    <w:rsid w:val="00FD3354"/>
    <w:rsid w:val="00FE0607"/>
    <w:rsid w:val="00FF3324"/>
    <w:rsid w:val="0FAA12E4"/>
    <w:rsid w:val="4C7C2AD2"/>
    <w:rsid w:val="79F7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批注框文本 字符"/>
    <w:basedOn w:val="8"/>
    <w:link w:val="4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QB正文 Char"/>
    <w:link w:val="13"/>
    <w:uiPriority w:val="0"/>
    <w:rPr>
      <w:rFonts w:ascii="宋体"/>
    </w:rPr>
  </w:style>
  <w:style w:type="paragraph" w:customStyle="1" w:styleId="13">
    <w:name w:val="QB正文"/>
    <w:basedOn w:val="1"/>
    <w:link w:val="12"/>
    <w:qFormat/>
    <w:uiPriority w:val="0"/>
    <w:pPr>
      <w:widowControl/>
      <w:autoSpaceDE w:val="0"/>
      <w:autoSpaceDN w:val="0"/>
      <w:spacing w:line="300" w:lineRule="auto"/>
      <w:ind w:firstLine="200" w:firstLineChars="200"/>
    </w:pPr>
    <w:rPr>
      <w:rFonts w:ascii="宋体" w:hAnsiTheme="minorHAnsi" w:eastAsiaTheme="minorEastAsia" w:cstheme="minorBidi"/>
    </w:rPr>
  </w:style>
  <w:style w:type="paragraph" w:customStyle="1" w:styleId="14">
    <w:name w:val="p15"/>
    <w:basedOn w:val="1"/>
    <w:qFormat/>
    <w:uiPriority w:val="0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15">
    <w:name w:val="p0"/>
    <w:basedOn w:val="1"/>
    <w:uiPriority w:val="0"/>
    <w:pPr>
      <w:widowControl/>
    </w:pPr>
    <w:rPr>
      <w:rFonts w:ascii="Times New Roman" w:hAnsi="Times New Roman"/>
      <w:kern w:val="0"/>
      <w:szCs w:val="21"/>
    </w:rPr>
  </w:style>
  <w:style w:type="character" w:customStyle="1" w:styleId="16">
    <w:name w:val="标题 1 字符"/>
    <w:basedOn w:val="8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Heading3">
    <w:name w:val="heading 3"/>
    <w:basedOn w:val="1"/>
    <w:pPr>
      <w:keepNext/>
      <w:spacing w:before="200" w:after="100"/>
      <w:outlineLvl w:val="2"/>
    </w:pPr>
    <w:rPr>
      <w:rFonts w:ascii="Times New Roman" w:hAnsi="Times New Roman" w:eastAsia="黑体"/>
      <w:b/>
      <w:color w:val="000000"/>
      <w:sz w:val="24"/>
    </w:rPr>
  </w:style>
  <w:style w:type="table" w:customStyle="1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A113Figure1" Type="http://schemas.openxmlformats.org/officeDocument/2006/relationships/image" Target="media/a113-architecture.png"/><Relationship Id="rIdA113Figure2" Type="http://schemas.openxmlformats.org/officeDocument/2006/relationships/image" Target="media/a113-native-performance.png"/><Relationship Id="rIdA113Figure3" Type="http://schemas.openxmlformats.org/officeDocument/2006/relationships/image" Target="media/a113-replay-efficiency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EFF8F8-817C-46C2-B7C0-7F1D2A20EB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22</Pages>
  <Words>236</Words>
  <Characters>243</Characters>
  <Lines>3</Lines>
  <Paragraphs>1</Paragraphs>
  <TotalTime>24</TotalTime>
  <ScaleCrop>false</ScaleCrop>
  <LinksUpToDate>false</LinksUpToDate>
  <CharactersWithSpaces>309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2019-09-14T06:53:00Z</dcterms:created>
  <dc:creator/>
  <cp:lastModifiedBy/>
  <dcterms:modified xsi:type="dcterms:W3CDTF">2026-09-20T07:09:28Z</dcterms:modified>
  <dc:title>ML-KEM 解封装实现的时间侧信道检测与常数时间防护</dc:title>
  <cp:revision>42</cp:revision>
  <dc:subject>CACR2026EA16XZ 作品设计报告 2026年10月12日修订稿</dc:subject>
  <dc:description>基于已封存报告另存修订，纳入第3.7节；不改变原始实验记录。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eyJoZGlkIjoiNWQ5ZDQyNWExM2I5OGFkYzI5NTUwZWI3YjM5NzhlYzciLCJ1c2VySWQiOiIxNTUxNjk3NTg4In0=</vt:lpwstr>
  </property>
  <property fmtid="{D5CDD505-2E9C-101B-9397-08002B2CF9AE}" pid="5" name="ICV">
    <vt:lpwstr>3C07B40A024C48A48B1C0127491CFB76_12</vt:lpwstr>
  </property>
</Properties>
</file>