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 xml:space="preserve">2026 年 10 月 10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14:paraId="CA140001">
            <w:pPr>
              <w:spacing w:line="480" w:lineRule="exact"/>
              <w:ind w:firstLine="560"/>
              <w:snapToGrid w:val="0"/>
            </w:pPr>
            <w:r>
              <w:rPr>
                <w:rFonts w:ascii="Times New Roman" w:hAnsi="Times New Roman" w:eastAsia="楷体_GB2312"/>
                <w:sz w:val="28"/>
              </w:rPr>
              <w:t xml:space="preserve">本作品面向ML-KEM解封装实现的本地审计需求，设计并实现C11审计与精确复算系统。系统采用固定ML-KEM-768便携实现，以独立公开向量及接口检查验证功能，在完整解封装窗口中记录逐次时间，并关联保存源码、产物、环境和成本。针对结果难以核查的问题，将数据资格与统计数值分开输出，实现有界成对数据的整数精确复算。测试中，八个固定任务与SciPy尾计数及判定一致，预导入对照后的耗时比值中位数为0.001562070。macOS/ARM的M01同语言对照中，六个非零任务的增量/完整求和中位比为0.261640至0.319174；M02在一次干净重建后的同机三个新进程中，六个固定非零任务的18个中位比仍小于1，240对满足时钟资格。40964份有限模型及24576份后赋标签结果均通过独立核对。同机人工机制复测中，掩码形态在五个预定种子的原名义检验里均未再检出差异。官方两项潜在修正已与固定便携C路径静态核对。作品已完成封存包新目录复算，支持本地实现审查及离线复核；统计结果均按对应模型解释，不外推为全库恒时保证。</w:t>
            </w:r>
            <w:r>
              <w:rPr>
                <w:rFonts w:ascii="Times New Roman" w:hAnsi="Times New Roman" w:eastAsia="楷体_GB2312"/>
                <w:sz w:val="28"/>
              </w:rPr>
              <w:t>G2单次普通参考进程保存126528次调用，200个主窗口通过工程规则，纯主平均窗口几何覆盖99.4948%；注册取消与可见恢复另核对，R02/R04仍部分签收。</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3</w:t>
      </w:r>
    </w:p>
    <w:p>
      <w:pPr>
        <w:pStyle w:val="RWTOC1"/>
        <w:tabs>
          <w:tab w:pos="8957" w:val="right" w:leader="dot"/>
        </w:tabs>
        <w:ind w:left="0"/>
        <w:snapToGrid w:val="0"/>
      </w:pPr>
      <w:hyperlink w:anchor="rw_heading_4">
        <w:r>
          <w:t>第2章　ML-KEM实现审计的理论基础</w:t>
        </w:r>
      </w:hyperlink>
      <w:r>
        <w:tab/>
        <w:t>4</w:t>
      </w:r>
    </w:p>
    <w:p>
      <w:pPr>
        <w:pStyle w:val="RWTOC2"/>
        <w:tabs>
          <w:tab w:pos="8957" w:val="right" w:leader="dot"/>
        </w:tabs>
        <w:ind w:left="369"/>
        <w:snapToGrid w:val="0"/>
      </w:pPr>
      <w:hyperlink w:anchor="rw_heading_5">
        <w:r>
          <w:t>2.1　ML-KEM-768的接口与功能正确性</w:t>
        </w:r>
      </w:hyperlink>
      <w:r>
        <w:tab/>
        <w:t>4</w:t>
      </w:r>
    </w:p>
    <w:p>
      <w:pPr>
        <w:pStyle w:val="RWTOC2"/>
        <w:tabs>
          <w:tab w:pos="8957" w:val="right" w:leader="dot"/>
        </w:tabs>
        <w:ind w:left="369"/>
        <w:snapToGrid w:val="0"/>
      </w:pPr>
      <w:hyperlink w:anchor="rw_heading_6">
        <w:r>
          <w:t>2.2　外部输入检查与隐式拒绝语义</w:t>
        </w:r>
      </w:hyperlink>
      <w:r>
        <w:tab/>
        <w:t>5</w:t>
      </w:r>
    </w:p>
    <w:p>
      <w:pPr>
        <w:pStyle w:val="RWTOC2"/>
        <w:tabs>
          <w:tab w:pos="8957" w:val="right" w:leader="dot"/>
        </w:tabs>
        <w:ind w:left="369"/>
        <w:snapToGrid w:val="0"/>
      </w:pPr>
      <w:hyperlink w:anchor="rw_heading_7">
        <w:r>
          <w:t>2.3　执行时间的影响因素与样本单位</w:t>
        </w:r>
      </w:hyperlink>
      <w:r>
        <w:tab/>
        <w:t>6</w:t>
      </w:r>
    </w:p>
    <w:p>
      <w:pPr>
        <w:pStyle w:val="RWTOC2"/>
        <w:tabs>
          <w:tab w:pos="8957" w:val="right" w:leader="dot"/>
        </w:tabs>
        <w:ind w:left="369"/>
        <w:snapToGrid w:val="0"/>
      </w:pPr>
      <w:hyperlink w:anchor="rw_heading_8">
        <w:r>
          <w:t>2.4　成对随机化与整数精确检验</w:t>
        </w:r>
      </w:hyperlink>
      <w:r>
        <w:tab/>
        <w:t>6</w:t>
      </w:r>
    </w:p>
    <w:p>
      <w:pPr>
        <w:pStyle w:val="RWTOC2"/>
        <w:tabs>
          <w:tab w:pos="8957" w:val="right" w:leader="dot"/>
        </w:tabs>
        <w:ind w:left="369"/>
        <w:snapToGrid w:val="0"/>
      </w:pPr>
      <w:hyperlink w:anchor="rw_heading_9">
        <w:r>
          <w:t>2.5　运行分位数与相对性能开销</w:t>
        </w:r>
      </w:hyperlink>
      <w:r>
        <w:tab/>
        <w:t>7</w:t>
      </w:r>
    </w:p>
    <w:p>
      <w:pPr>
        <w:pStyle w:val="RWTOC1"/>
        <w:tabs>
          <w:tab w:pos="8957" w:val="right" w:leader="dot"/>
        </w:tabs>
        <w:ind w:left="0"/>
        <w:snapToGrid w:val="0"/>
      </w:pPr>
      <w:hyperlink w:anchor="rw_heading_10">
        <w:r>
          <w:t>第3章　本地审计与精确复算系统设计</w:t>
        </w:r>
      </w:hyperlink>
      <w:r>
        <w:tab/>
        <w:t>9</w:t>
      </w:r>
    </w:p>
    <w:p>
      <w:pPr>
        <w:pStyle w:val="RWTOC2"/>
        <w:tabs>
          <w:tab w:pos="8957" w:val="right" w:leader="dot"/>
        </w:tabs>
        <w:ind w:left="369"/>
        <w:snapToGrid w:val="0"/>
      </w:pPr>
      <w:hyperlink w:anchor="rw_heading_11">
        <w:r>
          <w:t>3.1　系统架构与模块协同</w:t>
        </w:r>
      </w:hyperlink>
      <w:r>
        <w:tab/>
        <w:t>9</w:t>
      </w:r>
    </w:p>
    <w:p>
      <w:pPr>
        <w:pStyle w:val="RWTOC2"/>
        <w:tabs>
          <w:tab w:pos="8957" w:val="right" w:leader="dot"/>
        </w:tabs>
        <w:ind w:left="369"/>
        <w:snapToGrid w:val="0"/>
      </w:pPr>
      <w:hyperlink w:anchor="rw_heading_12">
        <w:r>
          <w:t>3.2　固定快照管理与多实现构建隔离</w:t>
        </w:r>
      </w:hyperlink>
      <w:r>
        <w:tab/>
        <w:t>10</w:t>
      </w:r>
    </w:p>
    <w:p>
      <w:pPr>
        <w:pStyle w:val="RWTOC2"/>
        <w:tabs>
          <w:tab w:pos="8957" w:val="right" w:leader="dot"/>
        </w:tabs>
        <w:ind w:left="369"/>
        <w:snapToGrid w:val="0"/>
      </w:pPr>
      <w:hyperlink w:anchor="rw_heading_13">
        <w:r>
          <w:t>3.3　普通输入组织与完整解封装计时</w:t>
        </w:r>
      </w:hyperlink>
      <w:r>
        <w:tab/>
        <w:t>11</w:t>
      </w:r>
    </w:p>
    <w:p>
      <w:pPr>
        <w:pStyle w:val="RWTOC2"/>
        <w:tabs>
          <w:tab w:pos="8957" w:val="right" w:leader="dot"/>
        </w:tabs>
        <w:ind w:left="369"/>
        <w:snapToGrid w:val="0"/>
      </w:pPr>
      <w:hyperlink w:anchor="rw_heading_14">
        <w:r>
          <w:t>3.4　运行记录组织与来源一致性校验</w:t>
        </w:r>
      </w:hyperlink>
      <w:r>
        <w:tab/>
        <w:t>12</w:t>
      </w:r>
    </w:p>
    <w:p>
      <w:pPr>
        <w:pStyle w:val="RWTOC2"/>
        <w:tabs>
          <w:tab w:pos="8957" w:val="right" w:leader="dot"/>
        </w:tabs>
        <w:ind w:left="369"/>
        <w:snapToGrid w:val="0"/>
      </w:pPr>
      <w:hyperlink w:anchor="rw_heading_15">
        <w:r>
          <w:t>3.5　数据资格控制与精确复算实现</w:t>
        </w:r>
      </w:hyperlink>
      <w:r>
        <w:tab/>
        <w:t>13</w:t>
      </w:r>
    </w:p>
    <w:p>
      <w:pPr>
        <w:pStyle w:val="RWTOC2"/>
        <w:tabs>
          <w:tab w:pos="8957" w:val="right" w:leader="dot"/>
        </w:tabs>
        <w:ind w:left="369"/>
        <w:snapToGrid w:val="0"/>
      </w:pPr>
      <w:hyperlink w:anchor="rw_heading_16">
        <w:r>
          <w:t>3.6　材料复现流程与离线结果展示</w:t>
        </w:r>
      </w:hyperlink>
      <w:r>
        <w:tab/>
        <w:t>14</w:t>
      </w:r>
    </w:p>
    <w:p>
      <w:pPr>
        <w:pStyle w:val="RWTOC1"/>
        <w:tabs>
          <w:tab w:pos="8957" w:val="right" w:leader="dot"/>
        </w:tabs>
        <w:ind w:left="0"/>
        <w:snapToGrid w:val="0"/>
      </w:pPr>
      <w:hyperlink w:anchor="rw_heading_17">
        <w:r>
          <w:t>第4章　实现安全性与审计结论的适用范围</w:t>
        </w:r>
      </w:hyperlink>
      <w:r>
        <w:tab/>
        <w:t>16</w:t>
      </w:r>
    </w:p>
    <w:p>
      <w:pPr>
        <w:pStyle w:val="RWTOC2"/>
        <w:tabs>
          <w:tab w:pos="8957" w:val="right" w:leader="dot"/>
        </w:tabs>
        <w:ind w:left="369"/>
        <w:snapToGrid w:val="0"/>
      </w:pPr>
      <w:hyperlink w:anchor="rw_heading_18">
        <w:r>
          <w:t>4.1　本地审计的对象与可见信息</w:t>
        </w:r>
      </w:hyperlink>
      <w:r>
        <w:tab/>
        <w:t>16</w:t>
      </w:r>
    </w:p>
    <w:p>
      <w:pPr>
        <w:pStyle w:val="RWTOC2"/>
        <w:tabs>
          <w:tab w:pos="8957" w:val="right" w:leader="dot"/>
        </w:tabs>
        <w:ind w:left="369"/>
        <w:snapToGrid w:val="0"/>
      </w:pPr>
      <w:hyperlink w:anchor="rw_heading_19">
        <w:r>
          <w:t>4.2　标准语义与外部接口保护</w:t>
        </w:r>
      </w:hyperlink>
      <w:r>
        <w:tab/>
        <w:t>17</w:t>
      </w:r>
    </w:p>
    <w:p>
      <w:pPr>
        <w:pStyle w:val="RWTOC2"/>
        <w:tabs>
          <w:tab w:pos="8957" w:val="right" w:leader="dot"/>
        </w:tabs>
        <w:ind w:left="369"/>
        <w:snapToGrid w:val="0"/>
      </w:pPr>
      <w:hyperlink w:anchor="rw_heading_20">
        <w:r>
          <w:t>4.3　恒时实现检查与历史案例解释</w:t>
        </w:r>
      </w:hyperlink>
      <w:r>
        <w:tab/>
        <w:t>17</w:t>
      </w:r>
    </w:p>
    <w:p>
      <w:pPr>
        <w:pStyle w:val="RWTOC2"/>
        <w:tabs>
          <w:tab w:pos="8957" w:val="right" w:leader="dot"/>
        </w:tabs>
        <w:ind w:left="369"/>
        <w:snapToGrid w:val="0"/>
      </w:pPr>
      <w:hyperlink w:anchor="rw_heading_21">
        <w:r>
          <w:t>4.4　统计资格与条件错误控制</w:t>
        </w:r>
      </w:hyperlink>
      <w:r>
        <w:tab/>
        <w:t>18</w:t>
      </w:r>
    </w:p>
    <w:p>
      <w:pPr>
        <w:pStyle w:val="RWTOC2"/>
        <w:tabs>
          <w:tab w:pos="8957" w:val="right" w:leader="dot"/>
        </w:tabs>
        <w:ind w:left="369"/>
        <w:snapToGrid w:val="0"/>
      </w:pPr>
      <w:hyperlink w:anchor="rw_heading_22">
        <w:r>
          <w:t>4.5　复现一致性与研究结论的区分</w:t>
        </w:r>
      </w:hyperlink>
      <w:r>
        <w:tab/>
        <w:t>20</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21</w:t>
      </w:r>
    </w:p>
    <w:p>
      <w:pPr>
        <w:pStyle w:val="RWTOC2"/>
        <w:tabs>
          <w:tab w:pos="8957" w:val="right" w:leader="dot"/>
        </w:tabs>
        <w:ind w:left="369"/>
        <w:snapToGrid w:val="0"/>
      </w:pPr>
      <w:hyperlink w:anchor="rw_heading_24">
        <w:r>
          <w:t>5.1　原生测试环境与分层验证方案</w:t>
        </w:r>
      </w:hyperlink>
      <w:r>
        <w:tab/>
        <w:t>21</w:t>
      </w:r>
    </w:p>
    <w:p>
      <w:pPr>
        <w:pStyle w:val="RWTOC2"/>
        <w:tabs>
          <w:tab w:pos="8957" w:val="right" w:leader="dot"/>
        </w:tabs>
        <w:ind w:left="369"/>
        <w:snapToGrid w:val="0"/>
      </w:pPr>
      <w:hyperlink w:anchor="rw_heading_25">
        <w:r>
          <w:t>5.2　独立向量验收与工程边界检查</w:t>
        </w:r>
      </w:hyperlink>
      <w:r>
        <w:tab/>
        <w:t>22</w:t>
      </w:r>
    </w:p>
    <w:p>
      <w:pPr>
        <w:pStyle w:val="RWTOC2"/>
        <w:tabs>
          <w:tab w:pos="8957" w:val="right" w:leader="dot"/>
        </w:tabs>
        <w:ind w:left="369"/>
        <w:snapToGrid w:val="0"/>
      </w:pPr>
      <w:hyperlink w:anchor="rw_heading_26">
        <w:r>
          <w:t>5.3　普通解封装性能与跨运行波动</w:t>
        </w:r>
      </w:hyperlink>
      <w:r>
        <w:tab/>
        <w:t>23</w:t>
      </w:r>
    </w:p>
    <w:p>
      <w:pPr>
        <w:pStyle w:val="RWTOC2"/>
        <w:tabs>
          <w:tab w:pos="8957" w:val="right" w:leader="dot"/>
        </w:tabs>
        <w:ind w:left="369"/>
        <w:snapToGrid w:val="0"/>
      </w:pPr>
      <w:hyperlink w:anchor="rw_heading_27">
        <w:r>
          <w:t>5.4　精确复算效率与成本边界复核</w:t>
        </w:r>
      </w:hyperlink>
      <w:r>
        <w:tab/>
        <w:t>25</w:t>
      </w:r>
    </w:p>
    <w:p>
      <w:pPr>
        <w:pStyle w:val="RWTOC2"/>
        <w:tabs>
          <w:tab w:pos="8957" w:val="right" w:leader="dot"/>
        </w:tabs>
        <w:ind w:left="369"/>
        <w:snapToGrid w:val="0"/>
      </w:pPr>
      <w:hyperlink w:anchor="rw_heading_28">
        <w:r>
          <w:t>5.5　有限模型下的误拒绝与检出表现</w:t>
        </w:r>
      </w:hyperlink>
      <w:r>
        <w:tab/>
        <w:t>28</w:t>
      </w:r>
    </w:p>
    <w:p>
      <w:pPr>
        <w:pStyle w:val="RWTOC2"/>
        <w:tabs>
          <w:tab w:pos="8957" w:val="right" w:leader="dot"/>
        </w:tabs>
        <w:ind w:left="369"/>
        <w:snapToGrid w:val="0"/>
      </w:pPr>
      <w:hyperlink w:anchor="rw_heading_29">
        <w:r>
          <w:t>5.6　真实参考时间的后赋标签控制</w:t>
        </w:r>
      </w:hyperlink>
      <w:r>
        <w:tab/>
        <w:t>29</w:t>
      </w:r>
    </w:p>
    <w:p>
      <w:pPr>
        <w:pStyle w:val="RWTOC2"/>
        <w:tabs>
          <w:tab w:pos="8957" w:val="right" w:leader="dot"/>
        </w:tabs>
        <w:ind w:left="369"/>
        <w:snapToGrid w:val="0"/>
      </w:pPr>
      <w:hyperlink w:anchor="rw_heading_30">
        <w:r>
          <w:t>5.7　历史案例审计与封存材料复算</w:t>
        </w:r>
      </w:hyperlink>
      <w:r>
        <w:tab/>
        <w:t>31</w:t>
      </w:r>
    </w:p>
    <w:p>
      <w:pPr>
        <w:pStyle w:val="RWTOC2"/>
        <w:tabs>
          <w:tab w:pos="8957" w:val="right" w:leader="dot"/>
        </w:tabs>
        <w:ind w:left="369"/>
        <w:snapToGrid w:val="0"/>
      </w:pPr>
      <w:hyperlink w:anchor="rw_heading_31">
        <w:r>
          <w:t>5.8　同机人工机制的防护前后复测</w:t>
        </w:r>
      </w:hyperlink>
      <w:r>
        <w:tab/>
        <w:t>31</w:t>
      </w:r>
    </w:p>
    <w:p w14:paraId="CA160021">
      <w:pPr>
        <w:pStyle w:val="RWTOC2"/>
        <w:tabs>
          <w:tab w:pos="8957" w:val="right" w:leader="dot"/>
        </w:tabs>
        <w:ind w:left="369"/>
        <w:snapToGrid w:val="0"/>
      </w:pPr>
      <w:hyperlink w:anchor="rw_heading_g2_20261010">
        <w:r>
          <w:t>5.9　单次普通参考负载的窗口观察与恢复</w:t>
        </w:r>
      </w:hyperlink>
      <w:r>
        <w:tab/>
        <w:t>34</w:t>
      </w:r>
    </w:p>
    <w:p>
      <w:pPr>
        <w:pStyle w:val="RWTOC1"/>
        <w:tabs>
          <w:tab w:pos="8957" w:val="right" w:leader="dot"/>
        </w:tabs>
        <w:ind w:left="0"/>
        <w:snapToGrid w:val="0"/>
      </w:pPr>
      <w:hyperlink w:anchor="rw_heading_32">
        <w:r>
          <w:t>第6章　作品特色与应用前景</w:t>
        </w:r>
      </w:hyperlink>
      <w:r>
        <w:tab/>
        <w:t>36</w:t>
      </w:r>
    </w:p>
    <w:p>
      <w:pPr>
        <w:pStyle w:val="RWTOC2"/>
        <w:tabs>
          <w:tab w:pos="8957" w:val="right" w:leader="dot"/>
        </w:tabs>
        <w:ind w:left="369"/>
        <w:snapToGrid w:val="0"/>
      </w:pPr>
      <w:hyperlink w:anchor="rw_heading_33">
        <w:r>
          <w:t>6.1　面向固定任务的专用复算效率</w:t>
        </w:r>
      </w:hyperlink>
      <w:r>
        <w:tab/>
        <w:t>36</w:t>
      </w:r>
    </w:p>
    <w:p>
      <w:pPr>
        <w:pStyle w:val="RWTOC2"/>
        <w:tabs>
          <w:tab w:pos="8957" w:val="right" w:leader="dot"/>
        </w:tabs>
        <w:ind w:left="369"/>
        <w:snapToGrid w:val="0"/>
      </w:pPr>
      <w:hyperlink w:anchor="rw_heading_34">
        <w:r>
          <w:t>6.2　数据资格与解释范围的一体化设计</w:t>
        </w:r>
      </w:hyperlink>
      <w:r>
        <w:tab/>
        <w:t>36</w:t>
      </w:r>
    </w:p>
    <w:p>
      <w:pPr>
        <w:pStyle w:val="RWTOC2"/>
        <w:tabs>
          <w:tab w:pos="8957" w:val="right" w:leader="dot"/>
        </w:tabs>
        <w:ind w:left="369"/>
        <w:snapToGrid w:val="0"/>
      </w:pPr>
      <w:hyperlink w:anchor="rw_heading_35">
        <w:r>
          <w:t>6.3　本地审计与密码工程教学</w:t>
        </w:r>
      </w:hyperlink>
      <w:r>
        <w:tab/>
        <w:t>37</w:t>
      </w:r>
    </w:p>
    <w:p>
      <w:pPr>
        <w:pStyle w:val="RWTOC1"/>
        <w:tabs>
          <w:tab w:pos="8957" w:val="right" w:leader="dot"/>
        </w:tabs>
        <w:ind w:left="0"/>
        <w:snapToGrid w:val="0"/>
      </w:pPr>
      <w:hyperlink w:anchor="rw_heading_36">
        <w:r>
          <w:t>第7章　总结与展望</w:t>
        </w:r>
      </w:hyperlink>
      <w:r>
        <w:tab/>
        <w:t>38</w:t>
      </w:r>
    </w:p>
    <w:p>
      <w:pPr>
        <w:pStyle w:val="RWTOC2"/>
        <w:tabs>
          <w:tab w:pos="8957" w:val="right" w:leader="dot"/>
        </w:tabs>
        <w:ind w:left="369"/>
        <w:snapToGrid w:val="0"/>
      </w:pPr>
      <w:hyperlink w:anchor="rw_heading_37">
        <w:r>
          <w:t>7.1　工作总结</w:t>
        </w:r>
      </w:hyperlink>
      <w:r>
        <w:tab/>
        <w:t>38</w:t>
      </w:r>
    </w:p>
    <w:p>
      <w:pPr>
        <w:pStyle w:val="RWTOC2"/>
        <w:tabs>
          <w:tab w:pos="8957" w:val="right" w:leader="dot"/>
        </w:tabs>
        <w:ind w:left="369"/>
        <w:snapToGrid w:val="0"/>
      </w:pPr>
      <w:hyperlink w:anchor="rw_heading_38">
        <w:r>
          <w:t>7.2　现有限制与后续工作</w:t>
        </w:r>
      </w:hyperlink>
      <w:r>
        <w:tab/>
        <w:t>38</w:t>
      </w:r>
    </w:p>
    <w:p>
      <w:pPr>
        <w:pStyle w:val="RWTOC1"/>
        <w:tabs>
          <w:tab w:pos="8957" w:val="right" w:leader="dot"/>
        </w:tabs>
        <w:ind w:left="0"/>
        <w:snapToGrid w:val="0"/>
      </w:pPr>
      <w:hyperlink w:anchor="rw_heading_39">
        <w:r>
          <w:t>参考文献</w:t>
        </w:r>
      </w:hyperlink>
      <w:r>
        <w:tab/>
        <w:t>39</w:t>
      </w:r>
    </w:p>
    <w:p>
      <w:pPr>
        <w:pStyle w:val="RWTOC1"/>
        <w:tabs>
          <w:tab w:pos="8957" w:val="right" w:leader="dot"/>
        </w:tabs>
        <w:ind w:left="0"/>
        <w:snapToGrid w:val="0"/>
      </w:pPr>
      <w:hyperlink w:anchor="rw_heading_40">
        <w:r>
          <w:t>附录A　实验材料与结论对应关系</w:t>
        </w:r>
      </w:hyperlink>
      <w:r>
        <w:tab/>
        <w:t>41</w:t>
      </w:r>
    </w:p>
    <w:p>
      <w:pPr>
        <w:pStyle w:val="RWTOC1"/>
        <w:tabs>
          <w:tab w:pos="8957" w:val="right" w:leader="dot"/>
        </w:tabs>
        <w:ind w:left="0"/>
        <w:snapToGrid w:val="0"/>
      </w:pPr>
      <w:hyperlink w:anchor="rw_heading_41">
        <w:r>
          <w:t>附录B　普通性能的完整分位数</w:t>
        </w:r>
      </w:hyperlink>
      <w:r>
        <w:tab/>
        <w:t>45</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Body"/>
        <w:widowControl/>
        <w:jc w:val="both"/>
        <w:snapToGrid w:val="0"/>
      </w:pPr>
      <w:r>
        <w:rPr>
          <w:rFonts w:hint="eastAsia" w:ascii="Times New Roman" w:hAnsi="Times New Roman" w:eastAsia="SimSun"/>
          <w:sz w:val="24"/>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jc w:val="both"/>
        <w:snapToGrid w:val="0"/>
      </w:pPr>
      <w:r>
        <w:rPr>
          <w:rFonts w:hint="eastAsia" w:ascii="Times New Roman" w:hAnsi="Times New Roman" w:eastAsia="SimSun"/>
          <w:sz w:val="24"/>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jc w:val="both"/>
        <w:snapToGrid w:val="0"/>
      </w:pPr>
      <w:r>
        <w:rPr>
          <w:rFonts w:hint="eastAsia" w:ascii="Times New Roman" w:hAnsi="Times New Roman" w:eastAsia="SimSun"/>
          <w:sz w:val="24"/>
        </w:rPr>
        <w:t xml:space="preserve">本作品的核心研究问题是：在固定 ML-KEM 本地审计任务中，如何让统计对象、实际产物、数据资格和复算成本相互对应。主要实证改进发生在相同统计规则的计算环节；部分资格校验与来源关联为该结果提供可审查的支撑。</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式（2-7）的有效性仍需交换依据与无后效条件。本报告历史bootstrap探索区间采用运行对独立同分布模型；新设计型均值区间另有前提，见第4.4节。程序核查声明与记录自洽，不能证明真实条件成立。</w:t>
      </w:r>
    </w:p>
    <w:p>
      <w:pPr>
        <w:pStyle w:val="RWBody"/>
        <w:widowControl/>
        <w:jc w:val="both"/>
        <w:snapToGrid w:val="0"/>
      </w:pPr>
      <w:r>
        <w:rPr>
          <w:rFonts w:hint="eastAsia" w:ascii="Times New Roman" w:hAnsi="Times New Roman" w:eastAsia="SimSun"/>
          <w:sz w:val="24"/>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14:paraId="CA140002">
      <w:pPr>
        <w:pStyle w:val="RWBody"/>
        <w:widowControl/>
        <w:jc w:val="both"/>
        <w:snapToGrid w:val="0"/>
      </w:pPr>
      <w:r>
        <w:rPr>
          <w:rFonts w:hint="eastAsia" w:ascii="Times New Roman" w:hAnsi="Times New Roman" w:eastAsia="SimSun"/>
          <w:sz w:val="24"/>
        </w:rPr>
        <w:t xml:space="preserve">2026年10月9日已完整读取NIST官方潜在修正工作簿的两项条目：附录A补充索引0的说明，算法15第7步注释中的v改为w。固定便携C的读取索引及原地相减后的解码数据流已逐项静态核对，未发现这两项条目要求当前路径补丁。[1] 它们不增加技术要求，也不是已生效的出版物修改；本次核对不覆盖全部后端、编译产物或标准条款。</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记录使用</w:t>
      </w:r>
      <w:r>
        <w:rPr>
          <w:rFonts w:ascii="Times New Roman" w:hAnsi="Times New Roman" w:eastAsia="SimSun"/>
          <w:sz w:val="24"/>
        </w:rPr>
        <w:t xml:space="preserve"> </w:t>
      </w:r>
      <w:r>
        <w:rPr>
          <w:rStyle w:val="VerbatimChar"/>
          <w:rFonts w:ascii="Times New Roman" w:hAnsi="Times New Roman" w:eastAsia="SimSun"/>
          <w:sz w:val="24"/>
        </w:rPr>
        <w:t xml:space="preserve">CLOCK_MONOTONIC</w:t>
      </w:r>
      <w:r>
        <w:rPr>
          <w:rFonts w:hint="eastAsia" w:ascii="Times New Roman" w:hAnsi="Times New Roman" w:eastAsia="SimSun"/>
          <w:sz w:val="24"/>
        </w:rPr>
        <w:t xml:space="preserve">，时间单位为纳秒。纳秒是表示单位，不能代替对时钟分辨率及实际读钟行为的检查。前置参考测量中，时钟报告分辨率为1</w:t>
      </w:r>
      <w:r>
        <w:rPr>
          <w:rFonts w:ascii="Times New Roman" w:hAnsi="Times New Roman" w:eastAsia="SimSun"/>
          <w:sz w:val="24"/>
        </w:rPr>
        <w:t xml:space="preserve"> </w:t>
      </w:r>
      <w:r>
        <w:rPr>
          <w:rFonts w:hint="eastAsia" w:ascii="Times New Roman" w:hAnsi="Times New Roman" w:eastAsia="SimSun"/>
          <w:sz w:val="24"/>
        </w:rPr>
        <w:t xml:space="preserve">ns，最小正读钟增量观察值为19</w:t>
      </w:r>
      <w:r>
        <w:rPr>
          <w:rFonts w:ascii="Times New Roman" w:hAnsi="Times New Roman" w:eastAsia="SimSun"/>
          <w:sz w:val="24"/>
        </w:rPr>
        <w:t xml:space="preserve"> </w:t>
      </w:r>
      <w:r>
        <w:rPr>
          <w:rFonts w:hint="eastAsia" w:ascii="Times New Roman" w:hAnsi="Times New Roman" w:eastAsia="SimSun"/>
          <w:sz w:val="24"/>
        </w:rPr>
        <w:t xml:space="preserve">ns；每次另存10000个读钟增量和1000个空窗口值。系统不将这些开销直接从正式样本中扣除，避免未经验证的逐项校正改变原始记录。</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此处资格限于可核查结构及声明，不能认证均值区间所需的反事实条件。图3.4给出了资格检查与结果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对真实事前AB/BA运行，这须由尖锐零假设以及独立等概率赋值、无携带和干扰等前提支持。包含等值的完整随机化概率在这些条件下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479" w:val="center"/>
          <w:tab w:pos="8957" w:val="right"/>
        </w:tabs>
        <w:spacing w:line="360" w:lineRule="auto" w:before="140" w:after="160"/>
        <w:ind w:firstLine="0"/>
        <w:snapToGrid w:val="0"/>
      </w:pPr>
      <w:r>
        <w:tab/>
      </w:r>
      <m:oMath>
        <m:r>
          <m:t>Pr{p(S)≤α | d}≤</m:t>
        </m:r>
        <m:f>
          <m:num>
            <m:r>
              <m:t>⌊αM⌋</m:t>
            </m:r>
          </m:num>
          <m:den>
            <m:r>
              <m:t>M</m:t>
            </m:r>
          </m:den>
        </m:f>
        <m:r>
          <m:t>≤α</m:t>
        </m:r>
      </m:oMath>
      <w:r>
        <w:rPr>
          <w:rFonts w:hint="eastAsia" w:ascii="Times New Roman" w:hAnsi="Times New Roman" w:eastAsia="SimSun"/>
          <w:sz w:val="24"/>
        </w:rPr>
        <w:tab/>
        <w:t>(4-2)</w:t>
      </w:r>
    </w:p>
    <w:p>
      <w:pPr>
        <w:pStyle w:val="RWBody"/>
        <w:widowControl/>
        <w:jc w:val="both"/>
        <w:snapToGrid w:val="0"/>
      </w:pPr>
      <w:r>
        <w:rPr>
          <w:rFonts w:hint="eastAsia" w:ascii="Times New Roman" w:hAnsi="Times New Roman" w:eastAsia="SimSun"/>
          <w:sz w:val="24"/>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jc w:val="both"/>
        <w:snapToGrid w:val="0"/>
      </w:pPr>
      <w:r>
        <w:rPr>
          <w:rFonts w:hint="eastAsia" w:ascii="Times New Roman" w:hAnsi="Times New Roman" w:eastAsia="SimSun"/>
          <w:sz w:val="24"/>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14:paraId="CA150001">
      <w:pPr>
        <w:pStyle w:val="RWBody"/>
        <w:widowControl/>
        <w:jc w:val="both"/>
        <w:snapToGrid w:val="0"/>
      </w:pPr>
      <w:r>
        <w:rPr>
          <w:rFonts w:hint="eastAsia" w:ascii="Times New Roman" w:hAnsi="Times New Roman" w:eastAsia="SimSun"/>
          <w:sz w:val="24"/>
        </w:rPr>
        <w:t xml:space="preserve">平均时间差与尖锐零假设须分别推断[13]。对事前固定匹配对，独立等概率AB/BA且无携带或干扰时，成对均值无偏、方差估计期望保守[12]，仍不保证小样本覆盖。无主导反事实方差条件可给渐近保守区间；事前真实幅度上界可给有限覆盖[14]。自足证明另列新增技术资料，不把Wu与Ding的大层定理用于每层两时段。现有4—20对尚无渐近误差界；观测最大值和超时不能替代反事实界。等价还需预定容许界及区间严格内含。</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p>
      <w:pPr>
        <w:pStyle w:val="RWBody"/>
        <w:widowControl/>
        <w:jc w:val="both"/>
        <w:snapToGrid w:val="0"/>
      </w:pPr>
      <w:r>
        <w:rPr>
          <w:rFonts w:hint="eastAsia" w:ascii="Times New Roman" w:hAnsi="Times New Roman" w:eastAsia="SimSun"/>
          <w:sz w:val="24"/>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479" w:val="center"/>
          <w:tab w:pos="8957" w:val="right"/>
        </w:tabs>
        <w:spacing w:line="360" w:lineRule="auto" w:before="140" w:after="160"/>
        <w:ind w:firstLine="0"/>
        <w:snapToGrid w:val="0"/>
      </w:pPr>
      <w:r>
        <w:tab/>
      </w:r>
      <m:oMath>
        <m:sSub>
          <m:e>
            <m:r>
              <m:t>p</m:t>
            </m:r>
          </m:e>
          <m:sub>
            <m:r>
              <m:t>min</m:t>
            </m:r>
          </m:sub>
        </m:sSub>
        <m:r>
          <m:t>≥</m:t>
        </m:r>
        <m:sSup>
          <m:e>
            <m:r>
              <m:t>2</m:t>
            </m:r>
          </m:e>
          <m:sup>
            <m:r>
              <m:t>1−k</m:t>
            </m:r>
          </m:sup>
        </m:sSup>
      </m:oMath>
      <w:r>
        <w:rPr>
          <w:rFonts w:hint="eastAsia" w:ascii="Times New Roman" w:hAnsi="Times New Roman" w:eastAsia="SimSun"/>
          <w:sz w:val="24"/>
        </w:rPr>
        <w:tab/>
        <w:t>(4-3)</w:t>
      </w:r>
    </w:p>
    <w:p>
      <w:pPr>
        <w:pStyle w:val="RWBody"/>
        <w:widowControl/>
        <w:jc w:val="both"/>
        <w:snapToGrid w:val="0"/>
      </w:pPr>
      <w:r>
        <w:rPr>
          <w:rFonts w:hint="eastAsia" w:ascii="Times New Roman" w:hAnsi="Times New Roman" w:eastAsia="SimSun"/>
          <w:sz w:val="24"/>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jc w:val="both"/>
        <w:snapToGrid w:val="0"/>
      </w:pPr>
      <w:r>
        <w:rPr>
          <w:rFonts w:hint="eastAsia" w:ascii="Times New Roman" w:hAnsi="Times New Roman" w:eastAsia="SimSun"/>
          <w:sz w:val="24"/>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4.5　</w:t>
      </w:r>
      <w:r>
        <w:rPr>
          <w:rFonts w:hint="eastAsia" w:ascii="Times New Roman" w:hAnsi="Times New Roman" w:eastAsia="SimHei"/>
          <w:b/>
          <w:sz w:val="28"/>
        </w:rPr>
        <w:t xml:space="preserve">复现一致性与研究结论的区分</w:t>
      </w:r>
      <w:bookmarkEnd w:id="522"/>
    </w:p>
    <w:p>
      <w:pPr>
        <w:pStyle w:val="RWBody"/>
        <w:widowControl/>
        <w:jc w:val="both"/>
        <w:snapToGrid w:val="0"/>
        <w:keepNext w:val="1"/>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(4-4)</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封存包重跑和同机复测已于2026年10月8日完成，分别支持材料重建与特定机制观察，旧ARM统计边界不变。截图与审批签署仍待真实材料，各项验收分别记录。</w:t>
      </w:r>
      <w:r>
        <w:rPr>
          <w:rFonts w:ascii="Times New Roman" w:hAnsi="Times New Roman" w:eastAsia="SimSun"/>
          <w:sz w:val="24"/>
        </w:rPr>
        <w:t xml:space="preserve"/>
      </w:r>
      <w:r>
        <w:rPr>
          <w:rFonts w:hint="eastAsia" w:ascii="Times New Roman" w:hAnsi="Times New Roman" w:eastAsia="SimSun"/>
          <w:sz w:val="24"/>
        </w:rPr>
        <w:t xml:space="preserve"/>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p w14:paraId="CA160001">
      <w:pPr>
        <w:pStyle w:val="RWBody"/>
        <w:widowControl/>
        <w:jc w:val="both"/>
        <w:snapToGrid w:val="0"/>
      </w:pPr>
      <w:r>
        <w:rPr>
          <w:rFonts w:hint="eastAsia" w:ascii="Times New Roman" w:hAnsi="Times New Roman" w:eastAsia="SimSun"/>
          <w:sz w:val="24"/>
        </w:rPr>
        <w:t xml:space="preserve">表5.1记录既有KVM材料的环境；2026年10月10日G2裸金属普通参考窗口另按第5.9节的机器、产物与观测范围解释。</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p w14:paraId="CA130001">
      <w:pPr>
        <w:pStyle w:val="RWBody"/>
        <w:widowControl/>
        <w:jc w:val="both"/>
        <w:snapToGrid w:val="0"/>
      </w:pPr>
      <w:r>
        <w:rPr>
          <w:rFonts w:hint="eastAsia" w:ascii="Times New Roman" w:hAnsi="Times New Roman" w:eastAsia="SimSun"/>
          <w:sz w:val="24"/>
        </w:rPr>
        <w:t xml:space="preserve">为检查增量实现本身的成本收益，同语言比较复用既有八个任务，不增加独立确认任务。两入口保留相同输入校验、Gray状态顺序、绝对和值、含等值上尾及结果整理；完整求和入口在每个状态重算20项，增量入口更新改变的一项。两者均以Apple Clang 21、C11和-O2独立编译，关闭LTO，允许自然向量化。机器码保留了增量定位与单项更新，以及完整求和的NEON和标量计算。本次在Apple M5、macOS 26.6.2/ARM64的同一构建和进程内执行，未设置频率控制，也未记录绑核或后台负载隔离。</w:t>
      </w:r>
    </w:p>
    <w:p w14:paraId="CA130002">
      <w:pPr>
        <w:pStyle w:val="RWBody"/>
        <w:widowControl/>
        <w:jc w:val="both"/>
        <w:snapToGrid w:val="0"/>
      </w:pPr>
      <w:r>
        <w:rPr>
          <w:rFonts w:hint="eastAsia" w:ascii="Times New Roman" w:hAnsi="Times New Roman" w:eastAsia="SimSun"/>
          <w:sz w:val="24"/>
        </w:rPr>
        <w:t xml:space="preserve">每方法每任务预热一次，再执行十对正式调用，每对方法先后次序交替，共保存16次预热、160个正式窗口及176次有效结果消费。计时覆盖compute_interval=0的完整统计函数，包括校验、初始化、枚举和结果整理；读取、预热、结果核对、消费及I/O位于窗口外。八任务只有七种不同CSV；任务3与7为字节相同的全零文件，保留但不用于逐状态更新收益主张。六份非零输入的十对增量/完整求和比均小于1，各任务中位比为0.261640至0.319174，八任务完整读数见表A.2。每次尾计数均与归档独立SciPy期待一致；独立C审计进一步核对原始行、比值、摘要及输入副本。</w:t>
      </w:r>
    </w:p>
    <w:p w14:paraId="CA130003">
      <w:pPr>
        <w:pStyle w:val="RWBody"/>
        <w:widowControl/>
        <w:jc w:val="both"/>
        <w:snapToGrid w:val="0"/>
      </w:pPr>
      <w:r>
        <w:rPr>
          <w:rFonts w:hint="eastAsia" w:ascii="Times New Roman" w:hAnsi="Times New Roman" w:eastAsia="SimSun"/>
          <w:sz w:val="24"/>
        </w:rPr>
        <w:t xml:space="preserve">CLOCK_MONOTONIC报告分辨率为1000 ns。预定门槛取时钟分辨率与空窗口中位值较大者的100倍，本次为100000 ns，80对均满足；保存512个校准原值，不扣读钟开销。正式函数窗口累计0.375106 s，C管理窗口另列为0.426083 s，包含准备、读取、校准、预热、计算、核对、记录、复查及原输出关闭，不含最终状态发布、外部摘要和进程尾部。30 s预算在调用及文件操作边界检查，未耗尽，不提供硬实时抢占保证。本结果描述固定输入的完整统计函数成本；差异还含加载、符号选择和改变位定位，不能解释为纯加法次数比，不能定量分解旧C/SciPy总比或推出总体速度、密码运算加速及检测能力改善。</w:t>
      </w:r>
    </w:p>
    <w:p w14:paraId="CA140003">
      <w:pPr>
        <w:pStyle w:val="RWBody"/>
        <w:widowControl/>
        <w:jc w:val="both"/>
        <w:snapToGrid w:val="0"/>
      </w:pPr>
      <w:r>
        <w:rPr>
          <w:rFonts w:hint="eastAsia" w:ascii="Times New Roman" w:hAnsi="Times New Roman" w:eastAsia="SimSun"/>
          <w:sz w:val="24"/>
        </w:rPr>
        <w:t xml:space="preserve">2026年10月9日另设M02复核，检验成本优势是否只依赖原产物或单一进程。冻结合同后，从已审数学源码复核件干净重建一次；新普通产物以Apple Clang 21、C11、-O2、独立翻译单元和无LTO构建，机器码重新核对，两种更新机制及完整求和的自然向量化保持。普通与ASan/UBSan各三项软件检查通过，动态产物不进入测量。实际Apple M5、macOS/ARM、AC供电，未设置频率、绑核或后台隔离。固定三个新进程顺序运行，没有追加或重试。</w:t>
      </w:r>
    </w:p>
    <w:p w14:paraId="CA140004">
      <w:pPr>
        <w:pStyle w:val="RWBody"/>
        <w:widowControl/>
        <w:jc w:val="both"/>
        <w:snapToGrid w:val="0"/>
      </w:pPr>
      <w:r>
        <w:rPr>
          <w:rFonts w:hint="eastAsia" w:ascii="Times New Roman" w:hAnsi="Times New Roman" w:eastAsia="SimSun"/>
          <w:sz w:val="24"/>
        </w:rPr>
        <w:t xml:space="preserve">每进程沿用既定八任务和方法次序，保存16次预热、160个正式窗口、176次消费、512个校准值与80个对应比值。时钟分辨率为1000 ns，门槛为100000 ns，三个进程全部240对合格。各正式调用核对原SciPy归档期待尾计数及分母；独立C审计核对原序、计数、消费、读钟、比值、摘要、输入副本和状态，不另枚举全部2^20状态。六个非零任务的18个中位比均小于1，完整八任务见表A.3。它加强一次新构建后三个进程的同机固定输入重复观察；旧M01不合并，三个进程不算三个独立构建或独立同分布样本，不外推任务总体、跨平台或真实误报率。</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m:t>t</m:t>
            </m:r>
          </m:e>
          <m:sub>
            <m:r>
              <m:rPr>
                <m:sty m:val="p"/>
              </m:rPr>
              <m:t>b</m:t>
            </m:r>
          </m:sub>
        </m:sSub>
      </m:oMath>
      <w:r>
        <w:rPr>
          <w:rFonts w:hint="eastAsia" w:ascii="Times New Roman" w:hAnsi="Times New Roman" w:eastAsia="SimSun"/>
          <w:sz w:val="24"/>
        </w:rPr>
        <w:t>，拒绝标签数为</w:t>
      </w:r>
      <m:oMath>
        <m:sSub>
          <m:e>
            <m:r>
              <m:rPr>
                <m:sty m:val="p"/>
              </m:rPr>
              <m:t>R</m:t>
            </m:r>
          </m:e>
          <m:sub>
            <m:r>
              <m:rPr>
                <m:sty m:val="p"/>
              </m:rPr>
              <m:t>b</m:t>
            </m:r>
          </m:sub>
        </m:sSub>
      </m:oMath>
      <w:r>
        <w:rPr>
          <w:rFonts w:hint="eastAsia" w:ascii="Times New Roman" w:hAnsi="Times New Roman" w:eastAsia="SimSun"/>
          <w:sz w:val="24"/>
        </w:rPr>
        <w:t>，则条件概率为</w:t>
      </w:r>
    </w:p>
    <w:p>
      <w:pPr>
        <w:pStyle w:val="RWBody"/>
        <w:keepLines/>
        <w:widowControl/>
        <w:tabs>
          <w:tab w:pos="4479" w:val="center"/>
          <w:tab w:pos="8957" w:val="right"/>
        </w:tabs>
        <w:spacing w:line="360" w:lineRule="auto" w:before="140" w:after="160"/>
        <w:ind w:firstLine="0"/>
        <w:snapToGrid w:val="0"/>
      </w:pPr>
      <w:r>
        <w:tab/>
      </w:r>
      <m:oMath>
        <m:sSub>
          <m:e>
            <m:r>
              <m:rPr>
                <m:sty m:val="p"/>
              </m:rPr>
              <m:t>π</m:t>
            </m:r>
          </m:e>
          <m:sub>
            <m:r>
              <m:rPr>
                <m:sty m:val="p"/>
              </m:rPr>
              <m:t>b</m:t>
            </m:r>
          </m:sub>
        </m:sSub>
        <m:r>
          <m:rPr>
            <m:sty m:val="p"/>
          </m:rPr>
          <m:t>=</m:t>
        </m:r>
        <m:sSub>
          <m:e>
            <m:r>
              <m:rPr>
                <m:sty m:val="p"/>
              </m:rPr>
              <m:t>Pr</m:t>
            </m:r>
          </m:e>
          <m:sub>
            <m:r>
              <m:rPr>
                <m:sty m:val="p"/>
              </m:rPr>
              <m:t>labels</m:t>
            </m:r>
          </m:sub>
        </m:sSub>
        <m:r>
          <m:rPr>
            <m:sty m:val="p"/>
          </m:rPr>
          <m:t>(reject | </m:t>
        </m:r>
        <m:sSub>
          <m:e>
            <m:r>
              <m:rPr>
                <m:sty m:val="p"/>
              </m:rPr>
              <m:t>t</m:t>
            </m:r>
          </m:e>
          <m:sub>
            <m:r>
              <m:rPr>
                <m:sty m:val="p"/>
              </m:rPr>
              <m:t>b</m:t>
            </m:r>
          </m:sub>
        </m:sSub>
        <m:r>
          <m:rPr>
            <m:sty m:val="p"/>
          </m:rPr>
          <m:t>)=</m:t>
        </m:r>
        <m:f>
          <m:num>
            <m:sSub>
              <m:e>
                <m:r>
                  <m:rPr>
                    <m:sty m:val="p"/>
                  </m:rPr>
                  <m:t>R</m:t>
                </m:r>
              </m:e>
              <m:sub>
                <m:r>
                  <m:rPr>
                    <m:sty m:val="p"/>
                  </m:rPr>
                  <m:t>b</m:t>
                </m:r>
              </m:sub>
            </m:sSub>
          </m:num>
          <m:den>
            <m:r>
              <m:rPr>
                <m:sty m:val="p"/>
              </m:rP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环境执行，匿名源码标识为</w:t>
      </w:r>
      <w:r>
        <w:rPr>
          <w:rFonts w:ascii="Times New Roman" w:hAnsi="Times New Roman" w:eastAsia="SimSun"/>
          <w:sz w:val="24"/>
        </w:rPr>
        <w:t xml:space="preserve"> </w:t>
      </w:r>
      <w:r>
        <w:rPr>
          <w:rStyle w:val="VerbatimChar"/>
          <w:rFonts w:ascii="Times New Roman" w:hAnsi="Times New Roman" w:eastAsia="SimSun"/>
          <w:sz w:val="24"/>
        </w:rPr>
        <w:t xml:space="preserve">SOURCE-KVM-R07</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w:pPr>
        <w:pStyle w:val="RWBody"/>
        <w:widowControl/>
        <w:jc w:val="both"/>
        <w:snapToGrid w:val="0"/>
      </w:pPr>
      <w:r>
        <w:rPr>
          <w:rFonts w:hint="eastAsia" w:ascii="Times New Roman" w:hAnsi="Times New Roman" w:eastAsia="SimSun"/>
          <w:sz w:val="24"/>
        </w:rPr>
        <w:t xml:space="preserve">秩差异与均值差异在本次记录中并不总是一致。人工分支的种子20261111，主比较P50差为−19 ns、均值差为+42.340 ns，秩p为5.46693e−7，而辅助Welch p为0.350711。两者均是现有分析器的名义正态近似；辅助路径未按所报自由度计算Student-t尾概率。该例用于解释统计对象，不构成新的确认集合，长尾及全部种子均保留。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Start w:id="542" w:name="rw_heading_g2_20261010"/>
    <w:p w14:paraId="CA160002">
      <w:pPr>
        <w:pStyle w:val="RWSection"/>
        <w:widowControl/>
        <w:jc w:val="left"/>
        <w:snapToGrid w:val="0"/>
        <w:pageBreakBefore w:val="1"/>
      </w:pPr>
      <w:r>
        <w:rPr>
          <w:rFonts w:ascii="Times New Roman" w:hAnsi="Times New Roman" w:eastAsia="SimHei"/>
          <w:b/>
          <w:sz w:val="28"/>
        </w:rPr>
        <w:t xml:space="preserve">5.9　单次普通参考负载的窗口观察与恢复</w:t>
      </w:r>
    </w:p>
    <w:p w14:paraId="CA160003">
      <w:pPr>
        <w:pStyle w:val="RWBody"/>
        <w:widowControl/>
        <w:jc w:val="both"/>
        <w:snapToGrid w:val="0"/>
      </w:pPr>
      <w:r>
        <w:rPr>
          <w:rFonts w:hint="eastAsia" w:ascii="Times New Roman" w:hAnsi="Times New Roman" w:eastAsia="SimSun"/>
          <w:sz w:val="24"/>
        </w:rPr>
        <w:t xml:space="preserve">2026年10月10日，在Ryzen 9 9950X裸金属上运行G2；Ubuntu 24.04.4、Linux 6.17.0-35-generic/x86_64，GCC 13.3、-O2 -g -DNDEBUG，sanitizer关闭。正常与注册取消各一次，无补跑；临时预留同胞逻辑线程CPU2/18，普通reference进程仅CPU2，八个有效密文循环；1秒预热后以4秒为主观察目标。仅四个min/max请求4300000 kHz，不改boost、EPP、governor或IRQ。</w:t>
      </w:r>
    </w:p>
    <w:p w14:paraId="CA160004">
      <w:pPr>
        <w:pStyle w:val="RWBody"/>
        <w:widowControl/>
        <w:jc w:val="both"/>
        <w:snapToGrid w:val="0"/>
      </w:pPr>
      <w:r>
        <w:rPr>
          <w:rFonts w:hint="eastAsia" w:ascii="Times New Roman" w:hAnsi="Times New Roman" w:eastAsia="SimSun"/>
          <w:sz w:val="24"/>
        </w:rPr>
        <w:t xml:space="preserve">APERF/MPERF须结合参考性能标尺解释[15]，本次4300 MHz标尺来自固件核对。设相邻APERF差为ΔA，MPERF在APERF前后读取为M⁻、M⁺；prev、next为前后快照。同一时期内两计数单调、无回绕或重置时，读取对齐边界为：</w:t>
      </w:r>
    </w:p>
    <w:p w14:paraId="CA160005">
      <w:pPr>
        <w:pStyle w:val="RWBody"/>
        <w:keepLines/>
        <w:widowControl/>
        <w:tabs>
          <w:tab w:pos="4479" w:val="center"/>
          <w:tab w:pos="8957" w:val="right"/>
        </w:tabs>
        <w:spacing w:line="360" w:lineRule="auto" w:before="140" w:after="160"/>
        <w:ind w:firstLine="0"/>
        <w:snapToGrid w:val="0"/>
      </w:pPr>
      <w:r>
        <w:tab/>
      </w:r>
      <m:oMath>
        <m:r>
          <m:t>L=</m:t>
        </m:r>
        <m:sSubSup>
          <m:e>
            <m:r>
              <m:t>M</m:t>
            </m:r>
          </m:e>
          <m:sub>
            <m:r>
              <m:rPr>
                <m:sty m:val="p"/>
              </m:rPr>
              <m:t>next</m:t>
            </m:r>
          </m:sub>
          <m:sup>
            <m:r>
              <m:rPr>
                <m:sty m:val="p"/>
              </m:rPr>
              <m:t>−</m:t>
            </m:r>
          </m:sup>
        </m:sSubSup>
        <m:r>
          <m:t>−</m:t>
        </m:r>
        <m:sSubSup>
          <m:e>
            <m:r>
              <m:t>M</m:t>
            </m:r>
          </m:e>
          <m:sub>
            <m:r>
              <m:rPr>
                <m:sty m:val="p"/>
              </m:rPr>
              <m:t>prev</m:t>
            </m:r>
          </m:sub>
          <m:sup>
            <m:r>
              <m:rPr>
                <m:sty m:val="p"/>
              </m:rPr>
              <m:t>+</m:t>
            </m:r>
          </m:sup>
        </m:sSubSup>
        <m:r>
          <m:t>,   H=</m:t>
        </m:r>
        <m:sSubSup>
          <m:e>
            <m:r>
              <m:t>M</m:t>
            </m:r>
          </m:e>
          <m:sub>
            <m:r>
              <m:rPr>
                <m:sty m:val="p"/>
              </m:rPr>
              <m:t>next</m:t>
            </m:r>
          </m:sub>
          <m:sup>
            <m:r>
              <m:rPr>
                <m:sty m:val="p"/>
              </m:rPr>
              <m:t>+</m:t>
            </m:r>
          </m:sup>
        </m:sSubSup>
        <m:r>
          <m:t>−</m:t>
        </m:r>
        <m:sSubSup>
          <m:e>
            <m:r>
              <m:t>M</m:t>
            </m:r>
          </m:e>
          <m:sub>
            <m:r>
              <m:rPr>
                <m:sty m:val="p"/>
              </m:rPr>
              <m:t>prev</m:t>
            </m:r>
          </m:sub>
          <m:sup>
            <m:r>
              <m:rPr>
                <m:sty m:val="p"/>
              </m:rPr>
              <m:t>−</m:t>
            </m:r>
          </m:sup>
        </m:sSubSup>
      </m:oMath>
      <w:r>
        <w:rPr>
          <w:rFonts w:ascii="Times New Roman" w:hAnsi="Times New Roman" w:eastAsia="SimSun"/>
          <w:sz w:val="22"/>
        </w:rPr>
        <w:tab/>
        <w:t>(5-5)</w:t>
      </w:r>
    </w:p>
    <w:p w14:paraId="CA160006">
      <w:pPr>
        <w:pStyle w:val="RWBody"/>
        <w:keepLines/>
        <w:widowControl/>
        <w:tabs>
          <w:tab w:pos="4479" w:val="center"/>
          <w:tab w:pos="8957" w:val="right"/>
        </w:tabs>
        <w:spacing w:line="360" w:lineRule="auto" w:before="140" w:after="160"/>
        <w:ind w:firstLine="0"/>
        <w:snapToGrid w:val="0"/>
      </w:pPr>
      <w:r>
        <w:tab/>
      </w:r>
      <m:oMath>
        <m:r>
          <m:t>I=</m:t>
        </m:r>
        <m:d>
          <m:dPr>
            <m:begChr m:val="["/>
            <m:endChr m:val="]"/>
          </m:dPr>
          <m:e>
            <m:f>
              <m:fPr>
                <m:type m:val="bar"/>
              </m:fPr>
              <m:num>
                <m:r>
                  <m:t>4300ΔA</m:t>
                </m:r>
              </m:num>
              <m:den>
                <m:r>
                  <m:t>H</m:t>
                </m:r>
              </m:den>
            </m:f>
            <m:r>
              <m:t>, </m:t>
            </m:r>
            <m:f>
              <m:fPr>
                <m:type m:val="bar"/>
              </m:fPr>
              <m:num>
                <m:r>
                  <m:t>4300ΔA</m:t>
                </m:r>
              </m:num>
              <m:den>
                <m:r>
                  <m:t>L</m:t>
                </m:r>
              </m:den>
            </m:f>
          </m:e>
        </m:d>
        <m:r>
          <m:rPr>
            <m:sty m:val="p"/>
          </m:rPr>
          <m:t> MHz,   L&gt;0</m:t>
        </m:r>
      </m:oMath>
      <w:r>
        <w:rPr>
          <w:rFonts w:ascii="Times New Roman" w:hAnsi="Times New Roman" w:eastAsia="SimSun"/>
          <w:sz w:val="22"/>
        </w:rPr>
        <w:tab/>
        <w:t>(5-6)</w:t>
      </w:r>
    </w:p>
    <w:p w14:paraId="CA160007">
      <w:pPr>
        <w:pStyle w:val="RWBody"/>
        <w:widowControl/>
        <w:jc w:val="both"/>
        <w:snapToGrid w:val="0"/>
      </w:pPr>
      <w:r>
        <w:rPr>
          <w:rFonts w:hint="eastAsia" w:ascii="Times New Roman" w:hAnsi="Times New Roman" w:eastAsia="SimSun"/>
          <w:sz w:val="24"/>
        </w:rPr>
        <w:t xml:space="preserve">对应两次APERF读点的MPERF增量位于[L,H]；正分母取倒数给出式（5-6）。区间只处理读取错位，不是置信区间或完整物理误差界，解析自洽不认证上述条件。冻结C11分析以整数判定100ΔA≥99H且100ΔA≤101L，并要求CPU2保守线程CPU时间／RAW间隔代理至少80%、三读跨度至多1 ms、相邻快照至多40 ms。全部实际主pair和普通长尾保留；调用、快照、读钟及读取失败台账均为0。</w:t>
      </w:r>
    </w:p>
    <w:p w14:paraId="CA160008">
      <w:pPr>
        <w:pStyle w:val="RWCaption"/>
        <w:keepNext/>
        <w:widowControl/>
        <w:ind w:firstLine="0"/>
        <w:jc w:val="center"/>
        <w:snapToGrid w:val="0"/>
      </w:pPr>
      <w:r>
        <w:rPr>
          <w:rFonts w:hint="eastAsia" w:ascii="Times New Roman" w:hAnsi="Times New Roman" w:eastAsia="SimSun"/>
          <w:sz w:val="22"/>
        </w:rPr>
        <w:t xml:space="preserve">表5.11　G2正常进程的完整计数与几何覆盖</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cantSplit/>
          <w:tblHeader w:val="1"/>
        </w:trPr>
        <w:tc>
          <w:tcPr>
            <w:tcW w:type="dxa" w:w="2948"/>
            <w:tcBorders>
              <w:top w:val="single" w:sz="10" w:color="000000"/>
              <w:left w:val="nil" w:sz="5" w:color="000000"/>
              <w:bottom w:val="single" w:sz="5" w:color="000000"/>
              <w:right w:val="nil" w:sz="5" w:color="000000"/>
            </w:tcBorders>
          </w:tcPr>
          <w:p w14:paraId="CA160009">
            <w:pPr>
              <w:pStyle w:val="RWBody"/>
              <w:keepNext/>
              <w:spacing w:line="340" w:lineRule="exact" w:before="80" w:after="80"/>
              <w:ind w:firstLine="0"/>
              <w:jc w:val="center"/>
              <w:snapToGrid w:val="0"/>
            </w:pPr>
            <w:r>
              <w:rPr>
                <w:rFonts w:hint="eastAsia" w:ascii="Times New Roman" w:hAnsi="Times New Roman" w:eastAsia="SimSun"/>
                <w:b/>
                <w:sz w:val="22"/>
              </w:rPr>
              <w:t xml:space="preserve">指标</w:t>
            </w:r>
          </w:p>
        </w:tc>
        <w:tc>
          <w:tcPr>
            <w:tcW w:type="dxa" w:w="6009"/>
            <w:tcBorders>
              <w:top w:val="single" w:sz="10" w:color="000000"/>
              <w:left w:val="nil" w:sz="5" w:color="000000"/>
              <w:bottom w:val="single" w:sz="5" w:color="000000"/>
              <w:right w:val="nil" w:sz="5" w:color="000000"/>
            </w:tcBorders>
          </w:tcPr>
          <w:p w14:paraId="CA16000A">
            <w:pPr>
              <w:pStyle w:val="RWBody"/>
              <w:keepNext/>
              <w:spacing w:line="340" w:lineRule="exact" w:before="80" w:after="80"/>
              <w:ind w:firstLine="0"/>
              <w:jc w:val="center"/>
              <w:snapToGrid w:val="0"/>
            </w:pPr>
            <w:r>
              <w:rPr>
                <w:rFonts w:hint="eastAsia" w:ascii="Times New Roman" w:hAnsi="Times New Roman" w:eastAsia="SimSun"/>
                <w:b/>
                <w:sz w:val="22"/>
              </w:rPr>
              <w:t xml:space="preserve">正常进程原值</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B">
            <w:pPr>
              <w:pStyle w:val="RWBody"/>
              <w:spacing w:line="340" w:lineRule="exact" w:before="80" w:after="80"/>
              <w:ind w:firstLine="0"/>
              <w:jc w:val="left"/>
              <w:snapToGrid w:val="0"/>
            </w:pPr>
            <w:r>
              <w:rPr>
                <w:rFonts w:hint="eastAsia" w:ascii="Times New Roman" w:hAnsi="Times New Roman" w:eastAsia="SimSun"/>
                <w:b w:val="0"/>
                <w:sz w:val="22"/>
              </w:rPr>
              <w:t xml:space="preserve">全部／主阶段调用</w:t>
            </w:r>
          </w:p>
        </w:tc>
        <w:tc>
          <w:tcPr>
            <w:tcW w:type="dxa" w:w="6009"/>
            <w:tcBorders>
              <w:top w:val="nil" w:sz="10" w:color="000000"/>
              <w:left w:val="nil" w:sz="5" w:color="000000"/>
              <w:bottom w:val="nil" w:sz="5" w:color="000000"/>
              <w:right w:val="nil" w:sz="5" w:color="000000"/>
            </w:tcBorders>
          </w:tcPr>
          <w:p w14:paraId="CA16000C">
            <w:pPr>
              <w:pStyle w:val="RWBody"/>
              <w:spacing w:line="340" w:lineRule="exact" w:before="80" w:after="80"/>
              <w:ind w:firstLine="0"/>
              <w:jc w:val="left"/>
              <w:snapToGrid w:val="0"/>
            </w:pPr>
            <w:r>
              <w:rPr>
                <w:rFonts w:ascii="Times New Roman" w:hAnsi="Times New Roman" w:eastAsia="SimSun"/>
                <w:b w:val="0"/>
                <w:sz w:val="22"/>
              </w:rPr>
              <w:t xml:space="preserve">126528／101248</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D">
            <w:pPr>
              <w:pStyle w:val="RWBody"/>
              <w:spacing w:line="340" w:lineRule="exact" w:before="80" w:after="80"/>
              <w:ind w:firstLine="0"/>
              <w:jc w:val="left"/>
              <w:snapToGrid w:val="0"/>
            </w:pPr>
            <w:r>
              <w:rPr>
                <w:rFonts w:hint="eastAsia" w:ascii="Times New Roman" w:hAnsi="Times New Roman" w:eastAsia="SimSun"/>
                <w:b w:val="0"/>
                <w:sz w:val="22"/>
              </w:rPr>
              <w:t xml:space="preserve">快照／检查点</w:t>
            </w:r>
          </w:p>
        </w:tc>
        <w:tc>
          <w:tcPr>
            <w:tcW w:type="dxa" w:w="6009"/>
            <w:tcBorders>
              <w:top w:val="nil" w:sz="10" w:color="000000"/>
              <w:left w:val="nil" w:sz="5" w:color="000000"/>
              <w:bottom w:val="nil" w:sz="5" w:color="000000"/>
              <w:right w:val="nil" w:sz="5" w:color="000000"/>
            </w:tcBorders>
          </w:tcPr>
          <w:p w14:paraId="CA16000E">
            <w:pPr>
              <w:pStyle w:val="RWBody"/>
              <w:spacing w:line="340" w:lineRule="exact" w:before="80" w:after="80"/>
              <w:ind w:firstLine="0"/>
              <w:jc w:val="left"/>
              <w:snapToGrid w:val="0"/>
            </w:pPr>
            <w:r>
              <w:rPr>
                <w:rFonts w:ascii="Times New Roman" w:hAnsi="Times New Roman" w:eastAsia="SimSun"/>
                <w:b w:val="0"/>
                <w:sz w:val="22"/>
              </w:rPr>
              <w:t xml:space="preserve">251／1977</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F">
            <w:pPr>
              <w:pStyle w:val="RWBody"/>
              <w:spacing w:line="340" w:lineRule="exact" w:before="80" w:after="80"/>
              <w:ind w:firstLine="0"/>
              <w:jc w:val="left"/>
              <w:snapToGrid w:val="0"/>
            </w:pPr>
            <w:r>
              <w:rPr>
                <w:rFonts w:hint="eastAsia" w:ascii="Times New Roman" w:hAnsi="Times New Roman" w:eastAsia="SimSun"/>
                <w:b w:val="0"/>
                <w:sz w:val="22"/>
              </w:rPr>
              <w:t xml:space="preserve">主观察墙钟</w:t>
            </w:r>
          </w:p>
        </w:tc>
        <w:tc>
          <w:tcPr>
            <w:tcW w:type="dxa" w:w="6009"/>
            <w:tcBorders>
              <w:top w:val="nil" w:sz="10" w:color="000000"/>
              <w:left w:val="nil" w:sz="5" w:color="000000"/>
              <w:bottom w:val="nil" w:sz="5" w:color="000000"/>
              <w:right w:val="nil" w:sz="5" w:color="000000"/>
            </w:tcBorders>
          </w:tcPr>
          <w:p w14:paraId="CA160010">
            <w:pPr>
              <w:pStyle w:val="RWBody"/>
              <w:spacing w:line="340" w:lineRule="exact" w:before="80" w:after="80"/>
              <w:ind w:firstLine="0"/>
              <w:jc w:val="left"/>
              <w:snapToGrid w:val="0"/>
            </w:pPr>
            <w:r>
              <w:rPr>
                <w:rFonts w:ascii="Times New Roman" w:hAnsi="Times New Roman" w:eastAsia="SimSun"/>
                <w:b w:val="0"/>
                <w:sz w:val="22"/>
              </w:rPr>
              <w:t xml:space="preserve">4002203951 ns</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1">
            <w:pPr>
              <w:pStyle w:val="RWBody"/>
              <w:spacing w:line="340" w:lineRule="exact" w:before="80" w:after="80"/>
              <w:ind w:firstLine="0"/>
              <w:jc w:val="left"/>
              <w:snapToGrid w:val="0"/>
            </w:pPr>
            <w:r>
              <w:rPr>
                <w:rFonts w:hint="eastAsia" w:ascii="Times New Roman" w:hAnsi="Times New Roman" w:eastAsia="SimSun"/>
                <w:b w:val="0"/>
                <w:sz w:val="22"/>
              </w:rPr>
              <w:t xml:space="preserve">实际主pair／全部规则通过</w:t>
            </w:r>
          </w:p>
        </w:tc>
        <w:tc>
          <w:tcPr>
            <w:tcW w:type="dxa" w:w="6009"/>
            <w:tcBorders>
              <w:top w:val="nil" w:sz="10" w:color="000000"/>
              <w:left w:val="nil" w:sz="5" w:color="000000"/>
              <w:bottom w:val="nil" w:sz="5" w:color="000000"/>
              <w:right w:val="nil" w:sz="5" w:color="000000"/>
            </w:tcBorders>
          </w:tcPr>
          <w:p w14:paraId="CA160012">
            <w:pPr>
              <w:pStyle w:val="RWBody"/>
              <w:spacing w:line="340" w:lineRule="exact" w:before="80" w:after="80"/>
              <w:ind w:firstLine="0"/>
              <w:jc w:val="left"/>
              <w:snapToGrid w:val="0"/>
            </w:pPr>
            <w:r>
              <w:rPr>
                <w:rFonts w:ascii="Times New Roman" w:hAnsi="Times New Roman" w:eastAsia="SimSun"/>
                <w:b w:val="0"/>
                <w:sz w:val="22"/>
              </w:rPr>
              <w:t xml:space="preserve">200／200；首个跨界pair 1个仍参加判定</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3">
            <w:pPr>
              <w:pStyle w:val="RWBody"/>
              <w:spacing w:line="340" w:lineRule="exact" w:before="80" w:after="80"/>
              <w:ind w:firstLine="0"/>
              <w:jc w:val="left"/>
              <w:snapToGrid w:val="0"/>
            </w:pPr>
            <w:r>
              <w:rPr>
                <w:rFonts w:hint="eastAsia" w:ascii="Times New Roman" w:hAnsi="Times New Roman" w:eastAsia="SimSun"/>
                <w:b w:val="0"/>
                <w:sz w:val="22"/>
              </w:rPr>
              <w:t xml:space="preserve">纯主支持窗口</w:t>
            </w:r>
          </w:p>
        </w:tc>
        <w:tc>
          <w:tcPr>
            <w:tcW w:type="dxa" w:w="6009"/>
            <w:tcBorders>
              <w:top w:val="nil" w:sz="10" w:color="000000"/>
              <w:left w:val="nil" w:sz="5" w:color="000000"/>
              <w:bottom w:val="nil" w:sz="5" w:color="000000"/>
              <w:right w:val="nil" w:sz="5" w:color="000000"/>
            </w:tcBorders>
          </w:tcPr>
          <w:p w14:paraId="CA160014">
            <w:pPr>
              <w:pStyle w:val="RWBody"/>
              <w:spacing w:line="340" w:lineRule="exact" w:before="80" w:after="80"/>
              <w:ind w:firstLine="0"/>
              <w:jc w:val="left"/>
              <w:snapToGrid w:val="0"/>
            </w:pPr>
            <w:r>
              <w:rPr>
                <w:rFonts w:ascii="Times New Roman" w:hAnsi="Times New Roman" w:eastAsia="SimSun"/>
                <w:b w:val="0"/>
                <w:sz w:val="22"/>
              </w:rPr>
              <w:t xml:space="preserve">199个；跨界pair不计纯主覆盖</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5">
            <w:pPr>
              <w:pStyle w:val="RWBody"/>
              <w:spacing w:line="340" w:lineRule="exact" w:before="80" w:after="80"/>
              <w:ind w:firstLine="0"/>
              <w:jc w:val="left"/>
              <w:snapToGrid w:val="0"/>
            </w:pPr>
            <w:r>
              <w:rPr>
                <w:rFonts w:hint="eastAsia" w:ascii="Times New Roman" w:hAnsi="Times New Roman" w:eastAsia="SimSun"/>
                <w:b w:val="0"/>
                <w:sz w:val="22"/>
              </w:rPr>
              <w:t xml:space="preserve">纯主几何覆盖</w:t>
            </w:r>
          </w:p>
        </w:tc>
        <w:tc>
          <w:tcPr>
            <w:tcW w:type="dxa" w:w="6009"/>
            <w:tcBorders>
              <w:top w:val="nil" w:sz="10" w:color="000000"/>
              <w:left w:val="nil" w:sz="5" w:color="000000"/>
              <w:bottom w:val="nil" w:sz="5" w:color="000000"/>
              <w:right w:val="nil" w:sz="5" w:color="000000"/>
            </w:tcBorders>
          </w:tcPr>
          <w:p w14:paraId="CA160016">
            <w:pPr>
              <w:pStyle w:val="RWBody"/>
              <w:spacing w:line="340" w:lineRule="exact" w:before="80" w:after="80"/>
              <w:ind w:firstLine="0"/>
              <w:jc w:val="left"/>
              <w:snapToGrid w:val="0"/>
            </w:pPr>
            <w:r>
              <w:rPr>
                <w:rFonts w:ascii="Times New Roman" w:hAnsi="Times New Roman" w:eastAsia="SimSun"/>
                <w:b w:val="0"/>
                <w:sz w:val="22"/>
              </w:rPr>
              <w:t xml:space="preserve">3981985286／4002203951 ns，99.4948%</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7">
            <w:pPr>
              <w:pStyle w:val="RWBody"/>
              <w:spacing w:line="340" w:lineRule="exact" w:before="80" w:after="80"/>
              <w:ind w:firstLine="0"/>
              <w:jc w:val="left"/>
              <w:snapToGrid w:val="0"/>
            </w:pPr>
            <w:r>
              <w:rPr>
                <w:rFonts w:hint="eastAsia" w:ascii="Times New Roman" w:hAnsi="Times New Roman" w:eastAsia="SimSun"/>
                <w:b w:val="0"/>
                <w:sz w:val="22"/>
              </w:rPr>
              <w:t xml:space="preserve">完整落入纯支持区间的主调用</w:t>
            </w:r>
          </w:p>
        </w:tc>
        <w:tc>
          <w:tcPr>
            <w:tcW w:type="dxa" w:w="6009"/>
            <w:tcBorders>
              <w:top w:val="nil" w:sz="10" w:color="000000"/>
              <w:left w:val="nil" w:sz="5" w:color="000000"/>
              <w:bottom w:val="nil" w:sz="5" w:color="000000"/>
              <w:right w:val="nil" w:sz="5" w:color="000000"/>
            </w:tcBorders>
          </w:tcPr>
          <w:p w14:paraId="CA160018">
            <w:pPr>
              <w:pStyle w:val="RWBody"/>
              <w:spacing w:line="340" w:lineRule="exact" w:before="80" w:after="80"/>
              <w:ind w:firstLine="0"/>
              <w:jc w:val="left"/>
              <w:snapToGrid w:val="0"/>
            </w:pPr>
            <w:r>
              <w:rPr>
                <w:rFonts w:ascii="Times New Roman" w:hAnsi="Times New Roman" w:eastAsia="SimSun"/>
                <w:b w:val="0"/>
                <w:sz w:val="22"/>
              </w:rPr>
              <w:t xml:space="preserve">100736／101248</w:t>
            </w:r>
          </w:p>
        </w:tc>
      </w:tr>
      <w:tr>
        <w:trPr>
          <w:trHeight w:val="520" w:hRule="atLeast"/>
          <w:cantSplit/>
        </w:trPr>
        <w:tc>
          <w:tcPr>
            <w:tcW w:type="dxa" w:w="2948"/>
            <w:tcBorders>
              <w:top w:val="nil" w:sz="10" w:color="000000"/>
              <w:left w:val="nil" w:sz="10" w:color="000000"/>
              <w:bottom w:val="single" w:sz="10" w:color="000000"/>
              <w:right w:val="nil" w:sz="10" w:color="000000"/>
            </w:tcBorders>
          </w:tcPr>
          <w:p w14:paraId="CA160019">
            <w:pPr>
              <w:pStyle w:val="RWBody"/>
              <w:spacing w:line="340" w:lineRule="exact" w:before="80" w:after="80"/>
              <w:ind w:firstLine="0"/>
              <w:jc w:val="left"/>
              <w:snapToGrid w:val="0"/>
            </w:pPr>
            <w:r>
              <w:rPr>
                <w:rFonts w:hint="eastAsia" w:ascii="Times New Roman" w:hAnsi="Times New Roman" w:eastAsia="SimSun"/>
                <w:b w:val="0"/>
                <w:sz w:val="22"/>
              </w:rPr>
              <w:t xml:space="preserve">首／尾／内部缺口</w:t>
            </w:r>
          </w:p>
        </w:tc>
        <w:tc>
          <w:tcPr>
            <w:tcW w:type="dxa" w:w="6009"/>
            <w:tcBorders>
              <w:top w:val="nil" w:sz="10" w:color="000000"/>
              <w:left w:val="nil" w:sz="10" w:color="000000"/>
              <w:bottom w:val="single" w:sz="10" w:color="000000"/>
              <w:right w:val="nil" w:sz="10" w:color="000000"/>
            </w:tcBorders>
          </w:tcPr>
          <w:p w14:paraId="CA16001A">
            <w:pPr>
              <w:pStyle w:val="RWBody"/>
              <w:spacing w:line="340" w:lineRule="exact" w:before="80" w:after="80"/>
              <w:ind w:firstLine="0"/>
              <w:jc w:val="left"/>
              <w:snapToGrid w:val="0"/>
            </w:pPr>
            <w:r>
              <w:rPr>
                <w:rFonts w:hint="eastAsia" w:ascii="Times New Roman" w:hAnsi="Times New Roman" w:eastAsia="SimSun"/>
                <w:b w:val="0"/>
                <w:sz w:val="22"/>
              </w:rPr>
              <w:t xml:space="preserve">20170432／13224／35009 ns</w:t>
            </w:r>
          </w:p>
        </w:tc>
      </w:tr>
    </w:tbl>
    <w:p w14:paraId="CA16001B">
      <w:pPr>
        <w:pStyle w:val="RWBody"/>
        <w:widowControl/>
        <w:jc w:val="both"/>
        <w:snapToGrid w:val="0"/>
        <w:pageBreakBefore w:val="1"/>
      </w:pPr>
      <w:r>
        <w:rPr>
          <w:rFonts w:hint="eastAsia" w:ascii="Times New Roman" w:hAnsi="Times New Roman" w:eastAsia="SimSun"/>
          <w:sz w:val="24"/>
        </w:rPr>
        <w:t xml:space="preserve">图5.8保留本次全部CPU2主观察窗口，并另列纯主阶段的平均窗口几何占比。</w:t>
      </w:r>
    </w:p>
    <w:p xmlns:a="http://schemas.openxmlformats.org/drawingml/2006/main" xmlns:pic="http://schemas.openxmlformats.org/drawingml/2006/picture" w14:paraId="CA16001C">
      <w:pPr>
        <w:pStyle w:val="RWBody"/>
        <w:keepNext/>
        <w:widowControl/>
        <w:spacing w:line="240" w:lineRule="auto"/>
        <w:ind w:firstLine="0"/>
        <w:jc w:val="center"/>
        <w:snapToGrid w:val="0"/>
      </w:pPr>
      <w:r>
        <w:drawing>
          <wp:inline>
            <wp:extent cx="5688000" cy="3737828"/>
            <wp:effectExtent b="0" l="0" r="0" t="0"/>
            <wp:docPr descr="一次普通参考进程的CPU2主观察窗口及纯主阶段平均窗口几何覆盖比例" title="" id="87" name="G2窗口工程观察"/>
            <a:graphic>
              <a:graphicData uri="http://schemas.openxmlformats.org/drawingml/2006/picture">
                <pic:pic>
                  <pic:nvPicPr>
                    <pic:cNvPr descr="一次普通参考进程的CPU2主观察窗口及纯主阶段平均窗口几何覆盖比例" id="88" name="G2窗口工程观察"/>
                    <pic:cNvPicPr>
                      <a:picLocks noChangeArrowheads="1" noChangeAspect="1"/>
                    </pic:cNvPicPr>
                  </pic:nvPicPr>
                  <pic:blipFill>
                    <a:blip r:embed="rId28"/>
                    <a:stretch>
                      <a:fillRect/>
                    </a:stretch>
                  </pic:blipFill>
                  <pic:spPr bwMode="auto">
                    <a:xfrm>
                      <a:off x="0" y="0"/>
                      <a:ext cx="5688000" cy="3737828"/>
                    </a:xfrm>
                    <a:prstGeom prst="rect">
                      <a:avLst/>
                    </a:prstGeom>
                    <a:noFill/>
                    <a:ln w="9525">
                      <a:noFill/>
                      <a:headEnd/>
                      <a:tailEnd/>
                    </a:ln>
                  </pic:spPr>
                </pic:pic>
              </a:graphicData>
            </a:graphic>
          </wp:inline>
        </w:drawing>
      </w:r>
    </w:p>
    <w:p w14:paraId="CA16001D">
      <w:pPr>
        <w:pStyle w:val="RWCaption"/>
        <w:widowControl/>
        <w:ind w:firstLine="0"/>
        <w:jc w:val="center"/>
        <w:snapToGrid w:val="0"/>
      </w:pPr>
      <w:r>
        <w:rPr>
          <w:rFonts w:hint="eastAsia" w:ascii="Times New Roman" w:hAnsi="Times New Roman" w:eastAsia="SimSun"/>
          <w:sz w:val="22"/>
        </w:rPr>
        <w:t xml:space="preserve">图5.8　单次普通参考进程的窗口工程观察与几何覆盖</w:t>
      </w:r>
    </w:p>
    <w:p w14:paraId="CA16001E">
      <w:pPr>
        <w:pStyle w:val="RWBody"/>
        <w:widowControl/>
        <w:jc w:val="both"/>
        <w:snapToGrid w:val="0"/>
      </w:pPr>
      <w:r>
        <w:rPr>
          <w:rFonts w:hint="eastAsia" w:ascii="Times New Roman" w:hAnsi="Times New Roman" w:eastAsia="SimSun"/>
          <w:sz w:val="24"/>
        </w:rPr>
        <w:t xml:space="preserve">这里的pair仅指相邻反馈快照对，不是AB/BA运行对。全部200个CPU2主pair均通过工程规则。空心标记为首个跨界pair，仍参加判定；下条仅为合计几何比例，不是点态时间线。读取对齐区间不是置信区间，平均窗口不认证区间内逐时或逐调用恒频。200窗来自一个进程，不是200次独立重复。反馈解释为活动期平均；线程CPU／RAW仅为活动代理，非精确C0比例。</w:t>
      </w:r>
    </w:p>
    <w:p w14:paraId="CA16001F">
      <w:pPr>
        <w:pStyle w:val="RWBody"/>
        <w:widowControl/>
        <w:jc w:val="both"/>
        <w:snapToGrid w:val="0"/>
      </w:pPr>
      <w:r>
        <w:rPr>
          <w:rFonts w:hint="eastAsia" w:ascii="Times New Roman" w:hAnsi="Times New Roman" w:eastAsia="SimSun"/>
          <w:sz w:val="24"/>
        </w:rPr>
        <w:t xml:space="preserve">纯主几何分子不含首个跨界pair；与表5.11三类缺口之和精确等于分母，没有补齐或改分母。CPU18的200个context区间均为边界重叠，仅作上下文，不是第二独立样本或实际高频证据。</w:t>
      </w:r>
    </w:p>
    <w:p w14:paraId="CA160020">
      <w:pPr>
        <w:pStyle w:val="RWBody"/>
        <w:widowControl/>
        <w:jc w:val="both"/>
        <w:snapToGrid w:val="0"/>
      </w:pPr>
      <w:r>
        <w:rPr>
          <w:rFonts w:hint="eastAsia" w:ascii="Times New Roman" w:hAnsi="Times New Roman" w:eastAsia="SimSun"/>
          <w:sz w:val="24"/>
        </w:rPr>
        <w:t xml:space="preserve">另一路径在放行后实际约0.255407秒发起预定的注册取消，该数不是恢复耗时。controller与worker均因SIGKILL终止（记录码−9），child已回收；stdout/stderr均0字节表示测量未知，不是零调用。两路径结束独立核对87份原件及归档一致、六原PID不存在、全部32策略及global可见对象等原基线、CPU0—31归还、隔离空、自有组删除且锁释放。回读不是全程原子快照，不证明隐藏QoS或固件内部逐位复原；guard自身死亡、整机及真实磁盘故障未测试。本次仅支持窄工程观察，完整研究与R02/R04仍部分签收。</w:t>
      </w:r>
    </w:p>
    <w:bookmarkEnd w:id="542"/>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14:paraId="CA140005">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 专用实现减少了固定任务的计算与运行开销。经过正确配置的 SciPy 强基线比较，以及预导入成本敏感性检查，八个既定任务上的结果一致性和成本差异均得到验证。同语言对照为增量实现的完整函数成本提供直接观察；旧SciPy对照继续描述流程成本，两者不作定量分解。M02又在一次干净重建后的同机三个新进程中重复观察到六份固定非零输入的较低中位成本；其进程身份、原值和新产物资格分别核对。</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p>
      <w:pPr>
        <w:pStyle w:val="RWBody"/>
        <w:widowControl/>
        <w:jc w:val="both"/>
        <w:snapToGrid w:val="0"/>
      </w:pPr>
      <w:r>
        <w:rPr>
          <w:rFonts w:hint="eastAsia" w:ascii="Times New Roman" w:hAnsi="Times New Roman" w:eastAsia="SimSun"/>
          <w:sz w:val="24"/>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两项官方潜在修正的静态适用性已核对。</w:t>
      </w:r>
    </w:p>
    <w:p w14:paraId="CA140006">
      <w:pPr>
        <w:pStyle w:val="RWBody"/>
        <w:widowControl/>
        <w:jc w:val="both"/>
        <w:snapToGrid w:val="0"/>
      </w:pPr>
      <w:r>
        <w:rPr>
          <w:rFonts w:hint="eastAsia" w:ascii="Times New Roman" w:hAnsi="Times New Roman" w:eastAsia="SimSun"/>
          <w:sz w:val="24"/>
        </w:rPr>
        <w:t xml:space="preserve">八任务与SciPy尾计数一致，M01/M02的效率观察仍限macOS/ARM固定输入。有限模型及后赋标签控制另核计算与条件边界；人工机制掩码在五种子原名义检验里未再检出。旧ARM残差、失败和封存v3复算分别留档。</w:t>
      </w:r>
    </w:p>
    <w:p w14:paraId="CA160022">
      <w:pPr>
        <w:pStyle w:val="RWBody"/>
        <w:widowControl/>
        <w:jc w:val="both"/>
        <w:snapToGrid w:val="0"/>
      </w:pPr>
      <w:r>
        <w:rPr>
          <w:rFonts w:hint="eastAsia" w:ascii="Times New Roman" w:hAnsi="Times New Roman" w:eastAsia="SimSun"/>
          <w:sz w:val="24"/>
        </w:rPr>
        <w:t xml:space="preserve">G2单次保存126528次完整调用，200个主窗口均通过事前工程规则，纯主平均窗口几何覆盖99.4948%；注册取消、保全及可见恢复另核对，仍不扩大历史防护或统计结论。</w:t>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实质等价须预定对象、容许界及有效区间；未检出、低自相关或标签枚举均不构成证明。新均值路线仍缺真实前提与实现核验，R04仍部分签收。</w:t>
      </w:r>
    </w:p>
    <w:p w14:paraId="CA160023">
      <w:pPr>
        <w:pStyle w:val="RWBody"/>
        <w:widowControl/>
        <w:jc w:val="both"/>
        <w:snapToGrid w:val="0"/>
      </w:pPr>
      <w:r>
        <w:rPr>
          <w:rFonts w:hint="eastAsia" w:ascii="Times New Roman" w:hAnsi="Times New Roman" w:eastAsia="SimSun"/>
          <w:sz w:val="24"/>
        </w:rPr>
        <w:t xml:space="preserve">G2仍缺适用目标差异量级的读钟精度、稳定性与统计前提。平均反馈不证明逐调用恒频或物理误差界，R02/R04仍部分签收。</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14:paraId="CA140007">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潜在修正工作簿（2026-10-09核对）：https://csrc.nist.gov/files/pubs/fips/203/final/docs/fips-203-potential-updates.xlsx 。</w:t>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[5] SciPy. scipy.stats.permutation_test. API文档1.16.2，实验环境1.16.3/NumPy2.3.5. https://docs.scipy.org/doc/scipy-1.16.2/reference/generated/scipy.stats.permutation_test.html .</w:t>
      </w:r>
      <w:r>
        <w:rPr>
          <w:rFonts w:hint="eastAsia" w:ascii="Times New Roman" w:hAnsi="Times New Roman" w:eastAsia="SimSun"/>
          <w:sz w:val="24"/>
        </w:rPr>
        <w:t xml:space="preserve"/>
      </w:r>
      <w:r>
        <w:rPr>
          <w:rFonts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[6] clangover 项目. 历史 Kyber 编译行为资料. 固定提交7f4d5dc162b77c362a34a0d52949f7a3e1b16d81. https://github.com/antoonpurnal/clangover .</w:t>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ind w:firstLine="0"/>
        <w:jc w:val="left"/>
        <w:snapToGrid w:val="0"/>
      </w:pPr>
      <w:r>
        <w:rPr>
          <w:rFonts w:hint="eastAsia" w:ascii="Times New Roman" w:hAnsi="Times New Roman" w:eastAsia="SimSun"/>
          <w:sz w:val="24"/>
        </w:rPr>
        <w:t xml:space="preserve">[7] Dunsche M, et al. SILENT: A New Lens on Statistics in Software Timing Side Channels. arXiv:2504.19821v1, 2025. https://arxiv.org/abs/2504.19821 .</w:t>
      </w:r>
    </w:p>
    <w:p>
      <w:pPr>
        <w:pStyle w:val="RWBody"/>
        <w:widowControl/>
        <w:ind w:firstLine="0"/>
        <w:jc w:val="left"/>
        <w:snapToGrid w:val="0"/>
      </w:pPr>
      <w:r>
        <w:rPr>
          <w:rFonts w:hint="eastAsia" w:ascii="Times New Roman" w:hAnsi="Times New Roman" w:eastAsia="SimSun"/>
          <w:sz w:val="24"/>
        </w:rPr>
        <w:t xml:space="preserve">[8] Brumley B B. SoK: The Constant Time Model. WOOT, 2026. https://www.usenix.org/conference/woot26/presentation/brumley .</w:t>
      </w:r>
    </w:p>
    <w:p>
      <w:pPr>
        <w:pStyle w:val="RWBody"/>
        <w:widowControl/>
        <w:ind w:firstLine="0"/>
        <w:jc w:val="left"/>
        <w:snapToGrid w:val="0"/>
      </w:pPr>
      <w:r>
        <w:rPr>
          <w:rFonts w:hint="eastAsia" w:ascii="Times New Roman" w:hAnsi="Times New Roman" w:eastAsia="SimSun"/>
          <w:sz w:val="24"/>
        </w:rPr>
        <w:t xml:space="preserve">[9] Diaconis P, Holmes S. Gray codes for randomization procedures. Statistics and Computing, 1994, 4:287–302. DOI:10.1007/BF00156752.</w:t>
      </w:r>
    </w:p>
    <w:p>
      <w:pPr>
        <w:pStyle w:val="RWBody"/>
        <w:widowControl/>
        <w:ind w:firstLine="0"/>
        <w:jc w:val="left"/>
        <w:snapToGrid w:val="0"/>
      </w:pPr>
      <w:r>
        <w:rPr>
          <w:rFonts w:hint="eastAsia" w:ascii="Times New Roman" w:hAnsi="Times New Roman" w:eastAsia="SimSun"/>
          <w:sz w:val="24"/>
        </w:rPr>
        <w:t xml:space="preserve">[10] Hemerik J, Goeman J. Exact testing with random permutations. TEST, 2018, 27:811–825. DOI:10.1007/s11749-017-0571-1.</w:t>
      </w:r>
    </w:p>
    <w:p>
      <w:pPr>
        <w:pStyle w:val="RWBody"/>
        <w:widowControl/>
        <w:ind w:firstLine="0"/>
        <w:jc w:val="left"/>
        <w:snapToGrid w:val="0"/>
      </w:pPr>
      <w:r>
        <w:rPr>
          <w:rFonts w:hint="eastAsia" w:ascii="Times New Roman" w:hAnsi="Times New Roman" w:eastAsia="SimSun"/>
          <w:sz w:val="24"/>
        </w:rPr>
        <w:t xml:space="preserve">[11] Schneider M, et al. Breaking Bad: How Compilers Break Constant-Time Implementations. ASIA CCS, 2025:1690–1706. DOI:10.1145/3708821.3733909.</w:t>
      </w:r>
    </w:p>
    <w:p w14:paraId="CA150002">
      <w:pPr>
        <w:pStyle w:val="RWBody"/>
        <w:widowControl/>
        <w:ind w:firstLine="0"/>
        <w:jc w:val="left"/>
        <w:snapToGrid w:val="0"/>
      </w:pPr>
      <w:r>
        <w:rPr>
          <w:rFonts w:hint="eastAsia" w:ascii="Times New Roman" w:hAnsi="Times New Roman" w:eastAsia="SimSun"/>
          <w:sz w:val="24"/>
        </w:rPr>
        <w:t xml:space="preserve">[12] Imai K. Variance identification and efficiency analysis in randomized experiments under the matched-pair design. Statistics in Medicine, 2008, 27(24):4857–4873. DOI:10.1002/sim.3337.</w:t>
      </w:r>
    </w:p>
    <w:p w14:paraId="CA150003">
      <w:pPr>
        <w:pStyle w:val="RWBody"/>
        <w:widowControl/>
        <w:ind w:firstLine="0"/>
        <w:jc w:val="left"/>
        <w:snapToGrid w:val="0"/>
      </w:pPr>
      <w:r>
        <w:rPr>
          <w:rFonts w:hint="eastAsia" w:ascii="Times New Roman" w:hAnsi="Times New Roman" w:eastAsia="SimSun"/>
          <w:sz w:val="24"/>
        </w:rPr>
        <w:t xml:space="preserve">[13] Wu J, Ding P. Randomization Tests for Weak Null Hypotheses in Randomized Experiments. Journal of the American Statistical Association, 2021, 116(536):1898–1913. DOI:10.1080/01621459.2020.1750415.</w:t>
      </w:r>
    </w:p>
    <w:p w14:paraId="CA150004">
      <w:pPr>
        <w:pStyle w:val="RWBody"/>
        <w:widowControl/>
        <w:ind w:firstLine="0"/>
        <w:jc w:val="left"/>
        <w:snapToGrid w:val="0"/>
      </w:pPr>
      <w:r>
        <w:rPr>
          <w:rFonts w:hint="eastAsia" w:ascii="Times New Roman" w:hAnsi="Times New Roman" w:eastAsia="SimSun"/>
          <w:sz w:val="24"/>
        </w:rPr>
        <w:t xml:space="preserve">[14] Hoeffding W. Probability Inequalities for Sums of Bounded Random Variables. Journal of the American Statistical Association, 1963, 58(301):13–30. DOI:10.1080/01621459.1963.10500830.</w:t>
      </w:r>
    </w:p>
    <w:p w14:paraId="CA160027">
      <w:pPr>
        <w:pStyle w:val="RWBody"/>
        <w:widowControl/>
        <w:ind w:firstLine="0"/>
        <w:jc w:val="left"/>
        <w:snapToGrid w:val="0"/>
      </w:pPr>
      <w:r>
        <w:rPr>
          <w:rFonts w:hint="eastAsia" w:ascii="Times New Roman" w:hAnsi="Times New Roman" w:eastAsia="SimSun"/>
          <w:sz w:val="24"/>
        </w:rPr>
        <w:t xml:space="preserve">[15] Linux kernel contributors. arch/x86/kernel/cpu/aperfmperf.c, fixed tag v6.17. https://raw.githubusercontent.com/torvalds/linux/v6.17/arch/x86/kernel/cpu/aperfmperf.c (accessed 2026-10-10).</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formal_completed_calls=54000，warmup_completed_calls=1800，interval_scope=exploratory_iid_run_pair_bootstrap_only，report_status=complete，anonymous_source_id=SOURCE-RYZEN-01。</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jc w:val="both"/>
        <w:snapToGrid w:val="0"/>
      </w:pPr>
      <w:r>
        <w:rPr>
          <w:rFonts w:hint="eastAsia" w:ascii="Times New Roman" w:hAnsi="Times New Roman" w:eastAsia="SimSun"/>
          <w:sz w:val="24"/>
        </w:rPr>
        <w:t xml:space="preserve">这里的二十次机制运行按变体分段执行，存在时间状态混杂；普通性能六块则覆盖六种方法排列，不能统称固定顺序。后赋标签命令实际读取历史native-final-20261007的KVM时间，而非新裸金属时间。这些输入来源与执行机器分别记录，不将重放结果解释为新平台校准。</w:t>
      </w:r>
    </w:p>
    <w:p w14:paraId="CA160024">
      <w:pPr>
        <w:pStyle w:val="RWBody"/>
        <w:widowControl/>
        <w:ind w:firstLine="0"/>
        <w:jc w:val="both"/>
        <w:snapToGrid w:val="0"/>
      </w:pPr>
      <w:r>
        <w:rPr>
          <w:rFonts w:hint="eastAsia" w:ascii="Times New Roman" w:hAnsi="Times New Roman" w:eastAsia="SimSun"/>
          <w:sz w:val="24"/>
        </w:rPr>
        <w:t xml:space="preserve">sanitize-build 退出码为 2。GCC 在 -Werror=sign-conversion 处停止，函数为 baseline_native_poly_frommsg，位置是 vulnerable compress.c:709 与 hardened compress.c:710。这些记录不是频率锁定、恒时证明或竞赛签收。就2026年10月8日上述记录而言，没有锁定频率的数据集，也没有真实密文总体的误报率或检出率。2026年10月10日G2另取得第5.9节所述平均窗口工程观察，不追认旧数据，也不构成整段或逐调用恒频。R02与R04仍为部分签收。</w:t>
      </w:r>
    </w:p>
    <w:p w14:paraId="CA160025">
      <w:pPr>
        <w:pStyle w:val="RWBody"/>
        <w:widowControl/>
        <w:jc w:val="left"/>
        <w:snapToGrid w:val="0"/>
      </w:pPr>
      <w:r>
        <w:rPr>
          <w:rFonts w:hint="eastAsia" w:ascii="Times New Roman" w:hAnsi="Times New Roman" w:eastAsia="SimSun"/>
          <w:sz w:val="24"/>
        </w:rPr>
        <w:t xml:space="preserve">自有源码使用匿名来源别名，不是 Git 提交号；第三方固定版本保持不变。公开来源与固定版本适用性分别见 docs/upstream-security-review.md 与 docs/current-version-defense-review.md；最新验收状态见 docs/full-work-acceptance.md。本报告引用重写期间已归档的新R07记录，没有为绘图额外运行密码采集，也未改动原始数字。原有图源以独立 PowerPoint 文件交付，原有数据图保留可编辑图表和工作簿，结构图保留原生图形与文字。新增G2图以PNG和PDF单列，绘图源码另存作者归档，不称可编辑PowerPoint图表。</w:t>
      </w:r>
    </w:p>
    <w:bookmarkEnd w:id="97"/>
    <w:bookmarkStart w:id="98" w:name="附录b-普通性能的完整分位数"/>
    <w:p w14:paraId="CA130029">
      <w:pPr>
        <w:pStyle w:val="RWCaption"/>
        <w:keepNext/>
        <w:widowControl/>
        <w:ind w:firstLine="0"/>
        <w:jc w:val="center"/>
        <w:snapToGrid w:val="0"/>
      </w:pPr>
      <w:r>
        <w:rPr>
          <w:rFonts w:hint="eastAsia" w:ascii="Times New Roman" w:hAnsi="Times New Roman" w:eastAsia="SimSun"/>
          <w:sz w:val="22"/>
        </w:rPr>
        <w:t xml:space="preserve">表A.2　同语言完整统计函数的固定任务耗时比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left w:val="nil" w:sz="5" w:color="000000"/>
              <w:bottom w:val="single" w:sz="5" w:color="000000"/>
              <w:right w:val="nil" w:sz="5" w:color="000000"/>
            </w:tcBorders>
          </w:tcPr>
          <w:p w14:paraId="CA130005">
            <w:pPr>
              <w:pStyle w:val="RWBody"/>
              <w:keepNext/>
              <w:spacing w:line="340" w:lineRule="exact" w:before="80" w:after="80"/>
              <w:ind w:firstLine="0"/>
              <w:jc w:val="center"/>
              <w:snapToGrid w:val="0"/>
            </w:pPr>
            <w:r>
              <w:rPr>
                <w:rFonts w:hint="eastAsia" w:ascii="Times New Roman" w:hAnsi="Times New Roman" w:eastAsia="SimSun"/>
                <w:b/>
                <w:sz w:val="22"/>
              </w:rPr>
              <w:t xml:space="preserve">任务</w:t>
            </w:r>
          </w:p>
        </w:tc>
        <w:tc>
          <w:tcPr>
            <w:tcW w:type="dxa" w:w="1587"/>
            <w:tcBorders>
              <w:top w:val="single" w:sz="10" w:color="000000"/>
              <w:left w:val="nil" w:sz="5" w:color="000000"/>
              <w:bottom w:val="single" w:sz="5" w:color="000000"/>
              <w:right w:val="nil" w:sz="5" w:color="000000"/>
            </w:tcBorders>
          </w:tcPr>
          <w:p w14:paraId="CA130006">
            <w:pPr>
              <w:pStyle w:val="RWBody"/>
              <w:keepNext/>
              <w:spacing w:line="340" w:lineRule="exact" w:before="80" w:after="80"/>
              <w:ind w:firstLine="0"/>
              <w:jc w:val="center"/>
              <w:snapToGrid w:val="0"/>
            </w:pPr>
            <w:r>
              <w:rPr>
                <w:rFonts w:hint="eastAsia" w:ascii="Times New Roman" w:hAnsi="Times New Roman" w:eastAsia="SimSun"/>
                <w:b/>
                <w:sz w:val="22"/>
              </w:rPr>
              <w:t xml:space="preserve">非零差数量</w:t>
            </w:r>
          </w:p>
        </w:tc>
        <w:tc>
          <w:tcPr>
            <w:tcW w:type="dxa" w:w="2665"/>
            <w:tcBorders>
              <w:top w:val="single" w:sz="10" w:color="000000"/>
              <w:left w:val="nil" w:sz="5" w:color="000000"/>
              <w:bottom w:val="single" w:sz="5" w:color="000000"/>
              <w:right w:val="nil" w:sz="5" w:color="000000"/>
            </w:tcBorders>
          </w:tcPr>
          <w:p w14:paraId="CA130007">
            <w:pPr>
              <w:pStyle w:val="RWBody"/>
              <w:keepNext/>
              <w:spacing w:line="340" w:lineRule="exact" w:before="80" w:after="80"/>
              <w:ind w:firstLine="0"/>
              <w:jc w:val="center"/>
              <w:snapToGrid w:val="0"/>
            </w:pPr>
            <w:r>
              <w:rPr>
                <w:rFonts w:hint="eastAsia" w:ascii="Times New Roman" w:hAnsi="Times New Roman" w:eastAsia="SimSun"/>
                <w:b/>
                <w:sz w:val="22"/>
              </w:rPr>
              <w:t xml:space="preserve">增量/完整求和中位比</w:t>
            </w:r>
          </w:p>
        </w:tc>
        <w:tc>
          <w:tcPr>
            <w:tcW w:type="dxa" w:w="3798"/>
            <w:tcBorders>
              <w:top w:val="single" w:sz="10" w:color="000000"/>
              <w:left w:val="nil" w:sz="5" w:color="000000"/>
              <w:bottom w:val="single" w:sz="5" w:color="000000"/>
              <w:right w:val="nil" w:sz="5" w:color="000000"/>
            </w:tcBorders>
          </w:tcPr>
          <w:p w14:paraId="CA130008">
            <w:pPr>
              <w:pStyle w:val="RWBody"/>
              <w:keepNext/>
              <w:spacing w:line="340" w:lineRule="exact" w:before="80" w:after="80"/>
              <w:ind w:firstLine="0"/>
              <w:jc w:val="center"/>
              <w:snapToGrid w:val="0"/>
            </w:pPr>
            <w:r>
              <w:rPr>
                <w:rFonts w:hint="eastAsia" w:ascii="Times New Roman" w:hAnsi="Times New Roman" w:eastAsia="SimSun"/>
                <w:b/>
                <w:sz w:val="22"/>
              </w:rPr>
              <w:t xml:space="preserve">十对比值最小—最大</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9">
            <w:pPr>
              <w:pStyle w:val="RWBody"/>
              <w:keepNext/>
              <w:spacing w:line="340" w:lineRule="exact" w:before="80" w:after="80"/>
              <w:ind w:firstLine="0"/>
              <w:jc w:val="center"/>
              <w:snapToGrid w:val="0"/>
            </w:pPr>
            <w:r>
              <w:rPr>
                <w:rFonts w:ascii="Times New Roman" w:hAnsi="Times New Roman" w:eastAsia="SimSun"/>
                <w:b w:val="0"/>
                <w:sz w:val="22"/>
              </w:rPr>
              <w:t xml:space="preserve">1</w:t>
            </w:r>
          </w:p>
        </w:tc>
        <w:tc>
          <w:tcPr>
            <w:tcW w:type="dxa" w:w="1587"/>
            <w:tcBorders>
              <w:top w:val="nil" w:sz="10" w:color="000000"/>
              <w:left w:val="nil" w:sz="5" w:color="000000"/>
              <w:bottom w:val="nil" w:sz="5" w:color="000000"/>
              <w:right w:val="nil" w:sz="5" w:color="000000"/>
            </w:tcBorders>
          </w:tcPr>
          <w:p w14:paraId="CA13000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B">
            <w:pPr>
              <w:pStyle w:val="RWBody"/>
              <w:keepNext/>
              <w:spacing w:line="340" w:lineRule="exact" w:before="80" w:after="80"/>
              <w:ind w:firstLine="0"/>
              <w:jc w:val="center"/>
              <w:snapToGrid w:val="0"/>
            </w:pPr>
            <w:r>
              <w:rPr>
                <w:rFonts w:ascii="Times New Roman" w:hAnsi="Times New Roman" w:eastAsia="SimSun"/>
                <w:b w:val="0"/>
                <w:sz w:val="22"/>
              </w:rPr>
              <w:t xml:space="preserve">0.265067</w:t>
            </w:r>
          </w:p>
        </w:tc>
        <w:tc>
          <w:tcPr>
            <w:tcW w:type="dxa" w:w="3798"/>
            <w:tcBorders>
              <w:top w:val="nil" w:sz="10" w:color="000000"/>
              <w:left w:val="nil" w:sz="5" w:color="000000"/>
              <w:bottom w:val="nil" w:sz="5" w:color="000000"/>
              <w:right w:val="nil" w:sz="5" w:color="000000"/>
            </w:tcBorders>
          </w:tcPr>
          <w:p w14:paraId="CA13000C">
            <w:pPr>
              <w:pStyle w:val="RWBody"/>
              <w:keepNext/>
              <w:spacing w:line="340" w:lineRule="exact" w:before="80" w:after="80"/>
              <w:ind w:firstLine="0"/>
              <w:jc w:val="center"/>
              <w:snapToGrid w:val="0"/>
            </w:pPr>
            <w:r>
              <w:rPr>
                <w:rFonts w:ascii="Times New Roman" w:hAnsi="Times New Roman" w:eastAsia="SimSun"/>
                <w:b w:val="0"/>
                <w:sz w:val="22"/>
              </w:rPr>
              <w:t xml:space="preserve">0.241923—0.275621</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D">
            <w:pPr>
              <w:pStyle w:val="RWBody"/>
              <w:keepNext/>
              <w:spacing w:line="340" w:lineRule="exact" w:before="80" w:after="80"/>
              <w:ind w:firstLine="0"/>
              <w:jc w:val="center"/>
              <w:snapToGrid w:val="0"/>
            </w:pPr>
            <w:r>
              <w:rPr>
                <w:rFonts w:ascii="Times New Roman" w:hAnsi="Times New Roman" w:eastAsia="SimSun"/>
                <w:b w:val="0"/>
                <w:sz w:val="22"/>
              </w:rPr>
              <w:t xml:space="preserve">2</w:t>
            </w:r>
          </w:p>
        </w:tc>
        <w:tc>
          <w:tcPr>
            <w:tcW w:type="dxa" w:w="1587"/>
            <w:tcBorders>
              <w:top w:val="nil" w:sz="10" w:color="000000"/>
              <w:left w:val="nil" w:sz="5" w:color="000000"/>
              <w:bottom w:val="nil" w:sz="5" w:color="000000"/>
              <w:right w:val="nil" w:sz="5" w:color="000000"/>
            </w:tcBorders>
          </w:tcPr>
          <w:p w14:paraId="CA13000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F">
            <w:pPr>
              <w:pStyle w:val="RWBody"/>
              <w:keepNext/>
              <w:spacing w:line="340" w:lineRule="exact" w:before="80" w:after="80"/>
              <w:ind w:firstLine="0"/>
              <w:jc w:val="center"/>
              <w:snapToGrid w:val="0"/>
            </w:pPr>
            <w:r>
              <w:rPr>
                <w:rFonts w:ascii="Times New Roman" w:hAnsi="Times New Roman" w:eastAsia="SimSun"/>
                <w:b w:val="0"/>
                <w:sz w:val="22"/>
              </w:rPr>
              <w:t xml:space="preserve">0.318405</w:t>
            </w:r>
          </w:p>
        </w:tc>
        <w:tc>
          <w:tcPr>
            <w:tcW w:type="dxa" w:w="3798"/>
            <w:tcBorders>
              <w:top w:val="nil" w:sz="10" w:color="000000"/>
              <w:left w:val="nil" w:sz="5" w:color="000000"/>
              <w:bottom w:val="nil" w:sz="5" w:color="000000"/>
              <w:right w:val="nil" w:sz="5" w:color="000000"/>
            </w:tcBorders>
          </w:tcPr>
          <w:p w14:paraId="CA130010">
            <w:pPr>
              <w:pStyle w:val="RWBody"/>
              <w:keepNext/>
              <w:spacing w:line="340" w:lineRule="exact" w:before="80" w:after="80"/>
              <w:ind w:firstLine="0"/>
              <w:jc w:val="center"/>
              <w:snapToGrid w:val="0"/>
            </w:pPr>
            <w:r>
              <w:rPr>
                <w:rFonts w:ascii="Times New Roman" w:hAnsi="Times New Roman" w:eastAsia="SimSun"/>
                <w:b w:val="0"/>
                <w:sz w:val="22"/>
              </w:rPr>
              <w:t xml:space="preserve">0.309984—0.325525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1">
            <w:pPr>
              <w:pStyle w:val="RWBody"/>
              <w:keepNext/>
              <w:spacing w:line="340" w:lineRule="exact" w:before="80" w:after="80"/>
              <w:ind w:firstLine="0"/>
              <w:jc w:val="center"/>
              <w:snapToGrid w:val="0"/>
            </w:pPr>
            <w:r>
              <w:rPr>
                <w:rFonts w:ascii="Times New Roman" w:hAnsi="Times New Roman" w:eastAsia="SimSun"/>
                <w:b w:val="0"/>
                <w:sz w:val="22"/>
              </w:rPr>
              <w:t xml:space="preserve">3</w:t>
            </w:r>
          </w:p>
        </w:tc>
        <w:tc>
          <w:tcPr>
            <w:tcW w:type="dxa" w:w="1587"/>
            <w:tcBorders>
              <w:top w:val="nil" w:sz="10" w:color="000000"/>
              <w:left w:val="nil" w:sz="5" w:color="000000"/>
              <w:bottom w:val="nil" w:sz="5" w:color="000000"/>
              <w:right w:val="nil" w:sz="5" w:color="000000"/>
            </w:tcBorders>
          </w:tcPr>
          <w:p w14:paraId="CA13001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13">
            <w:pPr>
              <w:pStyle w:val="RWBody"/>
              <w:keepNext/>
              <w:spacing w:line="340" w:lineRule="exact" w:before="80" w:after="80"/>
              <w:ind w:firstLine="0"/>
              <w:jc w:val="center"/>
              <w:snapToGrid w:val="0"/>
            </w:pPr>
            <w:r>
              <w:rPr>
                <w:rFonts w:ascii="Times New Roman" w:hAnsi="Times New Roman" w:eastAsia="SimSun"/>
                <w:b w:val="0"/>
                <w:sz w:val="22"/>
              </w:rPr>
              <w:t xml:space="preserve">0.330575</w:t>
            </w:r>
          </w:p>
        </w:tc>
        <w:tc>
          <w:tcPr>
            <w:tcW w:type="dxa" w:w="3798"/>
            <w:tcBorders>
              <w:top w:val="nil" w:sz="10" w:color="000000"/>
              <w:left w:val="nil" w:sz="5" w:color="000000"/>
              <w:bottom w:val="nil" w:sz="5" w:color="000000"/>
              <w:right w:val="nil" w:sz="5" w:color="000000"/>
            </w:tcBorders>
          </w:tcPr>
          <w:p w14:paraId="CA130014">
            <w:pPr>
              <w:pStyle w:val="RWBody"/>
              <w:keepNext/>
              <w:spacing w:line="340" w:lineRule="exact" w:before="80" w:after="80"/>
              <w:ind w:firstLine="0"/>
              <w:jc w:val="center"/>
              <w:snapToGrid w:val="0"/>
            </w:pPr>
            <w:r>
              <w:rPr>
                <w:rFonts w:ascii="Times New Roman" w:hAnsi="Times New Roman" w:eastAsia="SimSun"/>
                <w:b w:val="0"/>
                <w:sz w:val="22"/>
              </w:rPr>
              <w:t xml:space="preserve">0.325333—0.338235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5">
            <w:pPr>
              <w:pStyle w:val="RWBody"/>
              <w:keepNext/>
              <w:spacing w:line="340" w:lineRule="exact" w:before="80" w:after="80"/>
              <w:ind w:firstLine="0"/>
              <w:jc w:val="center"/>
              <w:snapToGrid w:val="0"/>
            </w:pPr>
            <w:r>
              <w:rPr>
                <w:rFonts w:ascii="Times New Roman" w:hAnsi="Times New Roman" w:eastAsia="SimSun"/>
                <w:b w:val="0"/>
                <w:sz w:val="22"/>
              </w:rPr>
              <w:t xml:space="preserve">4</w:t>
            </w:r>
          </w:p>
        </w:tc>
        <w:tc>
          <w:tcPr>
            <w:tcW w:type="dxa" w:w="1587"/>
            <w:tcBorders>
              <w:top w:val="nil" w:sz="10" w:color="000000"/>
              <w:left w:val="nil" w:sz="5" w:color="000000"/>
              <w:bottom w:val="nil" w:sz="5" w:color="000000"/>
              <w:right w:val="nil" w:sz="5" w:color="000000"/>
            </w:tcBorders>
          </w:tcPr>
          <w:p w14:paraId="CA13001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7">
            <w:pPr>
              <w:pStyle w:val="RWBody"/>
              <w:keepNext/>
              <w:spacing w:line="340" w:lineRule="exact" w:before="80" w:after="80"/>
              <w:ind w:firstLine="0"/>
              <w:jc w:val="center"/>
              <w:snapToGrid w:val="0"/>
            </w:pPr>
            <w:r>
              <w:rPr>
                <w:rFonts w:ascii="Times New Roman" w:hAnsi="Times New Roman" w:eastAsia="SimSun"/>
                <w:b w:val="0"/>
                <w:sz w:val="22"/>
              </w:rPr>
              <w:t xml:space="preserve">0.261640</w:t>
            </w:r>
          </w:p>
        </w:tc>
        <w:tc>
          <w:tcPr>
            <w:tcW w:type="dxa" w:w="3798"/>
            <w:tcBorders>
              <w:top w:val="nil" w:sz="10" w:color="000000"/>
              <w:left w:val="nil" w:sz="5" w:color="000000"/>
              <w:bottom w:val="nil" w:sz="5" w:color="000000"/>
              <w:right w:val="nil" w:sz="5" w:color="000000"/>
            </w:tcBorders>
          </w:tcPr>
          <w:p w14:paraId="CA130018">
            <w:pPr>
              <w:pStyle w:val="RWBody"/>
              <w:keepNext/>
              <w:spacing w:line="340" w:lineRule="exact" w:before="80" w:after="80"/>
              <w:ind w:firstLine="0"/>
              <w:jc w:val="center"/>
              <w:snapToGrid w:val="0"/>
            </w:pPr>
            <w:r>
              <w:rPr>
                <w:rFonts w:ascii="Times New Roman" w:hAnsi="Times New Roman" w:eastAsia="SimSun"/>
                <w:b w:val="0"/>
                <w:sz w:val="22"/>
              </w:rPr>
              <w:t xml:space="preserve">0.257364—0.266460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9">
            <w:pPr>
              <w:pStyle w:val="RWBody"/>
              <w:keepNext/>
              <w:spacing w:line="340" w:lineRule="exact" w:before="80" w:after="80"/>
              <w:ind w:firstLine="0"/>
              <w:jc w:val="center"/>
              <w:snapToGrid w:val="0"/>
            </w:pPr>
            <w:r>
              <w:rPr>
                <w:rFonts w:ascii="Times New Roman" w:hAnsi="Times New Roman" w:eastAsia="SimSun"/>
                <w:b w:val="0"/>
                <w:sz w:val="22"/>
              </w:rPr>
              <w:t xml:space="preserve">5</w:t>
            </w:r>
          </w:p>
        </w:tc>
        <w:tc>
          <w:tcPr>
            <w:tcW w:type="dxa" w:w="1587"/>
            <w:tcBorders>
              <w:top w:val="nil" w:sz="10" w:color="000000"/>
              <w:left w:val="nil" w:sz="5" w:color="000000"/>
              <w:bottom w:val="nil" w:sz="5" w:color="000000"/>
              <w:right w:val="nil" w:sz="5" w:color="000000"/>
            </w:tcBorders>
          </w:tcPr>
          <w:p w14:paraId="CA13001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B">
            <w:pPr>
              <w:pStyle w:val="RWBody"/>
              <w:keepNext/>
              <w:spacing w:line="340" w:lineRule="exact" w:before="80" w:after="80"/>
              <w:ind w:firstLine="0"/>
              <w:jc w:val="center"/>
              <w:snapToGrid w:val="0"/>
            </w:pPr>
            <w:r>
              <w:rPr>
                <w:rFonts w:ascii="Times New Roman" w:hAnsi="Times New Roman" w:eastAsia="SimSun"/>
                <w:b w:val="0"/>
                <w:sz w:val="22"/>
              </w:rPr>
              <w:t xml:space="preserve">0.298269</w:t>
            </w:r>
          </w:p>
        </w:tc>
        <w:tc>
          <w:tcPr>
            <w:tcW w:type="dxa" w:w="3798"/>
            <w:tcBorders>
              <w:top w:val="nil" w:sz="10" w:color="000000"/>
              <w:left w:val="nil" w:sz="5" w:color="000000"/>
              <w:bottom w:val="nil" w:sz="5" w:color="000000"/>
              <w:right w:val="nil" w:sz="5" w:color="000000"/>
            </w:tcBorders>
          </w:tcPr>
          <w:p w14:paraId="CA13001C">
            <w:pPr>
              <w:pStyle w:val="RWBody"/>
              <w:keepNext/>
              <w:spacing w:line="340" w:lineRule="exact" w:before="80" w:after="80"/>
              <w:ind w:firstLine="0"/>
              <w:jc w:val="center"/>
              <w:snapToGrid w:val="0"/>
            </w:pPr>
            <w:r>
              <w:rPr>
                <w:rFonts w:ascii="Times New Roman" w:hAnsi="Times New Roman" w:eastAsia="SimSun"/>
                <w:b w:val="0"/>
                <w:sz w:val="22"/>
              </w:rPr>
              <w:t xml:space="preserve">0.292138—0.308256</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D">
            <w:pPr>
              <w:pStyle w:val="RWBody"/>
              <w:keepNext/>
              <w:spacing w:line="340" w:lineRule="exact" w:before="80" w:after="80"/>
              <w:ind w:firstLine="0"/>
              <w:jc w:val="center"/>
              <w:snapToGrid w:val="0"/>
            </w:pPr>
            <w:r>
              <w:rPr>
                <w:rFonts w:ascii="Times New Roman" w:hAnsi="Times New Roman" w:eastAsia="SimSun"/>
                <w:b w:val="0"/>
                <w:sz w:val="22"/>
              </w:rPr>
              <w:t xml:space="preserve">6</w:t>
            </w:r>
          </w:p>
        </w:tc>
        <w:tc>
          <w:tcPr>
            <w:tcW w:type="dxa" w:w="1587"/>
            <w:tcBorders>
              <w:top w:val="nil" w:sz="10" w:color="000000"/>
              <w:left w:val="nil" w:sz="5" w:color="000000"/>
              <w:bottom w:val="nil" w:sz="5" w:color="000000"/>
              <w:right w:val="nil" w:sz="5" w:color="000000"/>
            </w:tcBorders>
          </w:tcPr>
          <w:p w14:paraId="CA13001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F">
            <w:pPr>
              <w:pStyle w:val="RWBody"/>
              <w:keepNext/>
              <w:spacing w:line="340" w:lineRule="exact" w:before="80" w:after="80"/>
              <w:ind w:firstLine="0"/>
              <w:jc w:val="center"/>
              <w:snapToGrid w:val="0"/>
            </w:pPr>
            <w:r>
              <w:rPr>
                <w:rFonts w:ascii="Times New Roman" w:hAnsi="Times New Roman" w:eastAsia="SimSun"/>
                <w:b w:val="0"/>
                <w:sz w:val="22"/>
              </w:rPr>
              <w:t xml:space="preserve">0.319174</w:t>
            </w:r>
          </w:p>
        </w:tc>
        <w:tc>
          <w:tcPr>
            <w:tcW w:type="dxa" w:w="3798"/>
            <w:tcBorders>
              <w:top w:val="nil" w:sz="10" w:color="000000"/>
              <w:left w:val="nil" w:sz="5" w:color="000000"/>
              <w:bottom w:val="nil" w:sz="5" w:color="000000"/>
              <w:right w:val="nil" w:sz="5" w:color="000000"/>
            </w:tcBorders>
          </w:tcPr>
          <w:p w14:paraId="CA130020">
            <w:pPr>
              <w:pStyle w:val="RWBody"/>
              <w:keepNext/>
              <w:spacing w:line="340" w:lineRule="exact" w:before="80" w:after="80"/>
              <w:ind w:firstLine="0"/>
              <w:jc w:val="center"/>
              <w:snapToGrid w:val="0"/>
            </w:pPr>
            <w:r>
              <w:rPr>
                <w:rFonts w:ascii="Times New Roman" w:hAnsi="Times New Roman" w:eastAsia="SimSun"/>
                <w:b w:val="0"/>
                <w:sz w:val="22"/>
              </w:rPr>
              <w:t xml:space="preserve">0.313590—0.328080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1">
            <w:pPr>
              <w:pStyle w:val="RWBody"/>
              <w:keepNext/>
              <w:spacing w:line="340" w:lineRule="exact" w:before="80" w:after="80"/>
              <w:ind w:firstLine="0"/>
              <w:jc w:val="center"/>
              <w:snapToGrid w:val="0"/>
            </w:pPr>
            <w:r>
              <w:rPr>
                <w:rFonts w:ascii="Times New Roman" w:hAnsi="Times New Roman" w:eastAsia="SimSun"/>
                <w:b w:val="0"/>
                <w:sz w:val="22"/>
              </w:rPr>
              <w:t xml:space="preserve">7</w:t>
            </w:r>
          </w:p>
        </w:tc>
        <w:tc>
          <w:tcPr>
            <w:tcW w:type="dxa" w:w="1587"/>
            <w:tcBorders>
              <w:top w:val="nil" w:sz="10" w:color="000000"/>
              <w:left w:val="nil" w:sz="5" w:color="000000"/>
              <w:bottom w:val="nil" w:sz="5" w:color="000000"/>
              <w:right w:val="nil" w:sz="5" w:color="000000"/>
            </w:tcBorders>
          </w:tcPr>
          <w:p w14:paraId="CA13002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23">
            <w:pPr>
              <w:pStyle w:val="RWBody"/>
              <w:keepNext/>
              <w:spacing w:line="340" w:lineRule="exact" w:before="80" w:after="80"/>
              <w:ind w:firstLine="0"/>
              <w:jc w:val="center"/>
              <w:snapToGrid w:val="0"/>
            </w:pPr>
            <w:r>
              <w:rPr>
                <w:rFonts w:ascii="Times New Roman" w:hAnsi="Times New Roman" w:eastAsia="SimSun"/>
                <w:b w:val="0"/>
                <w:sz w:val="22"/>
              </w:rPr>
              <w:t xml:space="preserve">0.331370</w:t>
            </w:r>
          </w:p>
        </w:tc>
        <w:tc>
          <w:tcPr>
            <w:tcW w:type="dxa" w:w="3798"/>
            <w:tcBorders>
              <w:top w:val="nil" w:sz="10" w:color="000000"/>
              <w:left w:val="nil" w:sz="5" w:color="000000"/>
              <w:bottom w:val="nil" w:sz="5" w:color="000000"/>
              <w:right w:val="nil" w:sz="5" w:color="000000"/>
            </w:tcBorders>
          </w:tcPr>
          <w:p w14:paraId="CA130024">
            <w:pPr>
              <w:pStyle w:val="RWBody"/>
              <w:keepNext/>
              <w:spacing w:line="340" w:lineRule="exact" w:before="80" w:after="80"/>
              <w:ind w:firstLine="0"/>
              <w:jc w:val="center"/>
              <w:snapToGrid w:val="0"/>
            </w:pPr>
            <w:r>
              <w:rPr>
                <w:rFonts w:ascii="Times New Roman" w:hAnsi="Times New Roman" w:eastAsia="SimSun"/>
                <w:b w:val="0"/>
                <w:sz w:val="22"/>
              </w:rPr>
              <w:t xml:space="preserve">0.325712—0.335913</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5">
            <w:pPr>
              <w:pStyle w:val="RWBody"/>
              <w:keepNext/>
              <w:spacing w:line="340" w:lineRule="exact" w:before="80" w:after="80"/>
              <w:ind w:firstLine="0"/>
              <w:jc w:val="center"/>
              <w:snapToGrid w:val="0"/>
            </w:pPr>
            <w:r>
              <w:rPr>
                <w:rFonts w:ascii="Times New Roman" w:hAnsi="Times New Roman" w:eastAsia="SimSun"/>
                <w:b w:val="0"/>
                <w:sz w:val="22"/>
              </w:rPr>
              <w:t xml:space="preserve">8</w:t>
            </w:r>
          </w:p>
        </w:tc>
        <w:tc>
          <w:tcPr>
            <w:tcW w:type="dxa" w:w="1587"/>
            <w:tcBorders>
              <w:top w:val="nil" w:sz="10" w:color="000000"/>
              <w:left w:val="nil" w:sz="5" w:color="000000"/>
              <w:bottom w:val="nil" w:sz="5" w:color="000000"/>
              <w:right w:val="nil" w:sz="5" w:color="000000"/>
            </w:tcBorders>
          </w:tcPr>
          <w:p w14:paraId="CA13002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27">
            <w:pPr>
              <w:pStyle w:val="RWBody"/>
              <w:keepNext/>
              <w:spacing w:line="340" w:lineRule="exact" w:before="80" w:after="80"/>
              <w:ind w:firstLine="0"/>
              <w:jc w:val="center"/>
              <w:snapToGrid w:val="0"/>
            </w:pPr>
            <w:r>
              <w:rPr>
                <w:rFonts w:ascii="Times New Roman" w:hAnsi="Times New Roman" w:eastAsia="SimSun"/>
                <w:b w:val="0"/>
                <w:sz w:val="22"/>
              </w:rPr>
              <w:t xml:space="preserve">0.296426</w:t>
            </w:r>
          </w:p>
        </w:tc>
        <w:tc>
          <w:tcPr>
            <w:tcW w:type="dxa" w:w="3798"/>
            <w:tcBorders>
              <w:top w:val="nil" w:sz="10" w:color="000000"/>
              <w:left w:val="nil" w:sz="5" w:color="000000"/>
              <w:bottom w:val="nil" w:sz="5" w:color="000000"/>
              <w:right w:val="nil" w:sz="5" w:color="000000"/>
            </w:tcBorders>
          </w:tcPr>
          <w:p w14:paraId="CA130028">
            <w:pPr>
              <w:pStyle w:val="RWBody"/>
              <w:keepNext/>
              <w:spacing w:line="340" w:lineRule="exact" w:before="80" w:after="80"/>
              <w:ind w:firstLine="0"/>
              <w:jc w:val="center"/>
              <w:snapToGrid w:val="0"/>
            </w:pPr>
            <w:r>
              <w:rPr>
                <w:rFonts w:ascii="Times New Roman" w:hAnsi="Times New Roman" w:eastAsia="SimSun"/>
                <w:b w:val="0"/>
                <w:sz w:val="22"/>
              </w:rPr>
              <w:t xml:space="preserve">0.291052—0.306987</w:t>
            </w:r>
          </w:p>
        </w:tc>
      </w:tr>
    </w:tbl>
    <w:p w14:paraId="CA13002A">
      <w:pPr>
        <w:pStyle w:val="RWBody"/>
        <w:widowControl/>
        <w:jc w:val="both"/>
        <w:snapToGrid w:val="0"/>
      </w:pPr>
      <w:r>
        <w:rPr>
          <w:rFonts w:hint="eastAsia" w:ascii="Times New Roman" w:hAnsi="Times New Roman" w:eastAsia="SimSun"/>
          <w:sz w:val="24"/>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jc w:val="both"/>
        <w:snapToGrid w:val="0"/>
      </w:pPr>
      <w:r>
        <w:rPr>
          <w:rFonts w:hint="eastAsia" w:ascii="Times New Roman" w:hAnsi="Times New Roman" w:eastAsia="SimSun"/>
          <w:sz w:val="24"/>
        </w:rPr>
        <w:t xml:space="preserve">本轮材料独立保存于docs/evidence/aris-update-cost-20261008，数学实现位于docs/research/aris-20261008/update-cost。匿名数据解释件新增M01_UPDATE_COST组，包含原始时间、读钟、对应比值、阶段终态、独立C核验及匿名资格摘要；24份输入链接既有C01，不增加独立数据。匿名源码标识SOURCE-MATH-COST-01不是Git提交号；实际源与产物按文件摘要关联。新的研究补充件不替换已封存软件v3。</w:t>
      </w:r>
    </w:p>
    <w:p w14:paraId="CA14002C">
      <w:pPr>
        <w:pStyle w:val="RWCaption"/>
        <w:keepNext/>
        <w:widowControl/>
        <w:ind w:firstLine="0"/>
        <w:jc w:val="center"/>
        <w:snapToGrid w:val="0"/>
      </w:pPr>
      <w:r>
        <w:rPr>
          <w:rFonts w:hint="eastAsia" w:ascii="Times New Roman" w:hAnsi="Times New Roman" w:eastAsia="SimSun"/>
          <w:sz w:val="22"/>
        </w:rPr>
        <w:t xml:space="preserve">表A.3　一次干净重建后三个新进程的固定任务中位比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92"/>
        <w:gridCol w:w="2389"/>
        <w:gridCol w:w="2388"/>
        <w:gridCol w:w="2388"/>
      </w:tblGrid>
      <w:tr>
        <w:trPr>
          <w:trHeight w:val="520" w:hRule="atLeast"/>
          <w:tblHeader w:val="on"/>
          <w:cantSplit/>
          <w:tblHeader/>
        </w:trPr>
        <w:tc>
          <w:tcPr>
            <w:tcW w:type="dxa" w:w="1792"/>
            <w:tcBorders>
              <w:top w:val="single" w:sz="10" w:color="000000"/>
              <w:left w:val="nil" w:sz="5" w:color="000000"/>
              <w:bottom w:val="single" w:sz="5" w:color="000000"/>
              <w:right w:val="nil" w:sz="5" w:color="000000"/>
            </w:tcBorders>
          </w:tcPr>
          <w:p w14:paraId="CA140008">
            <w:pPr>
              <w:pStyle w:val="RWBody"/>
              <w:keepNext/>
              <w:spacing w:line="340" w:lineRule="exact" w:before="80" w:after="80"/>
              <w:ind w:firstLine="0"/>
              <w:jc w:val="center"/>
              <w:snapToGrid w:val="0"/>
            </w:pPr>
            <w:r>
              <w:rPr>
                <w:rFonts w:hint="eastAsia" w:ascii="Times New Roman" w:hAnsi="Times New Roman" w:eastAsia="SimSun"/>
                <w:b/>
                <w:sz w:val="22"/>
              </w:rPr>
              <w:t xml:space="preserve">任务（非零对）</w:t>
            </w:r>
          </w:p>
        </w:tc>
        <w:tc>
          <w:tcPr>
            <w:tcW w:type="dxa" w:w="2389"/>
            <w:tcBorders>
              <w:top w:val="single" w:sz="10" w:color="000000"/>
              <w:left w:val="nil" w:sz="5" w:color="000000"/>
              <w:bottom w:val="single" w:sz="5" w:color="000000"/>
              <w:right w:val="nil" w:sz="5" w:color="000000"/>
            </w:tcBorders>
          </w:tcPr>
          <w:p w14:paraId="CA140009">
            <w:pPr>
              <w:pStyle w:val="RWBody"/>
              <w:keepNext/>
              <w:spacing w:line="340" w:lineRule="exact" w:before="80" w:after="80"/>
              <w:ind w:firstLine="0"/>
              <w:jc w:val="center"/>
              <w:snapToGrid w:val="0"/>
            </w:pPr>
            <w:r>
              <w:rPr>
                <w:rFonts w:hint="eastAsia" w:ascii="Times New Roman" w:hAnsi="Times New Roman" w:eastAsia="SimSun"/>
                <w:b/>
                <w:sz w:val="22"/>
              </w:rPr>
              <w:t xml:space="preserve">新进程1</w:t>
            </w:r>
          </w:p>
        </w:tc>
        <w:tc>
          <w:tcPr>
            <w:tcW w:type="dxa" w:w="2388"/>
            <w:tcBorders>
              <w:top w:val="single" w:sz="10" w:color="000000"/>
              <w:left w:val="nil" w:sz="5" w:color="000000"/>
              <w:bottom w:val="single" w:sz="5" w:color="000000"/>
              <w:right w:val="nil" w:sz="5" w:color="000000"/>
            </w:tcBorders>
          </w:tcPr>
          <w:p w14:paraId="CA14000A">
            <w:pPr>
              <w:pStyle w:val="RWBody"/>
              <w:keepNext/>
              <w:spacing w:line="340" w:lineRule="exact" w:before="80" w:after="80"/>
              <w:ind w:firstLine="0"/>
              <w:jc w:val="center"/>
              <w:snapToGrid w:val="0"/>
            </w:pPr>
            <w:r>
              <w:rPr>
                <w:rFonts w:hint="eastAsia" w:ascii="Times New Roman" w:hAnsi="Times New Roman" w:eastAsia="SimSun"/>
                <w:b/>
                <w:sz w:val="22"/>
              </w:rPr>
              <w:t xml:space="preserve">新进程2</w:t>
            </w:r>
          </w:p>
        </w:tc>
        <w:tc>
          <w:tcPr>
            <w:tcW w:type="dxa" w:w="2388"/>
            <w:tcBorders>
              <w:top w:val="single" w:sz="10" w:color="000000"/>
              <w:left w:val="nil" w:sz="5" w:color="000000"/>
              <w:bottom w:val="single" w:sz="5" w:color="000000"/>
              <w:right w:val="nil" w:sz="5" w:color="000000"/>
            </w:tcBorders>
          </w:tcPr>
          <w:p w14:paraId="CA14000B">
            <w:pPr>
              <w:pStyle w:val="RWBody"/>
              <w:keepNext/>
              <w:spacing w:line="340" w:lineRule="exact" w:before="80" w:after="80"/>
              <w:ind w:firstLine="0"/>
              <w:jc w:val="center"/>
              <w:snapToGrid w:val="0"/>
            </w:pPr>
            <w:r>
              <w:rPr>
                <w:rFonts w:hint="eastAsia" w:ascii="Times New Roman" w:hAnsi="Times New Roman" w:eastAsia="SimSun"/>
                <w:b/>
                <w:sz w:val="22"/>
              </w:rPr>
              <w:t xml:space="preserve">新进程3</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0C">
            <w:pPr>
              <w:pStyle w:val="RWBody"/>
              <w:keepNext/>
              <w:spacing w:line="340" w:lineRule="exact" w:before="80" w:after="80"/>
              <w:ind w:firstLine="0"/>
              <w:jc w:val="center"/>
              <w:snapToGrid w:val="0"/>
            </w:pPr>
            <w:r>
              <w:rPr>
                <w:rFonts w:ascii="Times New Roman" w:hAnsi="Times New Roman" w:eastAsia="SimSun"/>
                <w:b w:val="0"/>
                <w:sz w:val="22"/>
              </w:rPr>
              <w:t xml:space="preserve">1（20）</w:t>
            </w:r>
          </w:p>
        </w:tc>
        <w:tc>
          <w:tcPr>
            <w:tcW w:type="dxa" w:w="2389"/>
            <w:tcBorders>
              <w:top w:val="nil" w:sz="10" w:color="000000"/>
              <w:left w:val="nil" w:sz="5" w:color="000000"/>
              <w:bottom w:val="nil" w:sz="5" w:color="000000"/>
              <w:right w:val="nil" w:sz="5" w:color="000000"/>
            </w:tcBorders>
          </w:tcPr>
          <w:p w14:paraId="CA14000D">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0E">
            <w:pPr>
              <w:pStyle w:val="RWBody"/>
              <w:keepNext/>
              <w:spacing w:line="340" w:lineRule="exact" w:before="80" w:after="80"/>
              <w:ind w:firstLine="0"/>
              <w:jc w:val="center"/>
              <w:snapToGrid w:val="0"/>
            </w:pPr>
            <w:r>
              <w:rPr>
                <w:rFonts w:ascii="Times New Roman" w:hAnsi="Times New Roman" w:eastAsia="SimSun"/>
                <w:b w:val="0"/>
                <w:sz w:val="22"/>
              </w:rPr>
              <w:t xml:space="preserve">0.2680</w:t>
            </w:r>
          </w:p>
        </w:tc>
        <w:tc>
          <w:tcPr>
            <w:tcW w:type="dxa" w:w="2388"/>
            <w:tcBorders>
              <w:top w:val="nil" w:sz="10" w:color="000000"/>
              <w:left w:val="nil" w:sz="5" w:color="000000"/>
              <w:bottom w:val="nil" w:sz="5" w:color="000000"/>
              <w:right w:val="nil" w:sz="5" w:color="000000"/>
            </w:tcBorders>
          </w:tcPr>
          <w:p w14:paraId="CA14000F">
            <w:pPr>
              <w:pStyle w:val="RWBody"/>
              <w:keepNext/>
              <w:spacing w:line="340" w:lineRule="exact" w:before="80" w:after="80"/>
              <w:ind w:firstLine="0"/>
              <w:jc w:val="center"/>
              <w:snapToGrid w:val="0"/>
            </w:pPr>
            <w:r>
              <w:rPr>
                <w:rFonts w:ascii="Times New Roman" w:hAnsi="Times New Roman" w:eastAsia="SimSun"/>
                <w:b w:val="0"/>
                <w:sz w:val="22"/>
              </w:rPr>
              <w:t xml:space="preserve">0.2677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0">
            <w:pPr>
              <w:pStyle w:val="RWBody"/>
              <w:keepNext/>
              <w:spacing w:line="340" w:lineRule="exact" w:before="80" w:after="80"/>
              <w:ind w:firstLine="0"/>
              <w:jc w:val="center"/>
              <w:snapToGrid w:val="0"/>
            </w:pPr>
            <w:r>
              <w:rPr>
                <w:rFonts w:ascii="Times New Roman" w:hAnsi="Times New Roman" w:eastAsia="SimSun"/>
                <w:b w:val="0"/>
                <w:sz w:val="22"/>
              </w:rPr>
              <w:t xml:space="preserve">2（20）</w:t>
            </w:r>
          </w:p>
        </w:tc>
        <w:tc>
          <w:tcPr>
            <w:tcW w:type="dxa" w:w="2389"/>
            <w:tcBorders>
              <w:top w:val="nil" w:sz="10" w:color="000000"/>
              <w:left w:val="nil" w:sz="5" w:color="000000"/>
              <w:bottom w:val="nil" w:sz="5" w:color="000000"/>
              <w:right w:val="nil" w:sz="5" w:color="000000"/>
            </w:tcBorders>
          </w:tcPr>
          <w:p w14:paraId="CA140011">
            <w:pPr>
              <w:pStyle w:val="RWBody"/>
              <w:keepNext/>
              <w:spacing w:line="340" w:lineRule="exact" w:before="80" w:after="80"/>
              <w:ind w:firstLine="0"/>
              <w:jc w:val="center"/>
              <w:snapToGrid w:val="0"/>
            </w:pPr>
            <w:r>
              <w:rPr>
                <w:rFonts w:ascii="Times New Roman" w:hAnsi="Times New Roman" w:eastAsia="SimSun"/>
                <w:b w:val="0"/>
                <w:sz w:val="22"/>
              </w:rPr>
              <w:t xml:space="preserve">0.3176</w:t>
            </w:r>
          </w:p>
        </w:tc>
        <w:tc>
          <w:tcPr>
            <w:tcW w:type="dxa" w:w="2388"/>
            <w:tcBorders>
              <w:top w:val="nil" w:sz="10" w:color="000000"/>
              <w:left w:val="nil" w:sz="5" w:color="000000"/>
              <w:bottom w:val="nil" w:sz="5" w:color="000000"/>
              <w:right w:val="nil" w:sz="5" w:color="000000"/>
            </w:tcBorders>
          </w:tcPr>
          <w:p w14:paraId="CA140012">
            <w:pPr>
              <w:pStyle w:val="RWBody"/>
              <w:keepNext/>
              <w:spacing w:line="340" w:lineRule="exact" w:before="80" w:after="80"/>
              <w:ind w:firstLine="0"/>
              <w:jc w:val="center"/>
              <w:snapToGrid w:val="0"/>
            </w:pPr>
            <w:r>
              <w:rPr>
                <w:rFonts w:ascii="Times New Roman" w:hAnsi="Times New Roman" w:eastAsia="SimSun"/>
                <w:b w:val="0"/>
                <w:sz w:val="22"/>
              </w:rPr>
              <w:t xml:space="preserve">0.3200</w:t>
            </w:r>
          </w:p>
        </w:tc>
        <w:tc>
          <w:tcPr>
            <w:tcW w:type="dxa" w:w="2388"/>
            <w:tcBorders>
              <w:top w:val="nil" w:sz="10" w:color="000000"/>
              <w:left w:val="nil" w:sz="5" w:color="000000"/>
              <w:bottom w:val="nil" w:sz="5" w:color="000000"/>
              <w:right w:val="nil" w:sz="5" w:color="000000"/>
            </w:tcBorders>
          </w:tcPr>
          <w:p w14:paraId="CA140013">
            <w:pPr>
              <w:pStyle w:val="RWBody"/>
              <w:keepNext/>
              <w:spacing w:line="340" w:lineRule="exact" w:before="80" w:after="80"/>
              <w:ind w:firstLine="0"/>
              <w:jc w:val="center"/>
              <w:snapToGrid w:val="0"/>
            </w:pPr>
            <w:r>
              <w:rPr>
                <w:rFonts w:ascii="Times New Roman" w:hAnsi="Times New Roman" w:eastAsia="SimSun"/>
                <w:b w:val="0"/>
                <w:sz w:val="22"/>
              </w:rPr>
              <w:t xml:space="preserve">0.3211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4">
            <w:pPr>
              <w:pStyle w:val="RWBody"/>
              <w:keepNext/>
              <w:spacing w:line="340" w:lineRule="exact" w:before="80" w:after="80"/>
              <w:ind w:firstLine="0"/>
              <w:jc w:val="center"/>
              <w:snapToGrid w:val="0"/>
            </w:pPr>
            <w:r>
              <w:rPr>
                <w:rFonts w:ascii="Times New Roman" w:hAnsi="Times New Roman" w:eastAsia="SimSun"/>
                <w:b w:val="0"/>
                <w:sz w:val="22"/>
              </w:rPr>
              <w:t xml:space="preserve">3（0）</w:t>
            </w:r>
          </w:p>
        </w:tc>
        <w:tc>
          <w:tcPr>
            <w:tcW w:type="dxa" w:w="2389"/>
            <w:tcBorders>
              <w:top w:val="nil" w:sz="10" w:color="000000"/>
              <w:left w:val="nil" w:sz="5" w:color="000000"/>
              <w:bottom w:val="nil" w:sz="5" w:color="000000"/>
              <w:right w:val="nil" w:sz="5" w:color="000000"/>
            </w:tcBorders>
          </w:tcPr>
          <w:p w14:paraId="CA140015">
            <w:pPr>
              <w:pStyle w:val="RWBody"/>
              <w:keepNext/>
              <w:spacing w:line="340" w:lineRule="exact" w:before="80" w:after="80"/>
              <w:ind w:firstLine="0"/>
              <w:jc w:val="center"/>
              <w:snapToGrid w:val="0"/>
            </w:pPr>
            <w:r>
              <w:rPr>
                <w:rFonts w:ascii="Times New Roman" w:hAnsi="Times New Roman" w:eastAsia="SimSun"/>
                <w:b w:val="0"/>
                <w:sz w:val="22"/>
              </w:rPr>
              <w:t xml:space="preserve">0.3316</w:t>
            </w:r>
          </w:p>
        </w:tc>
        <w:tc>
          <w:tcPr>
            <w:tcW w:type="dxa" w:w="2388"/>
            <w:tcBorders>
              <w:top w:val="nil" w:sz="10" w:color="000000"/>
              <w:left w:val="nil" w:sz="5" w:color="000000"/>
              <w:bottom w:val="nil" w:sz="5" w:color="000000"/>
              <w:right w:val="nil" w:sz="5" w:color="000000"/>
            </w:tcBorders>
          </w:tcPr>
          <w:p w14:paraId="CA140016">
            <w:pPr>
              <w:pStyle w:val="RWBody"/>
              <w:keepNext/>
              <w:spacing w:line="340" w:lineRule="exact" w:before="80" w:after="80"/>
              <w:ind w:firstLine="0"/>
              <w:jc w:val="center"/>
              <w:snapToGrid w:val="0"/>
            </w:pPr>
            <w:r>
              <w:rPr>
                <w:rFonts w:ascii="Times New Roman" w:hAnsi="Times New Roman" w:eastAsia="SimSun"/>
                <w:b w:val="0"/>
                <w:sz w:val="22"/>
              </w:rPr>
              <w:t xml:space="preserve">0.3262</w:t>
            </w:r>
          </w:p>
        </w:tc>
        <w:tc>
          <w:tcPr>
            <w:tcW w:type="dxa" w:w="2388"/>
            <w:tcBorders>
              <w:top w:val="nil" w:sz="10" w:color="000000"/>
              <w:left w:val="nil" w:sz="5" w:color="000000"/>
              <w:bottom w:val="nil" w:sz="5" w:color="000000"/>
              <w:right w:val="nil" w:sz="5" w:color="000000"/>
            </w:tcBorders>
          </w:tcPr>
          <w:p w14:paraId="CA140017">
            <w:pPr>
              <w:pStyle w:val="RWBody"/>
              <w:keepNext/>
              <w:spacing w:line="340" w:lineRule="exact" w:before="80" w:after="80"/>
              <w:ind w:firstLine="0"/>
              <w:jc w:val="center"/>
              <w:snapToGrid w:val="0"/>
            </w:pPr>
            <w:r>
              <w:rPr>
                <w:rFonts w:ascii="Times New Roman" w:hAnsi="Times New Roman" w:eastAsia="SimSun"/>
                <w:b w:val="0"/>
                <w:sz w:val="22"/>
              </w:rPr>
              <w:t xml:space="preserve">0.3420</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8">
            <w:pPr>
              <w:pStyle w:val="RWBody"/>
              <w:keepNext/>
              <w:spacing w:line="340" w:lineRule="exact" w:before="80" w:after="80"/>
              <w:ind w:firstLine="0"/>
              <w:jc w:val="center"/>
              <w:snapToGrid w:val="0"/>
            </w:pPr>
            <w:r>
              <w:rPr>
                <w:rFonts w:ascii="Times New Roman" w:hAnsi="Times New Roman" w:eastAsia="SimSun"/>
                <w:b w:val="0"/>
                <w:sz w:val="22"/>
              </w:rPr>
              <w:t xml:space="preserve">4（20）</w:t>
            </w:r>
          </w:p>
        </w:tc>
        <w:tc>
          <w:tcPr>
            <w:tcW w:type="dxa" w:w="2389"/>
            <w:tcBorders>
              <w:top w:val="nil" w:sz="10" w:color="000000"/>
              <w:left w:val="nil" w:sz="5" w:color="000000"/>
              <w:bottom w:val="nil" w:sz="5" w:color="000000"/>
              <w:right w:val="nil" w:sz="5" w:color="000000"/>
            </w:tcBorders>
          </w:tcPr>
          <w:p w14:paraId="CA140019">
            <w:pPr>
              <w:pStyle w:val="RWBody"/>
              <w:keepNext/>
              <w:spacing w:line="340" w:lineRule="exact" w:before="80" w:after="80"/>
              <w:ind w:firstLine="0"/>
              <w:jc w:val="center"/>
              <w:snapToGrid w:val="0"/>
            </w:pPr>
            <w:r>
              <w:rPr>
                <w:rFonts w:ascii="Times New Roman" w:hAnsi="Times New Roman" w:eastAsia="SimSun"/>
                <w:b w:val="0"/>
                <w:sz w:val="22"/>
              </w:rPr>
              <w:t xml:space="preserve">0.2768</w:t>
            </w:r>
          </w:p>
        </w:tc>
        <w:tc>
          <w:tcPr>
            <w:tcW w:type="dxa" w:w="2388"/>
            <w:tcBorders>
              <w:top w:val="nil" w:sz="10" w:color="000000"/>
              <w:left w:val="nil" w:sz="5" w:color="000000"/>
              <w:bottom w:val="nil" w:sz="5" w:color="000000"/>
              <w:right w:val="nil" w:sz="5" w:color="000000"/>
            </w:tcBorders>
          </w:tcPr>
          <w:p w14:paraId="CA14001A">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1B">
            <w:pPr>
              <w:pStyle w:val="RWBody"/>
              <w:keepNext/>
              <w:spacing w:line="340" w:lineRule="exact" w:before="80" w:after="80"/>
              <w:ind w:firstLine="0"/>
              <w:jc w:val="center"/>
              <w:snapToGrid w:val="0"/>
            </w:pPr>
            <w:r>
              <w:rPr>
                <w:rFonts w:ascii="Times New Roman" w:hAnsi="Times New Roman" w:eastAsia="SimSun"/>
                <w:b w:val="0"/>
                <w:sz w:val="22"/>
              </w:rPr>
              <w:t xml:space="preserve">0.2671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C">
            <w:pPr>
              <w:pStyle w:val="RWBody"/>
              <w:keepNext/>
              <w:spacing w:line="340" w:lineRule="exact" w:before="80" w:after="80"/>
              <w:ind w:firstLine="0"/>
              <w:jc w:val="center"/>
              <w:snapToGrid w:val="0"/>
            </w:pPr>
            <w:r>
              <w:rPr>
                <w:rFonts w:ascii="Times New Roman" w:hAnsi="Times New Roman" w:eastAsia="SimSun"/>
                <w:b w:val="0"/>
                <w:sz w:val="22"/>
              </w:rPr>
              <w:t xml:space="preserve">5（20）</w:t>
            </w:r>
          </w:p>
        </w:tc>
        <w:tc>
          <w:tcPr>
            <w:tcW w:type="dxa" w:w="2389"/>
            <w:tcBorders>
              <w:top w:val="nil" w:sz="10" w:color="000000"/>
              <w:left w:val="nil" w:sz="5" w:color="000000"/>
              <w:bottom w:val="nil" w:sz="5" w:color="000000"/>
              <w:right w:val="nil" w:sz="5" w:color="000000"/>
            </w:tcBorders>
          </w:tcPr>
          <w:p w14:paraId="CA14001D">
            <w:pPr>
              <w:pStyle w:val="RWBody"/>
              <w:keepNext/>
              <w:spacing w:line="340" w:lineRule="exact" w:before="80" w:after="80"/>
              <w:ind w:firstLine="0"/>
              <w:jc w:val="center"/>
              <w:snapToGrid w:val="0"/>
            </w:pPr>
            <w:r>
              <w:rPr>
                <w:rFonts w:ascii="Times New Roman" w:hAnsi="Times New Roman" w:eastAsia="SimSun"/>
                <w:b w:val="0"/>
                <w:sz w:val="22"/>
              </w:rPr>
              <w:t xml:space="preserve">0.2932</w:t>
            </w:r>
          </w:p>
        </w:tc>
        <w:tc>
          <w:tcPr>
            <w:tcW w:type="dxa" w:w="2388"/>
            <w:tcBorders>
              <w:top w:val="nil" w:sz="10" w:color="000000"/>
              <w:left w:val="nil" w:sz="5" w:color="000000"/>
              <w:bottom w:val="nil" w:sz="5" w:color="000000"/>
              <w:right w:val="nil" w:sz="5" w:color="000000"/>
            </w:tcBorders>
          </w:tcPr>
          <w:p w14:paraId="CA14001E">
            <w:pPr>
              <w:pStyle w:val="RWBody"/>
              <w:keepNext/>
              <w:spacing w:line="340" w:lineRule="exact" w:before="80" w:after="80"/>
              <w:ind w:firstLine="0"/>
              <w:jc w:val="center"/>
              <w:snapToGrid w:val="0"/>
            </w:pPr>
            <w:r>
              <w:rPr>
                <w:rFonts w:ascii="Times New Roman" w:hAnsi="Times New Roman" w:eastAsia="SimSun"/>
                <w:b w:val="0"/>
                <w:sz w:val="22"/>
              </w:rPr>
              <w:t xml:space="preserve">0.2950</w:t>
            </w:r>
          </w:p>
        </w:tc>
        <w:tc>
          <w:tcPr>
            <w:tcW w:type="dxa" w:w="2388"/>
            <w:tcBorders>
              <w:top w:val="nil" w:sz="10" w:color="000000"/>
              <w:left w:val="nil" w:sz="5" w:color="000000"/>
              <w:bottom w:val="nil" w:sz="5" w:color="000000"/>
              <w:right w:val="nil" w:sz="5" w:color="000000"/>
            </w:tcBorders>
          </w:tcPr>
          <w:p w14:paraId="CA14001F">
            <w:pPr>
              <w:pStyle w:val="RWBody"/>
              <w:keepNext/>
              <w:spacing w:line="340" w:lineRule="exact" w:before="80" w:after="80"/>
              <w:ind w:firstLine="0"/>
              <w:jc w:val="center"/>
              <w:snapToGrid w:val="0"/>
            </w:pPr>
            <w:r>
              <w:rPr>
                <w:rFonts w:ascii="Times New Roman" w:hAnsi="Times New Roman" w:eastAsia="SimSun"/>
                <w:b w:val="0"/>
                <w:sz w:val="22"/>
              </w:rPr>
              <w:t xml:space="preserve">0.2917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0">
            <w:pPr>
              <w:pStyle w:val="RWBody"/>
              <w:keepNext/>
              <w:spacing w:line="340" w:lineRule="exact" w:before="80" w:after="80"/>
              <w:ind w:firstLine="0"/>
              <w:jc w:val="center"/>
              <w:snapToGrid w:val="0"/>
            </w:pPr>
            <w:r>
              <w:rPr>
                <w:rFonts w:ascii="Times New Roman" w:hAnsi="Times New Roman" w:eastAsia="SimSun"/>
                <w:b w:val="0"/>
                <w:sz w:val="22"/>
              </w:rPr>
              <w:t xml:space="preserve">6（20）</w:t>
            </w:r>
          </w:p>
        </w:tc>
        <w:tc>
          <w:tcPr>
            <w:tcW w:type="dxa" w:w="2389"/>
            <w:tcBorders>
              <w:top w:val="nil" w:sz="10" w:color="000000"/>
              <w:left w:val="nil" w:sz="5" w:color="000000"/>
              <w:bottom w:val="nil" w:sz="5" w:color="000000"/>
              <w:right w:val="nil" w:sz="5" w:color="000000"/>
            </w:tcBorders>
          </w:tcPr>
          <w:p w14:paraId="CA140021">
            <w:pPr>
              <w:pStyle w:val="RWBody"/>
              <w:keepNext/>
              <w:spacing w:line="340" w:lineRule="exact" w:before="80" w:after="80"/>
              <w:ind w:firstLine="0"/>
              <w:jc w:val="center"/>
              <w:snapToGrid w:val="0"/>
            </w:pPr>
            <w:r>
              <w:rPr>
                <w:rFonts w:ascii="Times New Roman" w:hAnsi="Times New Roman" w:eastAsia="SimSun"/>
                <w:b w:val="0"/>
                <w:sz w:val="22"/>
              </w:rPr>
              <w:t xml:space="preserve">0.3237</w:t>
            </w:r>
          </w:p>
        </w:tc>
        <w:tc>
          <w:tcPr>
            <w:tcW w:type="dxa" w:w="2388"/>
            <w:tcBorders>
              <w:top w:val="nil" w:sz="10" w:color="000000"/>
              <w:left w:val="nil" w:sz="5" w:color="000000"/>
              <w:bottom w:val="nil" w:sz="5" w:color="000000"/>
              <w:right w:val="nil" w:sz="5" w:color="000000"/>
            </w:tcBorders>
          </w:tcPr>
          <w:p w14:paraId="CA140022">
            <w:pPr>
              <w:pStyle w:val="RWBody"/>
              <w:keepNext/>
              <w:spacing w:line="340" w:lineRule="exact" w:before="80" w:after="80"/>
              <w:ind w:firstLine="0"/>
              <w:jc w:val="center"/>
              <w:snapToGrid w:val="0"/>
            </w:pPr>
            <w:r>
              <w:rPr>
                <w:rFonts w:ascii="Times New Roman" w:hAnsi="Times New Roman" w:eastAsia="SimSun"/>
                <w:b w:val="0"/>
                <w:sz w:val="22"/>
              </w:rPr>
              <w:t xml:space="preserve">0.3189</w:t>
            </w:r>
          </w:p>
        </w:tc>
        <w:tc>
          <w:tcPr>
            <w:tcW w:type="dxa" w:w="2388"/>
            <w:tcBorders>
              <w:top w:val="nil" w:sz="10" w:color="000000"/>
              <w:left w:val="nil" w:sz="5" w:color="000000"/>
              <w:bottom w:val="nil" w:sz="5" w:color="000000"/>
              <w:right w:val="nil" w:sz="5" w:color="000000"/>
            </w:tcBorders>
          </w:tcPr>
          <w:p w14:paraId="CA140023">
            <w:pPr>
              <w:pStyle w:val="RWBody"/>
              <w:keepNext/>
              <w:spacing w:line="340" w:lineRule="exact" w:before="80" w:after="80"/>
              <w:ind w:firstLine="0"/>
              <w:jc w:val="center"/>
              <w:snapToGrid w:val="0"/>
            </w:pPr>
            <w:r>
              <w:rPr>
                <w:rFonts w:ascii="Times New Roman" w:hAnsi="Times New Roman" w:eastAsia="SimSun"/>
                <w:b w:val="0"/>
                <w:sz w:val="22"/>
              </w:rPr>
              <w:t xml:space="preserve">0.3241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4">
            <w:pPr>
              <w:pStyle w:val="RWBody"/>
              <w:keepNext/>
              <w:spacing w:line="340" w:lineRule="exact" w:before="80" w:after="80"/>
              <w:ind w:firstLine="0"/>
              <w:jc w:val="center"/>
              <w:snapToGrid w:val="0"/>
            </w:pPr>
            <w:r>
              <w:rPr>
                <w:rFonts w:ascii="Times New Roman" w:hAnsi="Times New Roman" w:eastAsia="SimSun"/>
                <w:b w:val="0"/>
                <w:sz w:val="22"/>
              </w:rPr>
              <w:t xml:space="preserve">7（0）</w:t>
            </w:r>
          </w:p>
        </w:tc>
        <w:tc>
          <w:tcPr>
            <w:tcW w:type="dxa" w:w="2389"/>
            <w:tcBorders>
              <w:top w:val="nil" w:sz="10" w:color="000000"/>
              <w:left w:val="nil" w:sz="5" w:color="000000"/>
              <w:bottom w:val="nil" w:sz="5" w:color="000000"/>
              <w:right w:val="nil" w:sz="5" w:color="000000"/>
            </w:tcBorders>
          </w:tcPr>
          <w:p w14:paraId="CA140025">
            <w:pPr>
              <w:pStyle w:val="RWBody"/>
              <w:keepNext/>
              <w:spacing w:line="340" w:lineRule="exact" w:before="80" w:after="80"/>
              <w:ind w:firstLine="0"/>
              <w:jc w:val="center"/>
              <w:snapToGrid w:val="0"/>
            </w:pPr>
            <w:r>
              <w:rPr>
                <w:rFonts w:ascii="Times New Roman" w:hAnsi="Times New Roman" w:eastAsia="SimSun"/>
                <w:b w:val="0"/>
                <w:sz w:val="22"/>
              </w:rPr>
              <w:t xml:space="preserve">0.3342</w:t>
            </w:r>
          </w:p>
        </w:tc>
        <w:tc>
          <w:tcPr>
            <w:tcW w:type="dxa" w:w="2388"/>
            <w:tcBorders>
              <w:top w:val="nil" w:sz="10" w:color="000000"/>
              <w:left w:val="nil" w:sz="5" w:color="000000"/>
              <w:bottom w:val="nil" w:sz="5" w:color="000000"/>
              <w:right w:val="nil" w:sz="5" w:color="000000"/>
            </w:tcBorders>
          </w:tcPr>
          <w:p w14:paraId="CA140026">
            <w:pPr>
              <w:pStyle w:val="RWBody"/>
              <w:keepNext/>
              <w:spacing w:line="340" w:lineRule="exact" w:before="80" w:after="80"/>
              <w:ind w:firstLine="0"/>
              <w:jc w:val="center"/>
              <w:snapToGrid w:val="0"/>
            </w:pPr>
            <w:r>
              <w:rPr>
                <w:rFonts w:ascii="Times New Roman" w:hAnsi="Times New Roman" w:eastAsia="SimSun"/>
                <w:b w:val="0"/>
                <w:sz w:val="22"/>
              </w:rPr>
              <w:t xml:space="preserve">0.3388</w:t>
            </w:r>
          </w:p>
        </w:tc>
        <w:tc>
          <w:tcPr>
            <w:tcW w:type="dxa" w:w="2388"/>
            <w:tcBorders>
              <w:top w:val="nil" w:sz="10" w:color="000000"/>
              <w:left w:val="nil" w:sz="5" w:color="000000"/>
              <w:bottom w:val="nil" w:sz="5" w:color="000000"/>
              <w:right w:val="nil" w:sz="5" w:color="000000"/>
            </w:tcBorders>
          </w:tcPr>
          <w:p w14:paraId="CA140027">
            <w:pPr>
              <w:pStyle w:val="RWBody"/>
              <w:keepNext/>
              <w:spacing w:line="340" w:lineRule="exact" w:before="80" w:after="80"/>
              <w:ind w:firstLine="0"/>
              <w:jc w:val="center"/>
              <w:snapToGrid w:val="0"/>
            </w:pPr>
            <w:r>
              <w:rPr>
                <w:rFonts w:ascii="Times New Roman" w:hAnsi="Times New Roman" w:eastAsia="SimSun"/>
                <w:b w:val="0"/>
                <w:sz w:val="22"/>
              </w:rPr>
              <w:t xml:space="preserve">0.3300</w:t>
            </w:r>
          </w:p>
        </w:tc>
      </w:tr>
      <w:tr>
        <w:trPr>
          <w:trHeight w:val="520" w:hRule="atLeast"/>
          <w:cantSplit/>
        </w:trPr>
        <w:tc>
          <w:tcPr>
            <w:tcW w:type="dxa" w:w="1792"/>
            <w:tcBorders>
              <w:top w:val="nil" w:sz="10" w:color="000000"/>
              <w:left w:val="nil" w:sz="5" w:color="000000"/>
              <w:bottom w:val="single" w:sz="10" w:color="000000"/>
              <w:right w:val="nil" w:sz="5" w:color="000000"/>
            </w:tcBorders>
          </w:tcPr>
          <w:p w14:paraId="CA140028">
            <w:pPr>
              <w:pStyle w:val="RWBody"/>
              <w:keepNext/>
              <w:spacing w:line="340" w:lineRule="exact" w:before="80" w:after="80"/>
              <w:ind w:firstLine="0"/>
              <w:jc w:val="center"/>
              <w:snapToGrid w:val="0"/>
            </w:pPr>
            <w:r>
              <w:rPr>
                <w:rFonts w:ascii="Times New Roman" w:hAnsi="Times New Roman" w:eastAsia="SimSun"/>
                <w:b w:val="0"/>
                <w:sz w:val="22"/>
              </w:rPr>
              <w:t xml:space="preserve">8（20）</w:t>
            </w:r>
          </w:p>
        </w:tc>
        <w:tc>
          <w:tcPr>
            <w:tcW w:type="dxa" w:w="2389"/>
            <w:tcBorders>
              <w:top w:val="nil" w:sz="10" w:color="000000"/>
              <w:left w:val="nil" w:sz="5" w:color="000000"/>
              <w:bottom w:val="single" w:sz="10" w:color="000000"/>
              <w:right w:val="nil" w:sz="5" w:color="000000"/>
            </w:tcBorders>
          </w:tcPr>
          <w:p w14:paraId="CA140029">
            <w:pPr>
              <w:pStyle w:val="RWBody"/>
              <w:keepNext/>
              <w:spacing w:line="340" w:lineRule="exact" w:before="80" w:after="80"/>
              <w:ind w:firstLine="0"/>
              <w:jc w:val="center"/>
              <w:snapToGrid w:val="0"/>
            </w:pPr>
            <w:r>
              <w:rPr>
                <w:rFonts w:ascii="Times New Roman" w:hAnsi="Times New Roman" w:eastAsia="SimSun"/>
                <w:b w:val="0"/>
                <w:sz w:val="22"/>
              </w:rPr>
              <w:t xml:space="preserve">0.2959</w:t>
            </w:r>
          </w:p>
        </w:tc>
        <w:tc>
          <w:tcPr>
            <w:tcW w:type="dxa" w:w="2388"/>
            <w:tcBorders>
              <w:top w:val="nil" w:sz="10" w:color="000000"/>
              <w:left w:val="nil" w:sz="5" w:color="000000"/>
              <w:bottom w:val="single" w:sz="10" w:color="000000"/>
              <w:right w:val="nil" w:sz="5" w:color="000000"/>
            </w:tcBorders>
          </w:tcPr>
          <w:p w14:paraId="CA14002A">
            <w:pPr>
              <w:pStyle w:val="RWBody"/>
              <w:keepNext/>
              <w:spacing w:line="340" w:lineRule="exact" w:before="80" w:after="80"/>
              <w:ind w:firstLine="0"/>
              <w:jc w:val="center"/>
              <w:snapToGrid w:val="0"/>
            </w:pPr>
            <w:r>
              <w:rPr>
                <w:rFonts w:ascii="Times New Roman" w:hAnsi="Times New Roman" w:eastAsia="SimSun"/>
                <w:b w:val="0"/>
                <w:sz w:val="22"/>
              </w:rPr>
              <w:t xml:space="preserve">0.2999</w:t>
            </w:r>
          </w:p>
        </w:tc>
        <w:tc>
          <w:tcPr>
            <w:tcW w:type="dxa" w:w="2388"/>
            <w:tcBorders>
              <w:top w:val="nil" w:sz="10" w:color="000000"/>
              <w:left w:val="nil" w:sz="5" w:color="000000"/>
              <w:bottom w:val="single" w:sz="10" w:color="000000"/>
              <w:right w:val="nil" w:sz="5" w:color="000000"/>
            </w:tcBorders>
          </w:tcPr>
          <w:p w14:paraId="CA14002B">
            <w:pPr>
              <w:pStyle w:val="RWBody"/>
              <w:keepNext/>
              <w:spacing w:line="340" w:lineRule="exact" w:before="80" w:after="80"/>
              <w:ind w:firstLine="0"/>
              <w:jc w:val="center"/>
              <w:snapToGrid w:val="0"/>
            </w:pPr>
            <w:r>
              <w:rPr>
                <w:rFonts w:ascii="Times New Roman" w:hAnsi="Times New Roman" w:eastAsia="SimSun"/>
                <w:b w:val="0"/>
                <w:sz w:val="22"/>
              </w:rPr>
              <w:t xml:space="preserve">0.2969</w:t>
            </w:r>
          </w:p>
        </w:tc>
      </w:tr>
    </w:tbl>
    <w:p w14:paraId="CA14002D">
      <w:pPr>
        <w:pStyle w:val="RWBody"/>
        <w:widowControl/>
        <w:jc w:val="both"/>
        <w:snapToGrid w:val="0"/>
      </w:pPr>
      <w:r>
        <w:rPr>
          <w:rFonts w:hint="eastAsia" w:ascii="Times New Roman" w:hAnsi="Times New Roman" w:eastAsia="SimSun"/>
          <w:sz w:val="24"/>
        </w:rPr>
        <w:t xml:space="preserve">表中为增量完整统计入口／完整求和入口的每任务十个对应窗口比值中位数，显示四位小数；十二位原值、最小/最大及资格另存。全部24行各十对合格，共240对；六个非零任务的18个中位比均小于1。任务3/7来自同一全零CSV，仅保留，不参与非零成本方向主张。三个进程共用一次新构建和同组输入，不给总体置信区间，不与原M01合并。</w:t>
      </w:r>
    </w:p>
    <w:p w14:paraId="CA14002E">
      <w:pPr>
        <w:pStyle w:val="RWBody"/>
        <w:widowControl/>
        <w:jc w:val="both"/>
        <w:snapToGrid w:val="0"/>
      </w:pPr>
      <w:r>
        <w:rPr>
          <w:rFonts w:hint="eastAsia" w:ascii="Times New Roman" w:hAnsi="Times New Roman" w:eastAsia="SimSun"/>
          <w:sz w:val="24"/>
        </w:rPr>
        <w:t xml:space="preserve">M02原值、前后源/输入/产物摘要、进程PID、命令和逐进程C审计独立保存在docs/evidence/aris-replication-20261009，复核合同与结果到主张见docs/research/aris-replication-20261009。官方工作簿原件及两项静态适用性核对另存docs/evidence/aris-resume-20261009。旧M01、原报告及既有软件和研究包保持各自身份；本次补证不关闭R02/R04或人员材料。</w:t>
      </w:r>
    </w:p>
    <w:p w14:paraId="CA160026">
      <w:pPr>
        <w:pStyle w:val="RWBody"/>
        <w:widowControl/>
        <w:jc w:val="both"/>
        <w:snapToGrid w:val="0"/>
      </w:pPr>
      <w:r>
        <w:rPr>
          <w:rFonts w:hint="eastAsia" w:ascii="Times New Roman" w:hAnsi="Times New Roman" w:eastAsia="SimSun"/>
          <w:sz w:val="24"/>
        </w:rPr>
        <w:t xml:space="preserve">G2新增材料与旧记录分别封存：匿名分发包的data/g2/保存逐次原值、逐窗口CSV及C摘要；research/g2/保存固定合同、结果到主张、生命周期和科学核对；code/g2-analysis/保存冻结C11离线分析源码。code/g2-collector/为依赖完整固定参考目录的生产者审计源，不是独立离线运行入口。G2-M、G2-C、G2-A分别是管理、普通生产者与分析来源别名，不是Git提交号；源码、普通产物、输入和处理结果按各自清单摘要关联。原47页稿及既有软件和研究包保持原身份。</w:t>
      </w:r>
    </w:p>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figure-g2-202610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49</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