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SmartPCB-XAI: An Explainable, Dual-Detector Framework for Printed Circuit Board Defect and Component Inspection with Honest Cross-Domain Evaluation</w:t>
      </w:r>
    </w:p>
    <w:p>
      <w:pPr>
        <w:spacing w:after="40"/>
        <w:jc w:val="center"/>
      </w:pPr>
      <w:r>
        <w:rPr>
          <w:rFonts w:ascii="Times New Roman" w:cs="Times New Roman" w:eastAsia="Times New Roman" w:hAnsi="Times New Roman"/>
          <w:i/>
          <w:iCs/>
          <w:sz w:val="20"/>
          <w:szCs w:val="20"/>
        </w:rPr>
        <w:t xml:space="preserve">Gowri D and Abisha Rebekkal T</w:t>
      </w:r>
    </w:p>
    <w:p>
      <w:pPr>
        <w:spacing w:after="300"/>
        <w:jc w:val="center"/>
      </w:pPr>
      <w:r>
        <w:rPr>
          <w:rFonts w:ascii="Times New Roman" w:cs="Times New Roman" w:eastAsia="Times New Roman" w:hAnsi="Times New Roman"/>
          <w:i/>
          <w:iCs/>
          <w:sz w:val="18"/>
          <w:szCs w:val="18"/>
        </w:rPr>
        <w:t xml:space="preserve">Department of Information Technology, Kongu Engineering College, Erode, Tamil Nadu, India</w:t>
      </w:r>
    </w:p>
    <w:p>
      <w:pPr>
        <w:spacing w:after="60"/>
      </w:pPr>
      <w:r>
        <w:rPr>
          <w:rFonts w:ascii="Times New Roman" w:cs="Times New Roman" w:eastAsia="Times New Roman" w:hAnsi="Times New Roman"/>
          <w:b/>
          <w:bCs/>
          <w:i/>
          <w:iCs/>
          <w:sz w:val="20"/>
          <w:szCs w:val="20"/>
        </w:rPr>
        <w:t xml:space="preserve">Abstract</w:t>
      </w:r>
    </w:p>
    <w:p>
      <w:pPr>
        <w:spacing w:after="200" w:line="264"/>
        <w:jc w:val="both"/>
      </w:pPr>
      <w:r>
        <w:rPr>
          <w:rFonts w:ascii="Times New Roman" w:cs="Times New Roman" w:eastAsia="Times New Roman" w:hAnsi="Times New Roman"/>
          <w:sz w:val="20"/>
          <w:szCs w:val="20"/>
        </w:rPr>
        <w:t xml:space="preserve">Printed circuit board (PCB) inspection increasingly relies on deep-learning object detectors, yet published systems rarely disclose the gap between headline accuracy figures and what is actually measured on independently held-out data. This paper presents SmartPCB-XAI, a dual-detector inspection platform that separates PCB defect detection (six-class taxonomy: open circuit, short, mouse-bite, spur, spurious copper, missing hole) from PCB component identification (six-class taxonomy: IC, capacitor, diode, inductor, resistor, transistor), coupled with an explainability module, a deterministic severity-scoring engine, an interactive digital-twin viewer, and automated PDF/Excel reporting. Unlike prior work that reports a single blended accuracy number, we evaluate each detector independently on its own held-out test split with reproducibility verification (identical results from persisted raw detections across repeated runs) and an explicit data-leakage audit at both the file and physical-board level. An initial externally-trained defect-detection checkpoint produced two materially different accuracy readings under two evaluators (91.47%/92.74% under a fixed-threshold custom evaluator versus 98.3% under a full precision-recall-curve, framework-native evaluator) together with an admitted, unverifiable train/test contamination risk, since its training data originated outside our locally-audited pipeline. Rather than adopting either figure, we retrained the defect detector entirely from scratch on our own locally-audited, leakage-checked DeepPCB split with a fixed random seed, eliminating this ambiguity by construction. The resulting model achieves mean Average Precision at IoU 0.5 (mAP@50) of 95.1% (mAP@50-95 = 63.1%, precision = 93.1%, recall = 90.6%) on a genuinely held-out, contamination-free test split, exceeding both the 92.3% mAP reported by a recent lightweight-YOLOv11s baseline on combined PKU-Market-PCB and DeepPCB data and our own pre-registered 93% target, with no caveat required. Our currently deployed component detector, evaluated under the same rigor, is shown to be substantially weaker (mAP@50 = 9.3%); a from-scratch retraining attempt for this detector was also undertaken but was invalidated by a dataset-configuration error (the run was accidentally pointed at the defect dataset) and its output was correctly discarded rather than reported, illustrating the same evaluation discipline applied throughout this work. We report this shortfall transparently, together with root-cause analysis (severe class imbalance, a partially unmatched taxonomy, a small curated evaluation split, and a newly-identified board-level imbalance in which a single physical board accounts for 64% of test images). We additionally introduce an explicit per-detection class-mapping transparency flag that distinguishes canonical, taxonomy-verified detections from raw, unmapped ones instead of silently suppressing or potentially mislabeling them. We conclude with a concrete, evidence-based improvement plan for the component detector — including architectural techniques adapted from lightweight-backbone literature (efficient attention necks, Inner-IoU/Wise-IoU losses) and a tiled high-resolution inference strategy that we show mitigates a measured 94.2% tiny-object rate among component bounding boxes.</w:t>
      </w:r>
    </w:p>
    <w:p>
      <w:pPr>
        <w:spacing w:after="30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—PCB defect detection, PCB component detection, YOLOv11, explainable AI, data leakage audit, reproducibility, digital twin, Industry 4.0.</w:t>
      </w:r>
    </w:p>
    <w:p>
      <w:pPr>
        <w:sectPr>
          <w:pgSz w:w="12240" w:h="15840" w:orient="portrait"/>
          <w:pgMar w:top="1080" w:right="1080" w:bottom="1080" w:left="1080" w:header="708" w:footer="708" w:gutter="0"/>
          <w:pgNumType/>
          <w:docGrid w:linePitch="360"/>
        </w:sectPr>
      </w:pPr>
    </w:p>
    <w:p>
      <w:pPr>
        <w:spacing w:after="120" w:before="240"/>
        <w:jc w:val="left"/>
      </w:pPr>
      <w:r>
        <w:rPr>
          <w:rFonts w:ascii="Times New Roman" w:cs="Times New Roman" w:eastAsia="Times New Roman" w:hAnsi="Times New Roman"/>
          <w:b/>
          <w:bCs/>
          <w:sz w:val="20"/>
          <w:szCs w:val="20"/>
        </w:rPr>
        <w:t xml:space="preserve">I. INTRODUCTION</w:t>
      </w:r>
    </w:p>
    <w:p>
      <w:pPr>
        <w:spacing w:after="120" w:line="264"/>
        <w:jc w:val="both"/>
      </w:pPr>
      <w:r>
        <w:rPr>
          <w:rFonts w:ascii="Times New Roman" w:cs="Times New Roman" w:eastAsia="Times New Roman" w:hAnsi="Times New Roman"/>
          <w:sz w:val="20"/>
          <w:szCs w:val="20"/>
        </w:rPr>
        <w:t xml:space="preserve">Printed circuit boards (PCBs) underlie virtually all modern electronics, and even minor manufacturing defects — a missing hole, a mouse-bite along a trace edge, an open or shorted conductor, a spur, or spurious copper — can propagate into field failures. Manual visual inspection and classical automated optical inspection (AOI) remain slow, inconsistent, and prone to both missed detections and false alarms [1]. Deep-learning object detectors, particularly the YOLO family, have become the dominant approach for automating this task because they provide single-pass, real-time-capable detection with competitive accuracy [2].</w:t>
      </w:r>
    </w:p>
    <w:p>
      <w:pPr>
        <w:spacing w:after="120" w:line="264"/>
        <w:jc w:val="both"/>
      </w:pPr>
      <w:r>
        <w:rPr>
          <w:rFonts w:ascii="Times New Roman" w:cs="Times New Roman" w:eastAsia="Times New Roman" w:hAnsi="Times New Roman"/>
          <w:sz w:val="20"/>
          <w:szCs w:val="20"/>
        </w:rPr>
        <w:t xml:space="preserve">A parallel and less-studied problem is PCB component identification — recognizing which electronic parts (ICs, capacitors, diodes, inductors, resistors, transistors) are present and where — which is a prerequisite for higher-level tasks such as automated bill-of-materials verification, assembly QA, and counterfeit-part screening. Component bounding boxes are frequently an order of magnitude smaller, relative to the full board image, than defect regions, which introduces a distinct tiny-object detection challenge that is largely absent from the defect-detection literature.</w:t>
      </w:r>
    </w:p>
    <w:p>
      <w:pPr>
        <w:spacing w:after="120" w:line="264"/>
        <w:jc w:val="both"/>
      </w:pPr>
      <w:r>
        <w:rPr>
          <w:rFonts w:ascii="Times New Roman" w:cs="Times New Roman" w:eastAsia="Times New Roman" w:hAnsi="Times New Roman"/>
          <w:sz w:val="20"/>
          <w:szCs w:val="20"/>
        </w:rPr>
        <w:t xml:space="preserve">Much of the published PCB-inspection literature reports a single headline accuracy number — often mean Average Precision (mAP) — without disclosing (a) whether the figure came from a validation or a held-out test split, (b) whether the reported number was obtained at a confidence threshold that was itself selected using the same data being reported on, and (c) whether the training and evaluation data share the same acquisition pipeline or physical hardware. These are not academic nitpicks: in the course of building the system described here, we discovered and document in Section V a case in which an internal evaluation script produced a materially different, and non-standard, "mAP" figure for every confidence threshold tested — a symptom of a metric that was not being computed as a true precision–recall integral. We treat this discovery as a contribution in its own right, since it generalizes to any project that layers custom evaluation scripts on top of a detection framework.</w:t>
      </w:r>
    </w:p>
    <w:p>
      <w:pPr>
        <w:spacing w:after="120" w:line="264"/>
        <w:jc w:val="both"/>
      </w:pPr>
      <w:r>
        <w:rPr>
          <w:rFonts w:ascii="Times New Roman" w:cs="Times New Roman" w:eastAsia="Times New Roman" w:hAnsi="Times New Roman"/>
          <w:sz w:val="20"/>
          <w:szCs w:val="20"/>
        </w:rPr>
        <w:t xml:space="preserve">This paper makes five contributions. First, we present SmartPCB-XAI, a dual-YOLO inspection platform with an explainability layer, deterministic severity scoring, a digital-twin visualization, and automated reporting, built and tested end-to-end. Second, we report defect-detection and component-detection accuracy separately, each on its own genuinely held-out test split, with an explicit reproducibility check. Third, we perform and report a full data-leakage audit at both the filename and physical-board level, and we disclose an unresolved train/test domain-boundary limitation arising from externally-trained checkpoints, including a concrete methodological reconciliation between two evaluators that produced materially different accuracy figures for the identical checkpoint. Fourth, we propose and implement an explicit per-detection class-mapping transparency flag as a principled alternative to silently suppressing or mislabeling detections that fall outside a curated taxonomy. Fifth, we distill a concrete, technique-level improvement roadmap, informed by a recent lightweight-YOLOv11s PCB defect detector [3], toward closing the gap between our current component-detection accuracy and our defect-detection accuracy.</w:t>
      </w:r>
    </w:p>
    <w:p>
      <w:pPr>
        <w:spacing w:after="120" w:before="240"/>
        <w:jc w:val="left"/>
      </w:pPr>
      <w:r>
        <w:rPr>
          <w:rFonts w:ascii="Times New Roman" w:cs="Times New Roman" w:eastAsia="Times New Roman" w:hAnsi="Times New Roman"/>
          <w:b/>
          <w:bCs/>
          <w:sz w:val="20"/>
          <w:szCs w:val="20"/>
        </w:rPr>
        <w:t xml:space="preserve">II. RELATED WORK</w:t>
      </w:r>
    </w:p>
    <w:p>
      <w:pPr>
        <w:spacing w:after="120" w:line="264"/>
        <w:jc w:val="both"/>
      </w:pPr>
      <w:r>
        <w:rPr>
          <w:rFonts w:ascii="Times New Roman" w:cs="Times New Roman" w:eastAsia="Times New Roman" w:hAnsi="Times New Roman"/>
          <w:sz w:val="20"/>
          <w:szCs w:val="20"/>
        </w:rPr>
        <w:t xml:space="preserve">Deep-learning PCB defect detection has progressed through successive YOLO generations. Tang et al. introduced the DeepPCB dataset and an early online defect detector [4], establishing the six-class defect taxonomy (missing hole, mouse-bite, open circuit, short, spur, spurious copper) used throughout the subsequent literature and adopted in this work. More recent work targets the joint objectives of accuracy and lightweight, edge-deployable design. Ye et al. [3] propose a lightweight YOLOv11s variant that replaces the backbone with a sandwich-layout EfficientViT module, replaces the neck's C3k2 blocks with a FasterNet partial-convolution and Efficient Multi-scale Attention (EMA) design (C3k2_Faster_EMA), and replaces the CIoU loss with a combined Inner-IoU/Wise-IoU_v3 loss (Inner_Wise_IoU). Trained and evaluated on the combined PKU-Market-PCB and DeepPCB datasets, their model attains 92.3% mAP@50 while reducing parameters by 61.7% and model size by 58.3% relative to a standard YOLOv11s baseline, and is further validated on the RK3588 edge platform after INT8/asymmetric quantization. We adopt this paper as our primary accuracy benchmark because it uses the same defect taxonomy and one of the same datasets (DeepPCB) as our system, and because its ablation methodology — isolating the contribution of the backbone, neck, and loss changes individually — is a template we follow in our own proposed improvement plan (Section VI).</w:t>
      </w:r>
    </w:p>
    <w:p>
      <w:pPr>
        <w:spacing w:after="120" w:line="264"/>
        <w:jc w:val="both"/>
      </w:pPr>
      <w:r>
        <w:rPr>
          <w:rFonts w:ascii="Times New Roman" w:cs="Times New Roman" w:eastAsia="Times New Roman" w:hAnsi="Times New Roman"/>
          <w:sz w:val="20"/>
          <w:szCs w:val="20"/>
        </w:rPr>
        <w:t xml:space="preserve">Explainability in visual defect detection is commonly approached via gradient-weighted class activation mapping (Grad-CAM) [5] and its refinement Grad-CAM++ [6], which weight convolutional feature maps by class-specific gradients to localize the image regions responsible for a prediction. A recurring integrity issue in applied systems is labeling a cheaper activation-based heuristic as "Grad-CAM" without implementing the gradient-weighting step; we discuss in Section IV how our own system avoids this by explicit, code-level relabeling.</w:t>
      </w:r>
    </w:p>
    <w:p>
      <w:pPr>
        <w:spacing w:after="120" w:line="264"/>
        <w:jc w:val="both"/>
      </w:pPr>
      <w:r>
        <w:rPr>
          <w:rFonts w:ascii="Times New Roman" w:cs="Times New Roman" w:eastAsia="Times New Roman" w:hAnsi="Times New Roman"/>
          <w:sz w:val="20"/>
          <w:szCs w:val="20"/>
        </w:rPr>
        <w:t xml:space="preserve">Digital-twin concepts for manufacturing quality have been surveyed by Tao et al. [7], who describe the general pattern of mirroring a physical asset's state in an interactive virtual model for monitoring and diagnosis; our digital-twin module applies this pattern narrowly to per-board component and defect visualization rather than full production-line simulation. On explainable AI for industrial applications more broadly, Bhattacharya and Cloutier [8] discuss the gap between interpretability techniques and the trust requirements of safety- or quality-critical industrial deployment, motivating our decision to disclose, rather than obscure, the limitations of our own attribution method.</w:t>
      </w:r>
    </w:p>
    <w:p>
      <w:pPr>
        <w:spacing w:after="120" w:before="240"/>
        <w:jc w:val="left"/>
      </w:pPr>
      <w:r>
        <w:rPr>
          <w:rFonts w:ascii="Times New Roman" w:cs="Times New Roman" w:eastAsia="Times New Roman" w:hAnsi="Times New Roman"/>
          <w:b/>
          <w:bCs/>
          <w:sz w:val="20"/>
          <w:szCs w:val="20"/>
        </w:rPr>
        <w:t xml:space="preserve">III. PROPOSED SYSTEM ARCHITECTURE</w:t>
      </w:r>
    </w:p>
    <w:p>
      <w:pPr>
        <w:spacing w:after="120" w:line="264"/>
        <w:jc w:val="both"/>
      </w:pPr>
      <w:r>
        <w:rPr>
          <w:rFonts w:ascii="Times New Roman" w:cs="Times New Roman" w:eastAsia="Times New Roman" w:hAnsi="Times New Roman"/>
          <w:sz w:val="20"/>
          <w:szCs w:val="20"/>
        </w:rPr>
        <w:t xml:space="preserve">SmartPCB-XAI is organized as four cooperating layers: (1) a Python AI layer containing two independent YOLOv11 detectors (defect and component), an explainability module, a deterministic severity/quality-scoring engine, and a rule-based repair-recommendation knowledge base; (2) a FastAPI microservice exposing a single inspection endpoint that orchestrates both detectors and assembles a unified response; (3) a Node.js/Express application backend that persists inspections, users, and engineer feedback to MongoDB and proxies PDF/Excel report generation; and (4) a React/TypeScript dashboard providing five task-oriented views — live inspection, digital twin, analytics, continuous-learning feedback, and model-performance benchmarks.</w:t>
      </w:r>
    </w:p>
    <w:p>
      <w:pPr>
        <w:spacing w:after="120" w:line="264"/>
        <w:jc w:val="both"/>
      </w:pPr>
      <w:r>
        <w:rPr>
          <w:rFonts w:ascii="Times New Roman" w:cs="Times New Roman" w:eastAsia="Times New Roman" w:hAnsi="Times New Roman"/>
          <w:sz w:val="20"/>
          <w:szCs w:val="20"/>
        </w:rPr>
        <w:t xml:space="preserve">Deliberately separating defect detection from component detection, rather than training one multi-task model, allows each detector to be evaluated, versioned, and — critically — reported on independently, which is the methodological stance this paper argues for. A single inspection request is dispatched to both detectors; the defect detector's output feeds the severity engine (Section IV-C) and the repair-recommendation lookup, while the component detector's output feeds the digital-twin's per-component labeling. Confidence-gated fallbacks and explicit "suspicious zero-detection" logic distinguish three inspection outcomes — a genuinely clean board, a suspicious zero-detection result requiring human review, and an outright inference error — so that a pipeline failure is never silently rendered as a passing inspection.</w:t>
      </w:r>
    </w:p>
    <w:p>
      <w:pPr>
        <w:spacing w:after="120" w:line="264"/>
        <w:jc w:val="both"/>
      </w:pPr>
      <w:r>
        <w:rPr>
          <w:rFonts w:ascii="Times New Roman" w:cs="Times New Roman" w:eastAsia="Times New Roman" w:hAnsi="Times New Roman"/>
          <w:sz w:val="20"/>
          <w:szCs w:val="20"/>
        </w:rPr>
        <w:t xml:space="preserve">Explainability is provided per inspected defect via an activation-energy heat map: the mean absolute activation across channels of a late convolutional layer, optionally masked to the predicted defect's bounding box and blended into an overlay image. We deliberately label this module activation_energy_approximation in both code and API payload rather than "Grad-CAM," because it does not perform the gradient back-propagation step that defines true Grad-CAM/Grad-CAM++ [5], [6]; a class-discriminative, gradient-weighted variant is left as future work. This labeling decision reflects the paper's broader thesis that a system's self-reported capability claims should match its implementation exactly.</w:t>
      </w:r>
    </w:p>
    <w:p>
      <w:pPr>
        <w:sectPr>
          <w:type w:val="continuous"/>
          <w:pgSz w:w="12240" w:h="15840" w:orient="portrait"/>
          <w:pgMar w:top="1080" w:right="1080" w:bottom="1080" w:left="1080" w:header="708" w:footer="708" w:gutter="0"/>
          <w:pgNumType/>
          <w:cols w:space="420" w:num="2"/>
          <w:docGrid w:linePitch="360"/>
        </w:sectPr>
      </w:pPr>
    </w:p>
    <w:p>
      <w:pPr>
        <w:spacing w:after="120" w:before="240"/>
        <w:jc w:val="left"/>
      </w:pPr>
      <w:r>
        <w:rPr>
          <w:rFonts w:ascii="Times New Roman" w:cs="Times New Roman" w:eastAsia="Times New Roman" w:hAnsi="Times New Roman"/>
          <w:b/>
          <w:bCs/>
          <w:sz w:val="20"/>
          <w:szCs w:val="20"/>
        </w:rPr>
        <w:t xml:space="preserve">IV. DATASET CONSTRUCTION AND METHODOLOGY</w:t>
      </w:r>
    </w:p>
    <w:p>
      <w:pPr>
        <w:spacing w:after="80" w:before="160"/>
      </w:pPr>
      <w:r>
        <w:rPr>
          <w:rFonts w:ascii="Times New Roman" w:cs="Times New Roman" w:eastAsia="Times New Roman" w:hAnsi="Times New Roman"/>
          <w:b/>
          <w:bCs/>
          <w:i/>
          <w:iCs/>
          <w:sz w:val="20"/>
          <w:szCs w:val="20"/>
        </w:rPr>
        <w:t xml:space="preserve">A. Defect Dataset</w:t>
      </w:r>
    </w:p>
    <w:p>
      <w:pPr>
        <w:spacing w:after="120" w:line="264"/>
        <w:jc w:val="both"/>
      </w:pPr>
      <w:r>
        <w:rPr>
          <w:rFonts w:ascii="Times New Roman" w:cs="Times New Roman" w:eastAsia="Times New Roman" w:hAnsi="Times New Roman"/>
          <w:sz w:val="20"/>
          <w:szCs w:val="20"/>
        </w:rPr>
        <w:t xml:space="preserve">The defect detector is trained and evaluated on DeepPCB [4], comprising 1,500 image pairs across six canonical defect classes. The local corpus was split 850/150/500 (train/val/test), and a full leakage audit (Section IV-D) confirmed zero board-level or filename-level cross-split contamination.</w:t>
      </w:r>
    </w:p>
    <w:p>
      <w:pPr>
        <w:spacing w:after="80" w:before="160"/>
      </w:pPr>
      <w:r>
        <w:rPr>
          <w:rFonts w:ascii="Times New Roman" w:cs="Times New Roman" w:eastAsia="Times New Roman" w:hAnsi="Times New Roman"/>
          <w:b/>
          <w:bCs/>
          <w:i/>
          <w:iCs/>
          <w:sz w:val="20"/>
          <w:szCs w:val="20"/>
        </w:rPr>
        <w:t xml:space="preserve">B. Component Dataset</w:t>
      </w:r>
    </w:p>
    <w:p>
      <w:pPr>
        <w:spacing w:after="120" w:line="264"/>
        <w:jc w:val="both"/>
      </w:pPr>
      <w:r>
        <w:rPr>
          <w:rFonts w:ascii="Times New Roman" w:cs="Times New Roman" w:eastAsia="Times New Roman" w:hAnsi="Times New Roman"/>
          <w:sz w:val="20"/>
          <w:szCs w:val="20"/>
        </w:rPr>
        <w:t xml:space="preserve">The component dataset ("components_unified") merges two sources: (i) FICS-PCB DSLR imagery [9], tiled from full-board photographs into 640x640 windows to address the extreme scale mismatch between full-board resolution and individual component size, after first discovering and correcting a label-generation defect in which approximately 89% of bounding boxes had been assigned incorrect class IDs; and (ii) a Roboflow-hosted PCB component dataset whose raw annotation schema used 4,495 fine-grained, per-reference-designator classes (e.g., "capacitor C47"), which we consolidated via a keyword-mapping script into the same six canonical component classes used elsewhere in the system. After a subsequent audit identified and excluded four image/label pairs left with zero remaining boxes following an earlier out-of-range-class-ID correction, the merged dataset totals 1,009 images and 33,156 boxes, split 804/116/89 (train/val/test).</w:t>
      </w:r>
    </w:p>
    <w:p>
      <w:pPr>
        <w:spacing w:after="120" w:line="264"/>
        <w:jc w:val="both"/>
      </w:pPr>
      <w:r>
        <w:rPr>
          <w:rFonts w:ascii="Times New Roman" w:cs="Times New Roman" w:eastAsia="Times New Roman" w:hAnsi="Times New Roman"/>
          <w:sz w:val="20"/>
          <w:szCs w:val="20"/>
        </w:rPr>
        <w:t xml:space="preserve">A dedicated tiny-object analysis found that 94.2% of component bounding boxes are smaller than 32x32 pixels when rendered on a 640x640 tile, with resistors, capacitors, diodes, and transistors each exceeding 99% tiny-object incidence; only the IC class is reasonably sized (51.6% tiny). This finding motivated a high-resolution tiled-inference strategy (960x960 tiles, 33% overlap, cross-tile non-maximum-suppression merging) which on a spot-check image increased raw detection count from a single-pass baseline to a count exceeding the manually-verified ground-truth box count, though we note in Section V-C that a raw detection-count ratio is not itself a precision/recall metric and must not be substituted for one.</w:t>
      </w:r>
    </w:p>
    <w:p>
      <w:pPr>
        <w:spacing w:after="80" w:before="160"/>
      </w:pPr>
      <w:r>
        <w:rPr>
          <w:rFonts w:ascii="Times New Roman" w:cs="Times New Roman" w:eastAsia="Times New Roman" w:hAnsi="Times New Roman"/>
          <w:b/>
          <w:bCs/>
          <w:i/>
          <w:iCs/>
          <w:sz w:val="20"/>
          <w:szCs w:val="20"/>
        </w:rPr>
        <w:t xml:space="preserve">C. Severity and Quality Scoring</w:t>
      </w:r>
    </w:p>
    <w:p>
      <w:pPr>
        <w:spacing w:after="120" w:line="264"/>
        <w:jc w:val="both"/>
      </w:pPr>
      <w:r>
        <w:rPr>
          <w:rFonts w:ascii="Times New Roman" w:cs="Times New Roman" w:eastAsia="Times New Roman" w:hAnsi="Times New Roman"/>
          <w:sz w:val="20"/>
          <w:szCs w:val="20"/>
        </w:rPr>
        <w:t xml:space="preserve">Each detected defect receives a deterministic severity score in [0,100]: base = per-class base weight (short 90, open 85, pin-hole 60, mouse-bite 55, spur 45, copper 35); the base is multiplied by a component-criticality factor when the defect lies near a component of known criticality (IC 1.5, transistor 1.3, diode/relay 1.2, battery 1.4, switch 1.1, inductor 1.1, others 1.0), a normalized-area size multiplier (1 + min(1, area_norm x 10)), and a confidence-scaled factor (0.7 + 0.3 x confidence), then clamped to [5,100]. A board-level quality score subtracts a per-defect penalty (severity/5 x confidence) from 100, and is mapped to one of four grade bands (EXCELLENT/PASS, ACCEPTABLE/PASS-ADVISORY, MARGINAL/REWORK-REQUIRED, REJECT/FAIL) with any single CRITICAL-severity defect forcing a REJECT outcome regardless of the aggregate score. We emphasize, as our own internal documentation does, that this is a project-defined deterministic score, not a numeric implementation of the IPC-A-610 [10] workmanship standard, which is cited here only for defect nomenclature and qualitative guidance.</w:t>
      </w:r>
    </w:p>
    <w:p>
      <w:pPr>
        <w:spacing w:after="80" w:before="160"/>
      </w:pPr>
      <w:r>
        <w:rPr>
          <w:rFonts w:ascii="Times New Roman" w:cs="Times New Roman" w:eastAsia="Times New Roman" w:hAnsi="Times New Roman"/>
          <w:b/>
          <w:bCs/>
          <w:i/>
          <w:iCs/>
          <w:sz w:val="20"/>
          <w:szCs w:val="20"/>
        </w:rPr>
        <w:t xml:space="preserve">D. Data Leakage Audit</w:t>
      </w:r>
    </w:p>
    <w:p>
      <w:pPr>
        <w:spacing w:after="120" w:line="264"/>
        <w:jc w:val="both"/>
      </w:pPr>
      <w:r>
        <w:rPr>
          <w:rFonts w:ascii="Times New Roman" w:cs="Times New Roman" w:eastAsia="Times New Roman" w:hAnsi="Times New Roman"/>
          <w:sz w:val="20"/>
          <w:szCs w:val="20"/>
        </w:rPr>
        <w:t xml:space="preserve">Both local datasets were audited for board-ID and filename cross-split leakage, exact and perceptual-hash near-duplicate detection, malformed bounding boxes, and out-of-range class indices, using an automated validator whose raw output is preserved for inspection. Board-level and filename-level cross-split leakage were both zero for both datasets. All identified exact-duplicate and near-duplicate image groups (arising from the tiling pipeline producing highly similar adjacent windows) were confined entirely within the training split. Thirteen out-of-range class-index label rows (class index 7 against a 6-class schema) were identified in the component dataset and are documented as a residual data defect rather than a leakage issue. Critically, because the deployed model checkpoints were trained in an external environment on data not included in this repository, split-leakage cleanliness within the local dataset does not by itself establish that the local test split is disjoint from whatever data produced the checkpoint; we therefore characterize our test-set metrics as generalization metrics across an unverified domain boundary rather than strict same-distribution held-out metrics, and we flag this as the single most important caveat attached to every accuracy figure in Section V.</w:t>
      </w:r>
    </w:p>
    <w:p>
      <w:pPr>
        <w:spacing w:after="120" w:before="240"/>
        <w:jc w:val="left"/>
      </w:pPr>
      <w:r>
        <w:rPr>
          <w:rFonts w:ascii="Times New Roman" w:cs="Times New Roman" w:eastAsia="Times New Roman" w:hAnsi="Times New Roman"/>
          <w:b/>
          <w:bCs/>
          <w:sz w:val="20"/>
          <w:szCs w:val="20"/>
        </w:rPr>
        <w:t xml:space="preserve">V. EXPERIMENTAL RESULTS</w:t>
      </w:r>
    </w:p>
    <w:p>
      <w:pPr>
        <w:spacing w:after="120" w:line="264"/>
        <w:jc w:val="both"/>
      </w:pPr>
      <w:r>
        <w:rPr>
          <w:rFonts w:ascii="Times New Roman" w:cs="Times New Roman" w:eastAsia="Times New Roman" w:hAnsi="Times New Roman"/>
          <w:sz w:val="20"/>
          <w:szCs w:val="20"/>
        </w:rPr>
        <w:t xml:space="preserve">All metrics below were obtained via the Ultralytics YOLO validation API (model.val(), split="test") and were confirmed reproducible: re-scoring from persisted per-image raw detections and ground truth produced numerically identical results to the original evaluation run. No metric in this section was tuned on the split it is reported on; where a confidence threshold was calibrated, calibration used only the validation split, and the resulting threshold was then applied, unmodified, to the test split.</w:t>
      </w:r>
    </w:p>
    <w:p>
      <w:pPr>
        <w:spacing w:after="80" w:before="160"/>
      </w:pPr>
      <w:r>
        <w:rPr>
          <w:rFonts w:ascii="Times New Roman" w:cs="Times New Roman" w:eastAsia="Times New Roman" w:hAnsi="Times New Roman"/>
          <w:b/>
          <w:bCs/>
          <w:i/>
          <w:iCs/>
          <w:sz w:val="20"/>
          <w:szCs w:val="20"/>
        </w:rPr>
        <w:t xml:space="preserve">A. Defect Detector Results</w:t>
      </w:r>
    </w:p>
    <w:p>
      <w:pPr>
        <w:spacing w:after="200" w:before="80"/>
        <w:jc w:val="center"/>
      </w:pPr>
      <w:r>
        <w:rPr>
          <w:rFonts w:ascii="Times New Roman" w:cs="Times New Roman" w:eastAsia="Times New Roman" w:hAnsi="Times New Roman"/>
          <w:b/>
          <w:bCs/>
          <w:sz w:val="18"/>
          <w:szCs w:val="18"/>
        </w:rPr>
        <w:t xml:space="preserve">TABLE I. Defect Detector — Held-Out Test Set (500 images, 3,140 GT boxes)</w:t>
      </w:r>
    </w:p>
    <w:tbl>
      <w:tblPr>
        <w:tblW w:type="dxa" w:w="10080"/>
        <w:tblBorders>
          <w:top w:val="single" w:color="000000" w:sz="4"/>
          <w:left w:val="single" w:color="000000" w:sz="4"/>
          <w:bottom w:val="single" w:color="000000" w:sz="4"/>
          <w:right w:val="single" w:color="000000" w:sz="4"/>
          <w:insideH w:val="single" w:color="999999" w:sz="2"/>
          <w:insideV w:val="single" w:color="999999" w:sz="2"/>
        </w:tblBorders>
      </w:tblPr>
      <w:tblGrid>
        <w:gridCol w:w="3000"/>
        <w:gridCol w:w="2400"/>
        <w:gridCol w:w="1400"/>
        <w:gridCol w:w="1600"/>
        <w:gridCol w:w="1680"/>
      </w:tblGrid>
      <w:tr>
        <w:tc>
          <w:tcPr>
            <w:tcW w:type="dxa" w:w="30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Model / Threshold</w:t>
            </w:r>
          </w:p>
        </w:tc>
        <w:tc>
          <w:tcPr>
            <w:tcW w:type="dxa" w:w="24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Selection</w:t>
            </w:r>
          </w:p>
        </w:tc>
        <w:tc>
          <w:tcPr>
            <w:tcW w:type="dxa" w:w="14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mAP@50</w:t>
            </w:r>
          </w:p>
        </w:tc>
        <w:tc>
          <w:tcPr>
            <w:tcW w:type="dxa" w:w="16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mAP@50-95</w:t>
            </w:r>
          </w:p>
        </w:tc>
        <w:tc>
          <w:tcPr>
            <w:tcW w:type="dxa" w:w="168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Micro-F1</w:t>
            </w:r>
          </w:p>
        </w:tc>
      </w:tr>
      <w:tr>
        <w:tc>
          <w:tcPr>
            <w:tcW w:type="dxa" w:w="3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Legacy checkpoint, 0.25</w:t>
            </w:r>
          </w:p>
        </w:tc>
        <w:tc>
          <w:tcPr>
            <w:tcW w:type="dxa" w:w="2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Default, fixed-threshold evaluator</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91.47%</w:t>
            </w:r>
          </w:p>
        </w:tc>
        <w:tc>
          <w:tcPr>
            <w:tcW w:type="dxa" w:w="1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72.33%</w:t>
            </w:r>
          </w:p>
        </w:tc>
        <w:tc>
          <w:tcPr>
            <w:tcW w:type="dxa" w:w="168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94.68%</w:t>
            </w:r>
          </w:p>
        </w:tc>
      </w:tr>
      <w:tr>
        <w:tc>
          <w:tcPr>
            <w:tcW w:type="dxa" w:w="3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Legacy checkpoint, 0.70</w:t>
            </w:r>
          </w:p>
        </w:tc>
        <w:tc>
          <w:tcPr>
            <w:tcW w:type="dxa" w:w="2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Val-calibrated, fixed-threshold evaluator</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92.74%</w:t>
            </w:r>
          </w:p>
        </w:tc>
        <w:tc>
          <w:tcPr>
            <w:tcW w:type="dxa" w:w="1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73.83%</w:t>
            </w:r>
          </w:p>
        </w:tc>
        <w:tc>
          <w:tcPr>
            <w:tcW w:type="dxa" w:w="168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95.96%</w:t>
            </w:r>
          </w:p>
        </w:tc>
      </w:tr>
      <w:tr>
        <w:tc>
          <w:tcPr>
            <w:tcW w:type="dxa" w:w="3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Legacy checkpoint</w:t>
            </w:r>
          </w:p>
        </w:tc>
        <w:tc>
          <w:tcPr>
            <w:tcW w:type="dxa" w:w="2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Full PR-curve evaluator (contamination-suspect)</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98.3%</w:t>
            </w:r>
          </w:p>
        </w:tc>
        <w:tc>
          <w:tcPr>
            <w:tcW w:type="dxa" w:w="1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c>
          <w:tcPr>
            <w:tcW w:type="dxa" w:w="168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r>
      <w:tr>
        <w:tc>
          <w:tcPr>
            <w:tcW w:type="dxa" w:w="3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From-scratch model (PRIMARY)</w:t>
            </w:r>
          </w:p>
        </w:tc>
        <w:tc>
          <w:tcPr>
            <w:tcW w:type="dxa" w:w="2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Full PR-curve evaluator, seed 42, local data only</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95.1%</w:t>
            </w:r>
          </w:p>
        </w:tc>
        <w:tc>
          <w:tcPr>
            <w:tcW w:type="dxa" w:w="1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63.1%</w:t>
            </w:r>
          </w:p>
        </w:tc>
        <w:tc>
          <w:tcPr>
            <w:tcW w:type="dxa" w:w="168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r>
    </w:tbl>
    <w:p>
      <w:pPr>
        <w:spacing w:after="120" w:line="264"/>
        <w:jc w:val="both"/>
      </w:pPr>
      <w:r>
        <w:rPr>
          <w:rFonts w:ascii="Times New Roman" w:cs="Times New Roman" w:eastAsia="Times New Roman" w:hAnsi="Times New Roman"/>
          <w:sz w:val="20"/>
          <w:szCs w:val="20"/>
        </w:rPr>
        <w:t xml:space="preserve">The from-scratch model row is the only defect-detection figure this paper cites without caveat: precision = 93.1% and recall = 90.6% (not separately tabulated above) accompany its mAP@50 of 95.1%. This model was trained exclusively on the locally-audited, leakage-checked DeepPCB train split (Section IV-A) with a fixed random seed, and evaluated on the same held-out test split used for all other rows in Table I, making cross-row comparison on identical test data valid even though the training data differs between the legacy and from-scratch models.</w:t>
      </w:r>
    </w:p>
    <w:p>
      <w:pPr>
        <w:spacing w:after="200" w:before="80"/>
        <w:jc w:val="center"/>
      </w:pPr>
      <w:r>
        <w:rPr>
          <w:rFonts w:ascii="Times New Roman" w:cs="Times New Roman" w:eastAsia="Times New Roman" w:hAnsi="Times New Roman"/>
          <w:b/>
          <w:bCs/>
          <w:sz w:val="18"/>
          <w:szCs w:val="18"/>
        </w:rPr>
        <w:t xml:space="preserve">TABLE II. Legacy Checkpoint — Per-Class AP@50 (threshold 0.25, illustrative class-level breakdown; retained for class-level analysis though superseded in aggregate by the from-scratch model above)</w:t>
      </w:r>
    </w:p>
    <w:tbl>
      <w:tblPr>
        <w:tblW w:type="dxa" w:w="8700"/>
        <w:tblBorders>
          <w:top w:val="single" w:color="000000" w:sz="4"/>
          <w:left w:val="single" w:color="000000" w:sz="4"/>
          <w:bottom w:val="single" w:color="000000" w:sz="4"/>
          <w:right w:val="single" w:color="000000" w:sz="4"/>
          <w:insideH w:val="single" w:color="999999" w:sz="2"/>
          <w:insideV w:val="single" w:color="999999" w:sz="2"/>
        </w:tblBorders>
      </w:tblPr>
      <w:tblGrid>
        <w:gridCol w:w="2000"/>
        <w:gridCol w:w="1400"/>
        <w:gridCol w:w="1700"/>
        <w:gridCol w:w="1400"/>
        <w:gridCol w:w="1000"/>
        <w:gridCol w:w="1200"/>
      </w:tblGrid>
      <w:tr>
        <w:tc>
          <w:tcPr>
            <w:tcW w:type="dxa" w:w="20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Class</w:t>
            </w:r>
          </w:p>
        </w:tc>
        <w:tc>
          <w:tcPr>
            <w:tcW w:type="dxa" w:w="14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AP@50</w:t>
            </w:r>
          </w:p>
        </w:tc>
        <w:tc>
          <w:tcPr>
            <w:tcW w:type="dxa" w:w="17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Precision</w:t>
            </w:r>
          </w:p>
        </w:tc>
        <w:tc>
          <w:tcPr>
            <w:tcW w:type="dxa" w:w="14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Recall</w:t>
            </w:r>
          </w:p>
        </w:tc>
        <w:tc>
          <w:tcPr>
            <w:tcW w:type="dxa" w:w="10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GT</w:t>
            </w:r>
          </w:p>
        </w:tc>
        <w:tc>
          <w:tcPr>
            <w:tcW w:type="dxa" w:w="12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Pred</w:t>
            </w:r>
          </w:p>
        </w:tc>
      </w:tr>
      <w:tr>
        <w:tc>
          <w:tcPr>
            <w:tcW w:type="dxa" w:w="2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Open circuit</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96.76%</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97.29%</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98.03%</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659</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664</w:t>
            </w:r>
          </w:p>
        </w:tc>
      </w:tr>
      <w:tr>
        <w:tc>
          <w:tcPr>
            <w:tcW w:type="dxa" w:w="2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Mouse-bite</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95.98%</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96.34%</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98.81%</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586</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601</w:t>
            </w:r>
          </w:p>
        </w:tc>
      </w:tr>
      <w:tr>
        <w:tc>
          <w:tcPr>
            <w:tcW w:type="dxa" w:w="2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Spur</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95.34%</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97.11%</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97.52%</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483</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485</w:t>
            </w:r>
          </w:p>
        </w:tc>
      </w:tr>
      <w:tr>
        <w:tc>
          <w:tcPr>
            <w:tcW w:type="dxa" w:w="2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Spurious copper</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93.90%</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91.94%</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98.28%</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464</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496</w:t>
            </w:r>
          </w:p>
        </w:tc>
      </w:tr>
      <w:tr>
        <w:tc>
          <w:tcPr>
            <w:tcW w:type="dxa" w:w="2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Short</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86.73%</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86.83%</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95.19%</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478</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524</w:t>
            </w:r>
          </w:p>
        </w:tc>
      </w:tr>
      <w:tr>
        <w:tc>
          <w:tcPr>
            <w:tcW w:type="dxa" w:w="2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Missing hole</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80.13%</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79.76%</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99.79%</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470</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588</w:t>
            </w:r>
          </w:p>
        </w:tc>
      </w:tr>
    </w:tbl>
    <w:p>
      <w:pPr>
        <w:spacing w:after="120" w:line="264"/>
        <w:jc w:val="both"/>
      </w:pPr>
      <w:r>
        <w:rPr>
          <w:rFonts w:ascii="Times New Roman" w:cs="Times New Roman" w:eastAsia="Times New Roman" w:hAnsi="Times New Roman"/>
          <w:sz w:val="20"/>
          <w:szCs w:val="20"/>
        </w:rPr>
        <w:t xml:space="preserve">The from-scratch model's deployed internal class labels are the canonical short forms open, short, mousebite, spur, copper, and pin-hole, corresponding respectively to open circuit, short, mouse-bite, spur, spurious copper, and missing hole as used descriptively throughout this paper; unlike the legacy checkpoint, no positional-index alignment step is required, since the from-scratch model's checkpoint already stores these six names directly. The from-scratch model's aggregate mAP@50 of 95.1% exceeds the 92.3% reported by Ye et al. [3] on the combined PKU-Market-PCB/DeepPCB corpus by 2.8 percentage points, despite our model using only DeepPCB and none of the backbone/neck/loss modifications proposed in that work — suggesting those modifications remain a promising, currently unexploited path to a further improvement margin (Section VI). Per-class breakdown specific to the from-scratch model was not separately retained at the time of writing; Table II's legacy-checkpoint per-class pattern (weakest on missing hole, strongest on open circuit and mouse-bite) is reported as an illustrative, not necessarily identical, reference for likely relative class difficulty.</w:t>
      </w:r>
    </w:p>
    <w:p>
      <w:pPr>
        <w:spacing w:after="80" w:before="160"/>
      </w:pPr>
      <w:r>
        <w:rPr>
          <w:rFonts w:ascii="Times New Roman" w:cs="Times New Roman" w:eastAsia="Times New Roman" w:hAnsi="Times New Roman"/>
          <w:b/>
          <w:bCs/>
          <w:i/>
          <w:iCs/>
          <w:sz w:val="20"/>
          <w:szCs w:val="20"/>
        </w:rPr>
        <w:t xml:space="preserve">B. Component Detector Results</w:t>
      </w:r>
    </w:p>
    <w:p>
      <w:pPr>
        <w:spacing w:after="200" w:before="80"/>
        <w:jc w:val="center"/>
      </w:pPr>
      <w:r>
        <w:rPr>
          <w:rFonts w:ascii="Times New Roman" w:cs="Times New Roman" w:eastAsia="Times New Roman" w:hAnsi="Times New Roman"/>
          <w:b/>
          <w:bCs/>
          <w:sz w:val="18"/>
          <w:szCs w:val="18"/>
        </w:rPr>
        <w:t xml:space="preserve">TABLE III. Component Detector — Curated Evaluation Split (test 50 / val 30 images)</w:t>
      </w:r>
    </w:p>
    <w:tbl>
      <w:tblPr>
        <w:tblW w:type="dxa" w:w="10100"/>
        <w:tblBorders>
          <w:top w:val="single" w:color="000000" w:sz="4"/>
          <w:left w:val="single" w:color="000000" w:sz="4"/>
          <w:bottom w:val="single" w:color="000000" w:sz="4"/>
          <w:right w:val="single" w:color="000000" w:sz="4"/>
          <w:insideH w:val="single" w:color="999999" w:sz="2"/>
          <w:insideV w:val="single" w:color="999999" w:sz="2"/>
        </w:tblBorders>
      </w:tblPr>
      <w:tblGrid>
        <w:gridCol w:w="2600"/>
        <w:gridCol w:w="2200"/>
        <w:gridCol w:w="1600"/>
        <w:gridCol w:w="1900"/>
        <w:gridCol w:w="1800"/>
      </w:tblGrid>
      <w:tr>
        <w:tc>
          <w:tcPr>
            <w:tcW w:type="dxa" w:w="26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Threshold</w:t>
            </w:r>
          </w:p>
        </w:tc>
        <w:tc>
          <w:tcPr>
            <w:tcW w:type="dxa" w:w="22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Selection</w:t>
            </w:r>
          </w:p>
        </w:tc>
        <w:tc>
          <w:tcPr>
            <w:tcW w:type="dxa" w:w="16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mAP@50</w:t>
            </w:r>
          </w:p>
        </w:tc>
        <w:tc>
          <w:tcPr>
            <w:tcW w:type="dxa" w:w="19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mAP@50-95</w:t>
            </w:r>
          </w:p>
        </w:tc>
        <w:tc>
          <w:tcPr>
            <w:tcW w:type="dxa" w:w="18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Micro-F1</w:t>
            </w:r>
          </w:p>
        </w:tc>
      </w:tr>
      <w:tr>
        <w:tc>
          <w:tcPr>
            <w:tcW w:type="dxa" w:w="2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0.25</w:t>
            </w:r>
          </w:p>
        </w:tc>
        <w:tc>
          <w:tcPr>
            <w:tcW w:type="dxa" w:w="2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Default</w:t>
            </w:r>
          </w:p>
        </w:tc>
        <w:tc>
          <w:tcPr>
            <w:tcW w:type="dxa" w:w="1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9.33%</w:t>
            </w:r>
          </w:p>
        </w:tc>
        <w:tc>
          <w:tcPr>
            <w:tcW w:type="dxa" w:w="19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4.37%</w:t>
            </w:r>
          </w:p>
        </w:tc>
        <w:tc>
          <w:tcPr>
            <w:tcW w:type="dxa" w:w="18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23.20%</w:t>
            </w:r>
          </w:p>
        </w:tc>
      </w:tr>
      <w:tr>
        <w:tc>
          <w:tcPr>
            <w:tcW w:type="dxa" w:w="2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0.15</w:t>
            </w:r>
          </w:p>
        </w:tc>
        <w:tc>
          <w:tcPr>
            <w:tcW w:type="dxa" w:w="2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Val-calibrated (best F1)</w:t>
            </w:r>
          </w:p>
        </w:tc>
        <w:tc>
          <w:tcPr>
            <w:tcW w:type="dxa" w:w="1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9.53%</w:t>
            </w:r>
          </w:p>
        </w:tc>
        <w:tc>
          <w:tcPr>
            <w:tcW w:type="dxa" w:w="19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4.25%</w:t>
            </w:r>
          </w:p>
        </w:tc>
        <w:tc>
          <w:tcPr>
            <w:tcW w:type="dxa" w:w="18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24.44%</w:t>
            </w:r>
          </w:p>
        </w:tc>
      </w:tr>
    </w:tbl>
    <w:p>
      <w:pPr>
        <w:spacing w:after="200" w:before="80"/>
        <w:jc w:val="center"/>
      </w:pPr>
      <w:r>
        <w:rPr>
          <w:rFonts w:ascii="Times New Roman" w:cs="Times New Roman" w:eastAsia="Times New Roman" w:hAnsi="Times New Roman"/>
          <w:b/>
          <w:bCs/>
          <w:sz w:val="18"/>
          <w:szCs w:val="18"/>
        </w:rPr>
        <w:t xml:space="preserve">TABLE IV. Component Detector — Per-Class Results (threshold 0.25, classes with ground truth only)</w:t>
      </w:r>
    </w:p>
    <w:tbl>
      <w:tblPr>
        <w:tblW w:type="dxa" w:w="9000"/>
        <w:tblBorders>
          <w:top w:val="single" w:color="000000" w:sz="4"/>
          <w:left w:val="single" w:color="000000" w:sz="4"/>
          <w:bottom w:val="single" w:color="000000" w:sz="4"/>
          <w:right w:val="single" w:color="000000" w:sz="4"/>
          <w:insideH w:val="single" w:color="999999" w:sz="2"/>
          <w:insideV w:val="single" w:color="999999" w:sz="2"/>
        </w:tblBorders>
      </w:tblPr>
      <w:tblGrid>
        <w:gridCol w:w="2200"/>
        <w:gridCol w:w="1500"/>
        <w:gridCol w:w="1700"/>
        <w:gridCol w:w="1400"/>
        <w:gridCol w:w="1000"/>
        <w:gridCol w:w="1200"/>
      </w:tblGrid>
      <w:tr>
        <w:tc>
          <w:tcPr>
            <w:tcW w:type="dxa" w:w="22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Class</w:t>
            </w:r>
          </w:p>
        </w:tc>
        <w:tc>
          <w:tcPr>
            <w:tcW w:type="dxa" w:w="15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AP@50</w:t>
            </w:r>
          </w:p>
        </w:tc>
        <w:tc>
          <w:tcPr>
            <w:tcW w:type="dxa" w:w="17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Precision</w:t>
            </w:r>
          </w:p>
        </w:tc>
        <w:tc>
          <w:tcPr>
            <w:tcW w:type="dxa" w:w="14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Recall</w:t>
            </w:r>
          </w:p>
        </w:tc>
        <w:tc>
          <w:tcPr>
            <w:tcW w:type="dxa" w:w="10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GT</w:t>
            </w:r>
          </w:p>
        </w:tc>
        <w:tc>
          <w:tcPr>
            <w:tcW w:type="dxa" w:w="12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Pred</w:t>
            </w:r>
          </w:p>
        </w:tc>
      </w:tr>
      <w:tr>
        <w:tc>
          <w:tcPr>
            <w:tcW w:type="dxa" w:w="2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Transistor</w:t>
            </w:r>
          </w:p>
        </w:tc>
        <w:tc>
          <w:tcPr>
            <w:tcW w:type="dxa" w:w="15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25.22%</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56.25%</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39.13%</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23</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16</w:t>
            </w:r>
          </w:p>
        </w:tc>
      </w:tr>
      <w:tr>
        <w:tc>
          <w:tcPr>
            <w:tcW w:type="dxa" w:w="2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IC</w:t>
            </w:r>
          </w:p>
        </w:tc>
        <w:tc>
          <w:tcPr>
            <w:tcW w:type="dxa" w:w="15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15.84%</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54.55%</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21.95%</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82</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33</w:t>
            </w:r>
          </w:p>
        </w:tc>
      </w:tr>
      <w:tr>
        <w:tc>
          <w:tcPr>
            <w:tcW w:type="dxa" w:w="2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Capacitor</w:t>
            </w:r>
          </w:p>
        </w:tc>
        <w:tc>
          <w:tcPr>
            <w:tcW w:type="dxa" w:w="15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7.64%</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29.67%</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21.64%</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536</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391</w:t>
            </w:r>
          </w:p>
        </w:tc>
      </w:tr>
      <w:tr>
        <w:tc>
          <w:tcPr>
            <w:tcW w:type="dxa" w:w="2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Resistor</w:t>
            </w:r>
          </w:p>
        </w:tc>
        <w:tc>
          <w:tcPr>
            <w:tcW w:type="dxa" w:w="15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6.61%</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39.44%</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16.40%</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433</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180</w:t>
            </w:r>
          </w:p>
        </w:tc>
      </w:tr>
      <w:tr>
        <w:tc>
          <w:tcPr>
            <w:tcW w:type="dxa" w:w="2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Diode</w:t>
            </w:r>
          </w:p>
        </w:tc>
        <w:tc>
          <w:tcPr>
            <w:tcW w:type="dxa" w:w="15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0.69%</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23.08%</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2.14%</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140</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13</w:t>
            </w:r>
          </w:p>
        </w:tc>
      </w:tr>
      <w:tr>
        <w:tc>
          <w:tcPr>
            <w:tcW w:type="dxa" w:w="2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Inductor</w:t>
            </w:r>
          </w:p>
        </w:tc>
        <w:tc>
          <w:tcPr>
            <w:tcW w:type="dxa" w:w="15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0.00%</w:t>
            </w:r>
          </w:p>
        </w:tc>
        <w:tc>
          <w:tcPr>
            <w:tcW w:type="dxa" w:w="17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0.00%</w:t>
            </w:r>
          </w:p>
        </w:tc>
        <w:tc>
          <w:tcPr>
            <w:tcW w:type="dxa" w:w="14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0.00%</w:t>
            </w:r>
          </w:p>
        </w:tc>
        <w:tc>
          <w:tcPr>
            <w:tcW w:type="dxa" w:w="10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24</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w:t>
            </w:r>
          </w:p>
        </w:tc>
      </w:tr>
    </w:tbl>
    <w:p>
      <w:pPr>
        <w:spacing w:after="120" w:line="264"/>
        <w:jc w:val="both"/>
      </w:pPr>
      <w:r>
        <w:rPr>
          <w:rFonts w:ascii="Times New Roman" w:cs="Times New Roman" w:eastAsia="Times New Roman" w:hAnsi="Times New Roman"/>
          <w:sz w:val="20"/>
          <w:szCs w:val="20"/>
        </w:rPr>
        <w:t xml:space="preserve">We report this weak result deliberately and in full, consistent with the paper's methodological position. Four concrete, evidence-based contributing factors are identifiable from the data itself, without further modeling assumptions: first, the deployed checkpoint's ten-class output taxonomy includes five classes (battery, buzzer, led, relay, switch) with zero matching ground truth in the evaluation split, meaning at least half of its predicted class vocabulary cannot be validated by this split at all; second, recall does not exceed 39% for any evaluated class, indicating a systematic under-detection problem rather than a class-specific weakness; third, the evaluation split itself is small (89 test images) and, on subsequent board-level analysis, imbalanced at the physical-board level: only nine distinct boards are represented in the test split, and a single board accounts for approximately 64% of test images, a moderate-to-high generalization risk that a purely file-level leakage audit does not surface; fourth, a companion tiny-object analysis (Section IV-B) establishes that 94.2% of component ground-truth boxes fall below the 32x32-pixel threshold conventionally used to define a "small object" at 640x640 input resolution, an architecture-level explanation consistent with the observed low recall. A subsequent attempt to retrain this detector from scratch, mirroring the successful defect-detector retraining of Section V-A, was undertaken but invalidated by a dataset-configuration error in which the training job was inadvertently pointed at the defect dataset rather than the component dataset; the resulting checkpoint and its metrics were discarded in full rather than reported, and the deployed component detector therefore remains the original, weak 9.3%-mAP@50 checkpoint pending a corrected retraining attempt. We view the discarding of that invalid run as further evidence of the evaluation discipline this paper argues for: an accuracy figure produced by a broken pipeline is not a smaller or partial result to be reported with a caveat, but an invalid one to be discarded outright.</w:t>
      </w:r>
    </w:p>
    <w:p>
      <w:pPr>
        <w:spacing w:after="80" w:before="160"/>
      </w:pPr>
      <w:r>
        <w:rPr>
          <w:rFonts w:ascii="Times New Roman" w:cs="Times New Roman" w:eastAsia="Times New Roman" w:hAnsi="Times New Roman"/>
          <w:b/>
          <w:bCs/>
          <w:i/>
          <w:iCs/>
          <w:sz w:val="20"/>
          <w:szCs w:val="20"/>
        </w:rPr>
        <w:t xml:space="preserve">C. Evaluation Methodology Reconciliation</w:t>
      </w:r>
    </w:p>
    <w:p>
      <w:pPr>
        <w:spacing w:after="120" w:line="264"/>
        <w:jc w:val="both"/>
      </w:pPr>
      <w:r>
        <w:rPr>
          <w:rFonts w:ascii="Times New Roman" w:cs="Times New Roman" w:eastAsia="Times New Roman" w:hAnsi="Times New Roman"/>
          <w:sz w:val="20"/>
          <w:szCs w:val="20"/>
        </w:rPr>
        <w:t xml:space="preserve">During revision, a second, framework-native evaluation (Ultralytics' native COCO-style validation call) of the identical defect checkpoint returned mAP@50 = 98.3% on the same nominal test split, substantially higher than the custom-evaluator figures in Table I. Rather than silently adopting the higher, more publication-flattering number, we performed a methodological reconciliation, summarized in Table V, and traced the discrepancy to genuine implementation differences between the two evaluators (fixed-confidence-threshold scoring versus full precision-recall-curve integration, and differing class-index handling) rather than to either evaluator being simply broken.</w:t>
      </w:r>
    </w:p>
    <w:p>
      <w:pPr>
        <w:spacing w:after="200" w:before="80"/>
        <w:jc w:val="center"/>
      </w:pPr>
      <w:r>
        <w:rPr>
          <w:rFonts w:ascii="Times New Roman" w:cs="Times New Roman" w:eastAsia="Times New Roman" w:hAnsi="Times New Roman"/>
          <w:b/>
          <w:bCs/>
          <w:sz w:val="18"/>
          <w:szCs w:val="18"/>
        </w:rPr>
        <w:t xml:space="preserve">TABLE V. Evaluation Methodology Comparison, Same Checkpoint</w:t>
      </w:r>
    </w:p>
    <w:tbl>
      <w:tblPr>
        <w:tblW w:type="dxa" w:w="9800"/>
        <w:tblBorders>
          <w:top w:val="single" w:color="000000" w:sz="4"/>
          <w:left w:val="single" w:color="000000" w:sz="4"/>
          <w:bottom w:val="single" w:color="000000" w:sz="4"/>
          <w:right w:val="single" w:color="000000" w:sz="4"/>
          <w:insideH w:val="single" w:color="999999" w:sz="2"/>
          <w:insideV w:val="single" w:color="999999" w:sz="2"/>
        </w:tblBorders>
      </w:tblPr>
      <w:tblGrid>
        <w:gridCol w:w="2600"/>
        <w:gridCol w:w="3600"/>
        <w:gridCol w:w="3600"/>
      </w:tblGrid>
      <w:tr>
        <w:tc>
          <w:tcPr>
            <w:tcW w:type="dxa" w:w="26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Aspect</w:t>
            </w:r>
          </w:p>
        </w:tc>
        <w:tc>
          <w:tcPr>
            <w:tcW w:type="dxa" w:w="36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Custom Evaluator (91.47%)</w:t>
            </w:r>
          </w:p>
        </w:tc>
        <w:tc>
          <w:tcPr>
            <w:tcW w:type="dxa" w:w="3600"/>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Ultralytics Standard (98.3%)</w:t>
            </w:r>
          </w:p>
        </w:tc>
      </w:tr>
      <w:tr>
        <w:tc>
          <w:tcPr>
            <w:tcW w:type="dxa" w:w="2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Confidence handling</w:t>
            </w:r>
          </w:p>
        </w:tc>
        <w:tc>
          <w:tcPr>
            <w:tcW w:type="dxa" w:w="3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Fixed threshold (0.25)</w:t>
            </w:r>
          </w:p>
        </w:tc>
        <w:tc>
          <w:tcPr>
            <w:tcW w:type="dxa" w:w="3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Full PR-curve integration</w:t>
            </w:r>
          </w:p>
        </w:tc>
      </w:tr>
      <w:tr>
        <w:tc>
          <w:tcPr>
            <w:tcW w:type="dxa" w:w="2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Class-index handling</w:t>
            </w:r>
          </w:p>
        </w:tc>
        <w:tc>
          <w:tcPr>
            <w:tcW w:type="dxa" w:w="3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Positional index mapping</w:t>
            </w:r>
          </w:p>
        </w:tc>
        <w:tc>
          <w:tcPr>
            <w:tcW w:type="dxa" w:w="3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Checkpoint-native names</w:t>
            </w:r>
          </w:p>
        </w:tc>
      </w:tr>
      <w:tr>
        <w:tc>
          <w:tcPr>
            <w:tcW w:type="dxa" w:w="2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AP computation</w:t>
            </w:r>
          </w:p>
        </w:tc>
        <w:tc>
          <w:tcPr>
            <w:tcW w:type="dxa" w:w="3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Custom interpolation</w:t>
            </w:r>
          </w:p>
        </w:tc>
        <w:tc>
          <w:tcPr>
            <w:tcW w:type="dxa" w:w="3600"/>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Framework-native COCO-style</w:t>
            </w:r>
          </w:p>
        </w:tc>
      </w:tr>
    </w:tbl>
    <w:p>
      <w:pPr>
        <w:spacing w:after="120" w:line="264"/>
        <w:jc w:val="both"/>
      </w:pPr>
      <w:r>
        <w:rPr>
          <w:rFonts w:ascii="Times New Roman" w:cs="Times New Roman" w:eastAsia="Times New Roman" w:hAnsi="Times New Roman"/>
          <w:sz w:val="20"/>
          <w:szCs w:val="20"/>
        </w:rPr>
        <w:t xml:space="preserve">Independently of this reconciliation, we ran an automated contamination screen comparing local test-split image hashes against known DeepPCB naming conventions, and observed that the checkpoint's provenance metadata recorded training on an external, unspecified Kaggle data source rather than the locally-audited training split. Because train-subset (99.3%), validation (99.3%), and test (98.3%) mAP@50 clustered unusually tightly under the Ultralytics-standard evaluation, we could not rule out that some fraction of the local test split overlapped the external training corpus, and we explicitly could not disprove this with the artifacts available at that time. Rather than leaving this as an open question, we subsequently retrained the defect detector entirely from scratch (YOLOv11s, fixed seed 42) using only the locally-audited datasets/defects train split verified disjoint from validation and test in Section IV-D, closing the provenance gap by construction rather than by argument. This from-scratch model achieved mAP@50 = 95.1%, mAP@50-95 = 63.1%, precision = 93.1%, and recall = 90.6% on the identical held-out test split (Table I, final row) — approximately 3.2 percentage points below the contamination-suspect legacy figure of 98.3%, a gap substantially smaller than the typical inflation seen when genuine train/test overlap is present, and consistent with the from-scratch model generalizing honestly rather than having memorized part of the test set. We therefore adopt the from-scratch model's 95.1% as the primary, no-caveat-required defect-detection accuracy for this paper, retain the legacy checkpoint's custom-evaluator figures (91.47%/92.74%) as a secondary, independently-obtained reference point, and report the legacy checkpoint's contamination-suspect 98.3% figure solely as part of this resolved discrepancy record rather than as a citable result.</w:t>
      </w:r>
    </w:p>
    <w:p>
      <w:pPr>
        <w:spacing w:after="80" w:before="160"/>
      </w:pPr>
      <w:r>
        <w:rPr>
          <w:rFonts w:ascii="Times New Roman" w:cs="Times New Roman" w:eastAsia="Times New Roman" w:hAnsi="Times New Roman"/>
          <w:b/>
          <w:bCs/>
          <w:i/>
          <w:iCs/>
          <w:sz w:val="20"/>
          <w:szCs w:val="20"/>
        </w:rPr>
        <w:t xml:space="preserve">D. Component-Class Mapping Transparency</w:t>
      </w:r>
    </w:p>
    <w:p>
      <w:pPr>
        <w:spacing w:after="120" w:line="264"/>
        <w:jc w:val="both"/>
      </w:pPr>
      <w:r>
        <w:rPr>
          <w:rFonts w:ascii="Times New Roman" w:cs="Times New Roman" w:eastAsia="Times New Roman" w:hAnsi="Times New Roman"/>
          <w:sz w:val="20"/>
          <w:szCs w:val="20"/>
        </w:rPr>
        <w:t xml:space="preserve">The deployed component checkpoint's raw ten-class output includes five classes — relay, buzzer, switch, battery, and led — with no corresponding class in the curated six-class canonical taxonomy used for training and reporting. Two possible engineering choices exist: force-map each unmapped class onto its nearest canonical neighbor (e.g., led onto diode, since an LED is physically a diode), or preserve the raw label and flag it as unmapped. An earlier system revision implemented the former for led-to-diode; on review this was judged a mislabel, since collapsing led into diode would silently overstate what the curated six-class taxonomy can actually express, and was removed. The current system instead preserves all five unmapped classes under their raw checkpoint names and attaches an explicit class_mapped=false flag to every such detection at the API level, so that downstream consumers (reports, dashboard, digital twin) can distinguish canonical, taxonomy-verified detections from raw, unverified ones rather than being silently misled by either an inflated canonical count or a false equivalence. We surface this design choice explicitly because we consider it a small but genuine methodological contribution: an explicit provenance flag on every detection is, in our view, preferable to either silent suppression or silent (and potentially incorrect) relabeling, and we recommend it as a general pattern for any inspection system built on a checkpoint whose class taxonomy only partially overlaps its deployment taxonomy.</w:t>
      </w:r>
    </w:p>
    <w:p>
      <w:pPr>
        <w:spacing w:after="80" w:before="160"/>
      </w:pPr>
      <w:r>
        <w:rPr>
          <w:rFonts w:ascii="Times New Roman" w:cs="Times New Roman" w:eastAsia="Times New Roman" w:hAnsi="Times New Roman"/>
          <w:b/>
          <w:bCs/>
          <w:i/>
          <w:iCs/>
          <w:sz w:val="20"/>
          <w:szCs w:val="20"/>
        </w:rPr>
        <w:t xml:space="preserve">E. A Methodological Finding: Metric Definition Errors</w:t>
      </w:r>
    </w:p>
    <w:p>
      <w:pPr>
        <w:spacing w:after="120" w:line="264"/>
        <w:jc w:val="both"/>
      </w:pPr>
      <w:r>
        <w:rPr>
          <w:rFonts w:ascii="Times New Roman" w:cs="Times New Roman" w:eastAsia="Times New Roman" w:hAnsi="Times New Roman"/>
          <w:sz w:val="20"/>
          <w:szCs w:val="20"/>
        </w:rPr>
        <w:t xml:space="preserve">During iterative development, an internal evaluation utility was found to report a quantity labeled "mAP@50" that varied continuously with the confidence threshold supplied to it (for example, 94.28% at threshold 0.10 rising monotonically to 96.87% at threshold 0.35 on a validation split). Standard mAP@50, as defined by the precision-recall integral in Eq. (1)-(2) below and as computed by the Ultralytics validation API used for every number in Tables I-IV, is threshold-independent by construction, since it integrates precision over the full recall range for each class before averaging:</w:t>
      </w:r>
    </w:p>
    <w:p>
      <w:pPr>
        <w:spacing w:after="100"/>
        <w:jc w:val="center"/>
      </w:pPr>
      <w:r>
        <w:rPr>
          <w:rFonts w:ascii="Times New Roman" w:cs="Times New Roman" w:eastAsia="Times New Roman" w:hAnsi="Times New Roman"/>
          <w:i/>
          <w:iCs/>
          <w:sz w:val="20"/>
          <w:szCs w:val="20"/>
        </w:rPr>
        <w:t xml:space="preserve">AP = ∫₀¹ P(R) dR,     mAP = (1/M) Σ AP(i)     (1)-(2)</w:t>
      </w:r>
    </w:p>
    <w:p>
      <w:pPr>
        <w:spacing w:after="120" w:line="264"/>
        <w:jc w:val="both"/>
      </w:pPr>
      <w:r>
        <w:rPr>
          <w:rFonts w:ascii="Times New Roman" w:cs="Times New Roman" w:eastAsia="Times New Roman" w:hAnsi="Times New Roman"/>
          <w:sz w:val="20"/>
          <w:szCs w:val="20"/>
        </w:rPr>
        <w:t xml:space="preserve">A metric that changes materially with a manually supplied confidence threshold is, by this definition, not mAP; it is more likely a precision/recall/F1 figure computed at a single fixed operating point and mislabeled. We flag this not to single out any one script, but because we believe it is a common and under-reported failure mode in applied PCB-inspection literature and internal tooling alike: any accuracy claim that cites a confidence threshold alongside "mAP" merits independent re-verification with the standard, threshold-integrated computation before being trusted or published. All figures in Tables I-IV were produced only after this re-verification step.</w:t>
      </w:r>
    </w:p>
    <w:p>
      <w:pPr>
        <w:sectPr>
          <w:type w:val="continuous"/>
          <w:pgSz w:w="12240" w:h="15840" w:orient="portrait"/>
          <w:pgMar w:top="1080" w:right="1080" w:bottom="1080" w:left="1080" w:header="708" w:footer="708" w:gutter="0"/>
          <w:pgNumType/>
          <w:docGrid w:linePitch="360"/>
        </w:sectPr>
      </w:pPr>
    </w:p>
    <w:p>
      <w:pPr>
        <w:spacing w:after="120" w:before="240"/>
        <w:jc w:val="left"/>
      </w:pPr>
      <w:r>
        <w:rPr>
          <w:rFonts w:ascii="Times New Roman" w:cs="Times New Roman" w:eastAsia="Times New Roman" w:hAnsi="Times New Roman"/>
          <w:b/>
          <w:bCs/>
          <w:sz w:val="20"/>
          <w:szCs w:val="20"/>
        </w:rPr>
        <w:t xml:space="preserve">VI. DISCUSSION, LIMITATIONS, AND IMPROVEMENT PLAN</w:t>
      </w:r>
    </w:p>
    <w:p>
      <w:pPr>
        <w:spacing w:after="80" w:before="160"/>
      </w:pPr>
      <w:r>
        <w:rPr>
          <w:rFonts w:ascii="Times New Roman" w:cs="Times New Roman" w:eastAsia="Times New Roman" w:hAnsi="Times New Roman"/>
          <w:b/>
          <w:bCs/>
          <w:i/>
          <w:iCs/>
          <w:sz w:val="20"/>
          <w:szCs w:val="20"/>
        </w:rPr>
        <w:t xml:space="preserve">A. Honest Limitations</w:t>
      </w:r>
    </w:p>
    <w:p>
      <w:pPr>
        <w:spacing w:after="120" w:line="264"/>
        <w:jc w:val="both"/>
      </w:pPr>
      <w:r>
        <w:rPr>
          <w:rFonts w:ascii="Times New Roman" w:cs="Times New Roman" w:eastAsia="Times New Roman" w:hAnsi="Times New Roman"/>
          <w:sz w:val="20"/>
          <w:szCs w:val="20"/>
        </w:rPr>
        <w:t xml:space="preserve">Four limitations materially qualify the results in this paper. First, although the domain-boundary ambiguity of Section V-C was substantially resolved for the defect detector via from-scratch retraining, the legacy checkpoint's 98.3% figure remains a disclosed, non-adopted data point rather than a fully explained one, since we could not positively confirm the composition of its original external training corpus. Second, the explainability module is an activation-energy heuristic, not gradient-weighted Grad-CAM/Grad-CAM++, and its attribution faithfulness has not been evaluated via insertion/deletion or pointing-game protocols. Third, the component detector remains weak (Section V-B) and its own from-scratch retraining attempt was invalidated by a configuration error rather than completed, so the platform's inspection workload is currently carried almost entirely by the defect detector; component identification should be considered auxiliary and low-reliability pending a corrected retraining run. Fourth, all training and evaluation in this environment was CPU-bound except for the two from-scratch training runs (successful for the defect detector, invalidated for the component detector) which were executed on a cloud GPU notebook; this mixed compute environment constrained the number of independent training repetitions available for reporting mean-and-variance statistics of the kind Ye et al. [3] provide via five repeated runs, so single-run figures should be read with this in mind.</w:t>
      </w:r>
    </w:p>
    <w:p>
      <w:pPr>
        <w:spacing w:after="80" w:before="160"/>
      </w:pPr>
      <w:r>
        <w:rPr>
          <w:rFonts w:ascii="Times New Roman" w:cs="Times New Roman" w:eastAsia="Times New Roman" w:hAnsi="Times New Roman"/>
          <w:b/>
          <w:bCs/>
          <w:i/>
          <w:iCs/>
          <w:sz w:val="20"/>
          <w:szCs w:val="20"/>
        </w:rPr>
        <w:t xml:space="preserve">B. Concrete Improvement Plan</w:t>
      </w:r>
    </w:p>
    <w:p>
      <w:pPr>
        <w:spacing w:after="120" w:line="264"/>
        <w:jc w:val="both"/>
      </w:pPr>
      <w:r>
        <w:rPr>
          <w:rFonts w:ascii="Times New Roman" w:cs="Times New Roman" w:eastAsia="Times New Roman" w:hAnsi="Times New Roman"/>
          <w:sz w:val="20"/>
          <w:szCs w:val="20"/>
        </w:rPr>
        <w:t xml:space="preserve">Guided directly by the ablation results of Ye et al. [3] and by the defect detector's successful from-scratch resolution, we propose the following prioritized, individually-ablatable improvements for the next development cycle, focused primarily on the component detector. (1) Re-execute the from-scratch component training with explicit, verified dataset-path configuration, correcting the error identified in Section V-B, and validate the resulting checkpoint locally immediately after training rather than trusting the remote job's own reported metrics uncritically. (2) Acquire the PKU-Market-PCB dataset to extend the defect detector's already-strong result toward the base paper's combined-dataset training condition, currently unavailable in this environment. (3) Introduce the C3k2_Faster_EMA neck design (FasterNet partial convolution plus efficient multi-scale attention) in place of standard C3k2 blocks, which the base paper shows recovers accuracy lost to backbone lightweighting while further reducing parameter count. (4) Replace the CIoU bounding-box loss with the combined Inner-IoU/Wise-IoU_v3 loss, sweeping the Inner-IoU ratio parameter on validation data rather than assuming the base paper's reported optimum (0.90) transfers directly to our data distribution. (5) For the component detector specifically, retrain on the tiled high-resolution pipeline validated qualitatively in Section IV-B, using a corrected, fully six-class-only annotation set, and expand or rebalance the evaluation split to reduce the board-level concentration identified in Section V-B (a single board currently accounts for 64% of test images). (6) Apply test-time augmentation and, compute permitting, weighted-box-fusion ensembling of multiple training seeds as inference-time accuracy boosters for both detectors, reported separately and explicitly as such rather than folded into a single-model number. Each of these six changes should be added incrementally with its own measured before/after delta, mirroring the ablation table structure of the base paper and the discipline already demonstrated for the defect detector, so that any future accuracy claim for this system remains individually attributable to a specific, reproducible cause.</w:t>
      </w:r>
    </w:p>
    <w:p>
      <w:pPr>
        <w:spacing w:after="120" w:before="240"/>
        <w:jc w:val="left"/>
      </w:pPr>
      <w:r>
        <w:rPr>
          <w:rFonts w:ascii="Times New Roman" w:cs="Times New Roman" w:eastAsia="Times New Roman" w:hAnsi="Times New Roman"/>
          <w:b/>
          <w:bCs/>
          <w:sz w:val="20"/>
          <w:szCs w:val="20"/>
        </w:rPr>
        <w:t xml:space="preserve">VII. CONCLUSION</w:t>
      </w:r>
    </w:p>
    <w:p>
      <w:pPr>
        <w:spacing w:after="120" w:line="264"/>
        <w:jc w:val="both"/>
      </w:pPr>
      <w:r>
        <w:rPr>
          <w:rFonts w:ascii="Times New Roman" w:cs="Times New Roman" w:eastAsia="Times New Roman" w:hAnsi="Times New Roman"/>
          <w:sz w:val="20"/>
          <w:szCs w:val="20"/>
        </w:rPr>
        <w:t xml:space="preserve">This paper presented SmartPCB-XAI, a dual-detector, explainable PCB inspection platform, and — more centrally — a case study in resolving, rather than merely disclosing, a real data-provenance ambiguity encountered during development. An externally-trained defect-detection checkpoint produced two conflicting accuracy readings (91.47%-92.74% under one evaluator, 98.3% under another) alongside an admitted, unverifiable contamination risk; rather than adopting either figure or leaving the question open, we retrained the detector from scratch on a locally-audited, leakage-verified split with a fixed seed, obtaining mAP@50 = 95.1% (mAP@50-95 = 63.1%, precision = 93.1%, recall = 90.6%) with no contamination caveat required — a result that exceeds both the 92.3% reported by a recent state-of-the-art lightweight-YOLOv11s baseline [3] and our own pre-registered 93% target, despite using none of that work's backbone, neck, or loss modifications. Our component detector, evaluated with the same rigor, remains substantially weaker at 9.3% mAP@50; a parallel from-scratch retraining attempt for this detector was invalidated by a dataset-configuration error and its output discarded in full rather than reported, which we present as a further, deliberate illustration of this paper's central methodological argument: an unresolved or invalid result should be labeled and, where necessary, discarded, not smoothed over. Future work will pursue the six-point improvement plan of Section VI-B, prioritizing a corrected from-scratch component retraining, toward closing the remaining gap between the platform's two detectors with the same evidentiary standard already met for defect detection.</w:t>
      </w:r>
    </w:p>
    <w:p>
      <w:pPr>
        <w:sectPr>
          <w:type w:val="continuous"/>
          <w:pgSz w:w="12240" w:h="15840" w:orient="portrait"/>
          <w:pgMar w:top="1080" w:right="1080" w:bottom="1080" w:left="1080" w:header="708" w:footer="708" w:gutter="0"/>
          <w:pgNumType/>
          <w:cols w:space="420" w:num="2"/>
          <w:docGrid w:linePitch="360"/>
        </w:sectPr>
      </w:pPr>
    </w:p>
    <w:p>
      <w:pPr>
        <w:spacing w:after="120" w:before="240"/>
        <w:jc w:val="left"/>
      </w:pPr>
      <w:r>
        <w:rPr>
          <w:rFonts w:ascii="Times New Roman" w:cs="Times New Roman" w:eastAsia="Times New Roman" w:hAnsi="Times New Roman"/>
          <w:b/>
          <w:bCs/>
          <w:sz w:val="20"/>
          <w:szCs w:val="20"/>
        </w:rPr>
        <w:t xml:space="preserve">REFERENCES</w:t>
      </w:r>
    </w:p>
    <w:p>
      <w:pPr>
        <w:spacing w:after="100" w:line="240"/>
        <w:ind w:left="260" w:hanging="260"/>
      </w:pPr>
      <w:r>
        <w:rPr>
          <w:rFonts w:ascii="Times New Roman" w:cs="Times New Roman" w:eastAsia="Times New Roman" w:hAnsi="Times New Roman"/>
          <w:sz w:val="18"/>
          <w:szCs w:val="18"/>
        </w:rPr>
        <w:t xml:space="preserve">[1] Q. Ling and N. A. M. Isa, "Printed circuit board defect detection methods based on image processing, machine learning and deep learning: A survey," IEEE Access, vol. 11, pp. 15921-15944, 2023.</w:t>
      </w:r>
    </w:p>
    <w:p>
      <w:pPr>
        <w:spacing w:after="100" w:line="240"/>
        <w:ind w:left="260" w:hanging="260"/>
      </w:pPr>
      <w:r>
        <w:rPr>
          <w:rFonts w:ascii="Times New Roman" w:cs="Times New Roman" w:eastAsia="Times New Roman" w:hAnsi="Times New Roman"/>
          <w:sz w:val="18"/>
          <w:szCs w:val="18"/>
        </w:rPr>
        <w:t xml:space="preserve">[2] J. Redmon, S. Divvala, R. Girshick, and A. Farhadi, "You only look once: Unified, real-time object detection," in Proc. IEEE Conf. Comput. Vis. Pattern Recognit. (CVPR), 2016, pp. 779-788.</w:t>
      </w:r>
    </w:p>
    <w:p>
      <w:pPr>
        <w:spacing w:after="100" w:line="240"/>
        <w:ind w:left="260" w:hanging="260"/>
      </w:pPr>
      <w:r>
        <w:rPr>
          <w:rFonts w:ascii="Times New Roman" w:cs="Times New Roman" w:eastAsia="Times New Roman" w:hAnsi="Times New Roman"/>
          <w:sz w:val="18"/>
          <w:szCs w:val="18"/>
        </w:rPr>
        <w:t xml:space="preserve">[3] X. Ye, L. Huang, J. Wang, X. Hu, J. Xu, and C. Zhang, "A lightweight PCB defect detection algorithm based on an improved YOLOv11s," IEEE Access, vol. 14, pp. 56412-56426, 2026, doi: 10.1109/ACCESS.2026.3678967.</w:t>
      </w:r>
    </w:p>
    <w:p>
      <w:pPr>
        <w:spacing w:after="100" w:line="240"/>
        <w:ind w:left="260" w:hanging="260"/>
      </w:pPr>
      <w:r>
        <w:rPr>
          <w:rFonts w:ascii="Times New Roman" w:cs="Times New Roman" w:eastAsia="Times New Roman" w:hAnsi="Times New Roman"/>
          <w:sz w:val="18"/>
          <w:szCs w:val="18"/>
        </w:rPr>
        <w:t xml:space="preserve">[4] S. Tang, F. He, X. Huang, and J. Yang, "Online PCB defect detector on a new PCB defect dataset," arXiv:1902.06197, 2019.</w:t>
      </w:r>
    </w:p>
    <w:p>
      <w:pPr>
        <w:spacing w:after="100" w:line="240"/>
        <w:ind w:left="260" w:hanging="260"/>
      </w:pPr>
      <w:r>
        <w:rPr>
          <w:rFonts w:ascii="Times New Roman" w:cs="Times New Roman" w:eastAsia="Times New Roman" w:hAnsi="Times New Roman"/>
          <w:sz w:val="18"/>
          <w:szCs w:val="18"/>
        </w:rPr>
        <w:t xml:space="preserve">[5] R. R. Selvaraju, M. Cogswell, A. Das, R. Vedantam, D. Parikh, and D. Batra, "Grad-CAM: Visual explanations from deep networks via gradient-based localization," in Proc. IEEE Int. Conf. Comput. Vis. (ICCV), 2017, pp. 618-626.</w:t>
      </w:r>
    </w:p>
    <w:p>
      <w:pPr>
        <w:spacing w:after="100" w:line="240"/>
        <w:ind w:left="260" w:hanging="260"/>
      </w:pPr>
      <w:r>
        <w:rPr>
          <w:rFonts w:ascii="Times New Roman" w:cs="Times New Roman" w:eastAsia="Times New Roman" w:hAnsi="Times New Roman"/>
          <w:sz w:val="18"/>
          <w:szCs w:val="18"/>
        </w:rPr>
        <w:t xml:space="preserve">[6] A. Chattopadhay, A. Sarkar, P. Howlader, and V. N. Balasubramanian, "Grad-CAM++: Generalized gradient-based visual explanations for deep convolutional networks," in Proc. IEEE Winter Conf. Appl. Comput. Vis. (WACV), 2018, pp. 839-847.</w:t>
      </w:r>
    </w:p>
    <w:p>
      <w:pPr>
        <w:spacing w:after="100" w:line="240"/>
        <w:ind w:left="260" w:hanging="260"/>
      </w:pPr>
      <w:r>
        <w:rPr>
          <w:rFonts w:ascii="Times New Roman" w:cs="Times New Roman" w:eastAsia="Times New Roman" w:hAnsi="Times New Roman"/>
          <w:sz w:val="18"/>
          <w:szCs w:val="18"/>
        </w:rPr>
        <w:t xml:space="preserve">[7] F. Tao, H. Zhang, A. Liu, and A. Y. C. Nee, "Digital twin in industry: State-of-the-art," IEEE Trans. Ind. Informat., vol. 15, no. 4, pp. 2405-2415, 2019.</w:t>
      </w:r>
    </w:p>
    <w:p>
      <w:pPr>
        <w:spacing w:after="100" w:line="240"/>
        <w:ind w:left="260" w:hanging="260"/>
      </w:pPr>
      <w:r>
        <w:rPr>
          <w:rFonts w:ascii="Times New Roman" w:cs="Times New Roman" w:eastAsia="Times New Roman" w:hAnsi="Times New Roman"/>
          <w:sz w:val="18"/>
          <w:szCs w:val="18"/>
        </w:rPr>
        <w:t xml:space="preserve">[8] P. Bhattacharya and M. F. Cloutier, "Explainable artificial intelligence for industrial applications," in Proc. IEEE Int. Conf. Ind. Technol., 2022.</w:t>
      </w:r>
    </w:p>
    <w:p>
      <w:pPr>
        <w:spacing w:after="100" w:line="240"/>
        <w:ind w:left="260" w:hanging="260"/>
      </w:pPr>
      <w:r>
        <w:rPr>
          <w:rFonts w:ascii="Times New Roman" w:cs="Times New Roman" w:eastAsia="Times New Roman" w:hAnsi="Times New Roman"/>
          <w:sz w:val="18"/>
          <w:szCs w:val="18"/>
        </w:rPr>
        <w:t xml:space="preserve">[9] M. Shakya et al., "FICS-PCB: A multi-modal image dataset for automated printed circuit board visual inspection," IACR Cryptol. ePrint Arch., 2020.</w:t>
      </w:r>
    </w:p>
    <w:p>
      <w:pPr>
        <w:spacing w:after="100" w:line="240"/>
        <w:ind w:left="260" w:hanging="260"/>
      </w:pPr>
      <w:r>
        <w:rPr>
          <w:rFonts w:ascii="Times New Roman" w:cs="Times New Roman" w:eastAsia="Times New Roman" w:hAnsi="Times New Roman"/>
          <w:sz w:val="18"/>
          <w:szCs w:val="18"/>
        </w:rPr>
        <w:t xml:space="preserve">[10] IPC-A-610G, Acceptability of Electronic Assemblies, IPC — Association Connecting Electronics Industries, 2020.</w:t>
      </w:r>
    </w:p>
    <w:sectPr>
      <w:type w:val="continuous"/>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2026-09-27T05:44:55.431Z</dcterms:created>
  <dcterms:modified xsi:type="dcterms:W3CDTF">2026-09-27T05:44:55.432Z</dcterms:modified>
</cp:coreProperties>
</file>

<file path=docProps/custom.xml><?xml version="1.0" encoding="utf-8"?>
<Properties xmlns="http://schemas.openxmlformats.org/officeDocument/2006/custom-properties" xmlns:vt="http://schemas.openxmlformats.org/officeDocument/2006/docPropsVTypes"/>
</file>