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40CCC" w14:textId="77777777" w:rsidR="002D15F3" w:rsidRDefault="00000000">
      <w:pPr>
        <w:pStyle w:val="Heading1"/>
      </w:pPr>
      <w:r>
        <w:t>Project Report: Global ESG Governance Compliance &amp; Risk Dashboard</w:t>
      </w:r>
    </w:p>
    <w:p w14:paraId="087BD7E9" w14:textId="77777777" w:rsidR="002D15F3" w:rsidRDefault="002D15F3"/>
    <w:p w14:paraId="1216CB68" w14:textId="77777777" w:rsidR="002D15F3" w:rsidRDefault="00000000">
      <w:pPr>
        <w:pStyle w:val="Heading2"/>
      </w:pPr>
      <w:r>
        <w:t>1. Introduction</w:t>
      </w:r>
    </w:p>
    <w:p w14:paraId="0F860C62" w14:textId="77777777" w:rsidR="002D15F3" w:rsidRDefault="00000000">
      <w:r>
        <w:t>This project focuses on building a dynamic and interactive ESG (Environmental, Social, and Governance) dashboard leveraging global data from the World Bank. The purpose is to provide a consolidated view of ESG indicators across countries, enabling stakeholders to evaluate sustainability performance, compare trends over time, and identify high-risk regions needing policy intervention.</w:t>
      </w:r>
    </w:p>
    <w:p w14:paraId="2495B68A" w14:textId="77777777" w:rsidR="002D15F3" w:rsidRDefault="00000000">
      <w:r>
        <w:t>The dashboard serves as a valuable tool for analysts, researchers, and decision-makers by offering a comprehensive visual understanding of ESG metrics and risk levels globally.</w:t>
      </w:r>
    </w:p>
    <w:p w14:paraId="1E8882AF" w14:textId="77777777" w:rsidR="002D15F3" w:rsidRDefault="00000000">
      <w:pPr>
        <w:pStyle w:val="Heading2"/>
      </w:pPr>
      <w:r>
        <w:t>2. Tools and Technologies</w:t>
      </w:r>
    </w:p>
    <w:p w14:paraId="760A300A" w14:textId="77777777" w:rsidR="002D15F3" w:rsidRDefault="00000000">
      <w:r>
        <w:t>- Microsoft Excel – Used for initial data exploration, transformation, and formatting of raw datasets.</w:t>
      </w:r>
      <w:r>
        <w:br/>
        <w:t>- Power Query – Utilized to reshape wide-format year-based ESG data into a tidy long format for analysis.</w:t>
      </w:r>
      <w:r>
        <w:br/>
        <w:t>- Tableau Desktop – The primary tool for developing visualizations and building the interactive ESG dashboard.</w:t>
      </w:r>
      <w:r>
        <w:br/>
        <w:t>- CSV Format – The cleaned dataset was exported in `.csv` format to ensure compatibility and easy integration with Tableau.</w:t>
      </w:r>
    </w:p>
    <w:p w14:paraId="7FE1DFDF" w14:textId="77777777" w:rsidR="002D15F3" w:rsidRDefault="00000000">
      <w:r>
        <w:t>These tools were selected for their accessibility, integration capability, and robust support for large-scale datasets.</w:t>
      </w:r>
    </w:p>
    <w:p w14:paraId="1756721D" w14:textId="77777777" w:rsidR="002D15F3" w:rsidRDefault="00000000">
      <w:pPr>
        <w:pStyle w:val="Heading2"/>
      </w:pPr>
      <w:r>
        <w:t>3. Dataset Overview</w:t>
      </w:r>
    </w:p>
    <w:p w14:paraId="6A647F00" w14:textId="77777777" w:rsidR="002D15F3" w:rsidRDefault="00000000">
      <w:r>
        <w:t>The dataset originates from the World Bank’s ESG repository and encompasses a wide range of country-level ESG indicators from 1960 to 2020. Key attributes include:</w:t>
      </w:r>
      <w:r>
        <w:br/>
        <w:t>- Country Name</w:t>
      </w:r>
      <w:r>
        <w:br/>
        <w:t>- Country Code</w:t>
      </w:r>
      <w:r>
        <w:br/>
        <w:t>- Indicator Name</w:t>
      </w:r>
      <w:r>
        <w:br/>
        <w:t>- Indicator Code</w:t>
      </w:r>
      <w:r>
        <w:br/>
        <w:t>- Annual ESG Values (1960–2020)</w:t>
      </w:r>
    </w:p>
    <w:p w14:paraId="2C69133E" w14:textId="77777777" w:rsidR="002D15F3" w:rsidRDefault="00000000">
      <w:r>
        <w:t>Additional Columns Created During Preprocessing:</w:t>
      </w:r>
      <w:r>
        <w:br/>
        <w:t>- Year – Converted from column headers to a dedicated column (long format).</w:t>
      </w:r>
      <w:r>
        <w:br/>
        <w:t>- ESG Value – Numeric representation of ESG performance per year per indicator.</w:t>
      </w:r>
      <w:r>
        <w:br/>
        <w:t>- Category – Classified into “Environmental,” “Social,” or “Governance” based on keywords in indicator names.</w:t>
      </w:r>
      <w:r>
        <w:br/>
        <w:t>- Risk Level – Automatically assigned based on ESG Value thresholds:</w:t>
      </w:r>
      <w:r>
        <w:br/>
      </w:r>
      <w:r>
        <w:lastRenderedPageBreak/>
        <w:t xml:space="preserve">  - High Risk: ESG &lt; 30</w:t>
      </w:r>
      <w:r>
        <w:br/>
        <w:t xml:space="preserve">  - Medium Risk: 30 ≤ ESG &lt; 60</w:t>
      </w:r>
      <w:r>
        <w:br/>
        <w:t xml:space="preserve">  - Low Risk: ESG ≥ 60</w:t>
      </w:r>
    </w:p>
    <w:p w14:paraId="56140F1C" w14:textId="77777777" w:rsidR="002D15F3" w:rsidRDefault="00000000">
      <w:pPr>
        <w:pStyle w:val="Heading2"/>
      </w:pPr>
      <w:r>
        <w:t>4. Data Preparation &amp; Cleaning Workflow</w:t>
      </w:r>
    </w:p>
    <w:p w14:paraId="5A9479FD" w14:textId="77777777" w:rsidR="002D15F3" w:rsidRDefault="00000000">
      <w:r>
        <w:t>1. Opened the original dataset (`ESGData.csv`) in Microsoft Excel.</w:t>
      </w:r>
      <w:r>
        <w:br/>
        <w:t>2. Removed irrelevant or empty columns such as "2050" and "Unnamed".</w:t>
      </w:r>
      <w:r>
        <w:br/>
        <w:t>3. Applied Power Query to unpivot year columns into two attributes: `Year` and `ESG Value`.</w:t>
      </w:r>
      <w:r>
        <w:br/>
        <w:t>4. Derived the Category column by mapping indicator keywords to ESG pillars.</w:t>
      </w:r>
      <w:r>
        <w:br/>
        <w:t>5. Computed Risk Level based on ESG Value bands, enabling downstream visual categorization.</w:t>
      </w:r>
      <w:r>
        <w:br/>
        <w:t>6. Finalized and exported the cleaned data to `ESG_Cleaned.csv` for Tableau use.</w:t>
      </w:r>
    </w:p>
    <w:p w14:paraId="5212D8AB" w14:textId="5F2DAE32" w:rsidR="00430437" w:rsidRDefault="00430437">
      <w:r>
        <w:rPr>
          <w:noProof/>
        </w:rPr>
        <w:drawing>
          <wp:inline distT="0" distB="0" distL="0" distR="0" wp14:anchorId="7680902C" wp14:editId="26551029">
            <wp:extent cx="5486400" cy="3192145"/>
            <wp:effectExtent l="0" t="0" r="0" b="8255"/>
            <wp:docPr id="16356753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8D06E" w14:textId="77777777" w:rsidR="002D15F3" w:rsidRDefault="00000000">
      <w:pPr>
        <w:pStyle w:val="Heading2"/>
      </w:pPr>
      <w:r>
        <w:t>5. Tableau Dashboard Design</w:t>
      </w:r>
    </w:p>
    <w:p w14:paraId="0C00C68F" w14:textId="77777777" w:rsidR="002D15F3" w:rsidRDefault="00000000">
      <w:r>
        <w:t>The dashboard was developed with a user-centric approach to allow flexibility in exploring and comparing ESG trends.</w:t>
      </w:r>
    </w:p>
    <w:p w14:paraId="14CE1114" w14:textId="77777777" w:rsidR="002D15F3" w:rsidRDefault="00000000">
      <w:r>
        <w:t>Core Components:</w:t>
      </w:r>
      <w:r>
        <w:br/>
        <w:t>- Choropleth Map – Displays country-level ESG performance, color-coded by value and filterable by category.</w:t>
      </w:r>
      <w:r>
        <w:br/>
        <w:t>- Bar Chart – Visual comparison of ESG values across selected countries.</w:t>
      </w:r>
      <w:r>
        <w:br/>
        <w:t>- Line Chart – Time-series view of ESG trends for one or multiple countries.</w:t>
      </w:r>
      <w:r>
        <w:br/>
        <w:t>- Pie Chart – Risk Level distribution across countries for a selected year or category.</w:t>
      </w:r>
      <w:r>
        <w:br/>
        <w:t>- Interactive Filters – Dropdown filters for Country, Category, Indicator Code, and Risk Level.</w:t>
      </w:r>
      <w:r>
        <w:br/>
        <w:t>- Tooltips – Provides contextual details on hover, including ESG Value, Risk Level, and description.</w:t>
      </w:r>
    </w:p>
    <w:p w14:paraId="172661F0" w14:textId="1C7F81FD" w:rsidR="00430437" w:rsidRDefault="00430437">
      <w:r>
        <w:rPr>
          <w:noProof/>
        </w:rPr>
        <w:lastRenderedPageBreak/>
        <w:drawing>
          <wp:inline distT="0" distB="0" distL="0" distR="0" wp14:anchorId="62AA915A" wp14:editId="72D8B732">
            <wp:extent cx="5486400" cy="3086100"/>
            <wp:effectExtent l="0" t="0" r="0" b="0"/>
            <wp:docPr id="5568204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2805" w14:textId="40F928F5" w:rsidR="00430437" w:rsidRDefault="00430437">
      <w:r>
        <w:rPr>
          <w:noProof/>
        </w:rPr>
        <w:drawing>
          <wp:inline distT="0" distB="0" distL="0" distR="0" wp14:anchorId="31A513AD" wp14:editId="524AE030">
            <wp:extent cx="5486400" cy="3086100"/>
            <wp:effectExtent l="0" t="0" r="0" b="0"/>
            <wp:docPr id="760142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537C" w14:textId="02F3F40C" w:rsidR="00430437" w:rsidRDefault="00430437">
      <w:r>
        <w:rPr>
          <w:noProof/>
        </w:rPr>
        <w:lastRenderedPageBreak/>
        <w:drawing>
          <wp:inline distT="0" distB="0" distL="0" distR="0" wp14:anchorId="63E61A9E" wp14:editId="65F4D8D6">
            <wp:extent cx="5486400" cy="3086100"/>
            <wp:effectExtent l="0" t="0" r="0" b="0"/>
            <wp:docPr id="434743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C3C5" w14:textId="3D223471" w:rsidR="00430437" w:rsidRDefault="00430437">
      <w:r>
        <w:rPr>
          <w:noProof/>
        </w:rPr>
        <w:drawing>
          <wp:inline distT="0" distB="0" distL="0" distR="0" wp14:anchorId="64429BCE" wp14:editId="02A672E8">
            <wp:extent cx="5486400" cy="3086100"/>
            <wp:effectExtent l="0" t="0" r="0" b="0"/>
            <wp:docPr id="1678766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BA127" w14:textId="77777777" w:rsidR="00430437" w:rsidRDefault="00430437"/>
    <w:p w14:paraId="4071D76D" w14:textId="77777777" w:rsidR="002D15F3" w:rsidRDefault="00000000">
      <w:pPr>
        <w:pStyle w:val="Heading2"/>
      </w:pPr>
      <w:r>
        <w:t>6. Key Insights &amp; Observations</w:t>
      </w:r>
    </w:p>
    <w:p w14:paraId="6A623C0C" w14:textId="77777777" w:rsidR="002D15F3" w:rsidRDefault="00000000">
      <w:r>
        <w:t>- Environmental Challenges – Countries with significant ecological pressures exhibit consistently lower ESG scores.</w:t>
      </w:r>
      <w:r>
        <w:br/>
        <w:t>- Stability in Governance – Governance-related indicators show greater temporal consistency.</w:t>
      </w:r>
      <w:r>
        <w:br/>
        <w:t>- Policy Impact – Notable improvements in ESG values over decades correlate with progressive policy changes.</w:t>
      </w:r>
      <w:r>
        <w:br/>
      </w:r>
      <w:r>
        <w:lastRenderedPageBreak/>
        <w:t>- High-Risk Hotspots – The risk classification framework helps spotlight regions requiring urgent sustainability interventions.</w:t>
      </w:r>
    </w:p>
    <w:p w14:paraId="25C3ACB0" w14:textId="64BF2FA6" w:rsidR="00430437" w:rsidRDefault="00430437">
      <w:r w:rsidRPr="001A263F">
        <w:drawing>
          <wp:inline distT="0" distB="0" distL="0" distR="0" wp14:anchorId="1593CE0C" wp14:editId="41817081">
            <wp:extent cx="5486400" cy="6470015"/>
            <wp:effectExtent l="0" t="0" r="0" b="6985"/>
            <wp:docPr id="64888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85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530" w14:textId="77777777" w:rsidR="002D15F3" w:rsidRDefault="00000000">
      <w:pPr>
        <w:pStyle w:val="Heading2"/>
      </w:pPr>
      <w:r>
        <w:t>7. Conclusion &amp; Future Scope</w:t>
      </w:r>
    </w:p>
    <w:p w14:paraId="72B643CD" w14:textId="77777777" w:rsidR="002D15F3" w:rsidRDefault="00000000">
      <w:r>
        <w:t>The ESG Dashboard consolidates decades of ESG data into a structured and interactive platform. It enhances transparency and aids in the strategic assessment of global ESG risks and sustainability efforts.</w:t>
      </w:r>
    </w:p>
    <w:p w14:paraId="555408DB" w14:textId="77777777" w:rsidR="002D15F3" w:rsidRDefault="00000000">
      <w:r>
        <w:lastRenderedPageBreak/>
        <w:t>Future Enhancements:</w:t>
      </w:r>
      <w:r>
        <w:br/>
        <w:t>- Integration with real-time ESG feeds and SDG indicators.</w:t>
      </w:r>
      <w:r>
        <w:br/>
        <w:t>- Development of a web-based dashboard using Plotly Dash or Power BI for broader access.</w:t>
      </w:r>
      <w:r>
        <w:br/>
        <w:t>- Inclusion of machine learning models to forecast ESG risk trajectories.</w:t>
      </w:r>
      <w:r>
        <w:br/>
        <w:t>- Collaboration with stakeholders to refine the risk models and category mappings.</w:t>
      </w:r>
    </w:p>
    <w:p w14:paraId="13E49D4B" w14:textId="77777777" w:rsidR="002D15F3" w:rsidRDefault="00000000">
      <w:r>
        <w:t>The modular design ensures scalability, making this dashboard a strong foundation for long-term ESG analytics.</w:t>
      </w:r>
    </w:p>
    <w:sectPr w:rsidR="002D15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6144110">
    <w:abstractNumId w:val="8"/>
  </w:num>
  <w:num w:numId="2" w16cid:durableId="623195919">
    <w:abstractNumId w:val="6"/>
  </w:num>
  <w:num w:numId="3" w16cid:durableId="966353840">
    <w:abstractNumId w:val="5"/>
  </w:num>
  <w:num w:numId="4" w16cid:durableId="1325015736">
    <w:abstractNumId w:val="4"/>
  </w:num>
  <w:num w:numId="5" w16cid:durableId="738598034">
    <w:abstractNumId w:val="7"/>
  </w:num>
  <w:num w:numId="6" w16cid:durableId="1668097915">
    <w:abstractNumId w:val="3"/>
  </w:num>
  <w:num w:numId="7" w16cid:durableId="1177698112">
    <w:abstractNumId w:val="2"/>
  </w:num>
  <w:num w:numId="8" w16cid:durableId="1269045527">
    <w:abstractNumId w:val="1"/>
  </w:num>
  <w:num w:numId="9" w16cid:durableId="11051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5F3"/>
    <w:rsid w:val="00326F90"/>
    <w:rsid w:val="00430437"/>
    <w:rsid w:val="008D0B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7275C"/>
  <w14:defaultImageDpi w14:val="300"/>
  <w15:docId w15:val="{91C297B6-93C1-409B-BD07-B6F1FC8C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3730</Characters>
  <Application>Microsoft Office Word</Application>
  <DocSecurity>0</DocSecurity>
  <Lines>84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PARVATHAM YAKSHITHA GOWRI</cp:lastModifiedBy>
  <cp:revision>2</cp:revision>
  <dcterms:created xsi:type="dcterms:W3CDTF">2013-12-23T23:15:00Z</dcterms:created>
  <dcterms:modified xsi:type="dcterms:W3CDTF">2025-06-13T06:05:00Z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3bce0ff2-7c6f-4d07-9009-f8159a929d61</vt:lpwstr>
  </property>
</Properties>
</file>