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DFC87" w14:textId="77777777" w:rsidR="00AE57C6" w:rsidRDefault="005B53DE">
      <w:pPr>
        <w:jc w:val="center"/>
        <w:rPr>
          <w:b/>
          <w:bCs/>
          <w:sz w:val="34"/>
          <w:szCs w:val="34"/>
        </w:rPr>
      </w:pPr>
      <w:r>
        <w:rPr>
          <w:b/>
          <w:bCs/>
          <w:sz w:val="34"/>
          <w:szCs w:val="34"/>
        </w:rPr>
        <w:t xml:space="preserve"> SIMATS ENGINEERING</w:t>
      </w:r>
    </w:p>
    <w:p w14:paraId="05EDA229" w14:textId="77777777" w:rsidR="00AE57C6" w:rsidRDefault="005B53DE">
      <w:pPr>
        <w:jc w:val="center"/>
        <w:rPr>
          <w:b/>
          <w:bCs/>
          <w:sz w:val="28"/>
          <w:szCs w:val="28"/>
        </w:rPr>
      </w:pPr>
      <w:r>
        <w:rPr>
          <w:b/>
          <w:bCs/>
          <w:sz w:val="28"/>
          <w:szCs w:val="28"/>
        </w:rPr>
        <w:t xml:space="preserve">ASSESSMENT TOOL 2 </w:t>
      </w:r>
    </w:p>
    <w:p w14:paraId="0872AD94" w14:textId="77777777" w:rsidR="00AE57C6" w:rsidRDefault="00AE57C6">
      <w:pPr>
        <w:jc w:val="center"/>
        <w:rPr>
          <w:b/>
          <w:bCs/>
          <w:sz w:val="34"/>
          <w:szCs w:val="34"/>
        </w:rPr>
      </w:pPr>
    </w:p>
    <w:p w14:paraId="437E1FEE" w14:textId="356BD9E0" w:rsidR="004E79D1" w:rsidRDefault="005B53DE">
      <w:pPr>
        <w:rPr>
          <w:b/>
          <w:bCs/>
          <w:sz w:val="24"/>
          <w:szCs w:val="24"/>
        </w:rPr>
      </w:pPr>
      <w:r>
        <w:rPr>
          <w:b/>
          <w:bCs/>
          <w:sz w:val="24"/>
          <w:szCs w:val="24"/>
        </w:rPr>
        <w:t>COURSE CODE:</w:t>
      </w:r>
      <w:r>
        <w:rPr>
          <w:b/>
          <w:bCs/>
          <w:sz w:val="24"/>
          <w:szCs w:val="24"/>
        </w:rPr>
        <w:tab/>
        <w:t>CSA51</w:t>
      </w:r>
      <w:r w:rsidR="004E79D1">
        <w:rPr>
          <w:b/>
          <w:bCs/>
          <w:sz w:val="24"/>
          <w:szCs w:val="24"/>
        </w:rPr>
        <w:t>11</w:t>
      </w:r>
      <w:r>
        <w:rPr>
          <w:b/>
          <w:bCs/>
          <w:sz w:val="24"/>
          <w:szCs w:val="24"/>
        </w:rPr>
        <w:t xml:space="preserve"> </w:t>
      </w:r>
    </w:p>
    <w:p w14:paraId="3279C076" w14:textId="6E4E0E0E" w:rsidR="00AE57C6" w:rsidRDefault="005B53DE">
      <w:pPr>
        <w:rPr>
          <w:b/>
          <w:bCs/>
          <w:sz w:val="24"/>
          <w:szCs w:val="24"/>
        </w:rPr>
      </w:pPr>
      <w:r>
        <w:rPr>
          <w:b/>
          <w:bCs/>
          <w:sz w:val="24"/>
          <w:szCs w:val="24"/>
        </w:rPr>
        <w:t xml:space="preserve">COURSE NAME: Cryptography and Network Security </w:t>
      </w:r>
      <w:r>
        <w:rPr>
          <w:b/>
          <w:bCs/>
          <w:sz w:val="24"/>
          <w:szCs w:val="24"/>
        </w:rPr>
        <w:tab/>
      </w:r>
      <w:r>
        <w:rPr>
          <w:b/>
          <w:bCs/>
          <w:sz w:val="24"/>
          <w:szCs w:val="24"/>
        </w:rPr>
        <w:tab/>
      </w:r>
    </w:p>
    <w:p w14:paraId="03D94377" w14:textId="77777777" w:rsidR="00AE57C6" w:rsidRDefault="005B53DE">
      <w:pPr>
        <w:rPr>
          <w:b/>
          <w:bCs/>
          <w:sz w:val="24"/>
          <w:szCs w:val="24"/>
        </w:rPr>
      </w:pPr>
      <w:r>
        <w:rPr>
          <w:b/>
          <w:bCs/>
          <w:sz w:val="24"/>
          <w:szCs w:val="24"/>
        </w:rPr>
        <w:tab/>
      </w:r>
    </w:p>
    <w:p w14:paraId="40FDE27B" w14:textId="77777777" w:rsidR="00AE57C6" w:rsidRDefault="00AE57C6">
      <w:pPr>
        <w:rPr>
          <w:b/>
          <w:bCs/>
          <w:sz w:val="24"/>
          <w:szCs w:val="24"/>
        </w:rPr>
      </w:pPr>
    </w:p>
    <w:p w14:paraId="66E64FA3" w14:textId="77777777" w:rsidR="00AE57C6" w:rsidRDefault="005B53DE">
      <w:pPr>
        <w:rPr>
          <w:b/>
          <w:bCs/>
          <w:sz w:val="24"/>
          <w:szCs w:val="24"/>
        </w:rPr>
      </w:pPr>
      <w:r>
        <w:pict w14:anchorId="560EBB9F">
          <v:rect id="_x0000_i1025" style="width:0;height:1.5pt" o:hralign="center" o:hrstd="t" o:hr="t" fillcolor="#a0a0a0" stroked="f"/>
        </w:pict>
      </w:r>
    </w:p>
    <w:p w14:paraId="2C8A20F1" w14:textId="77777777" w:rsidR="00AE57C6" w:rsidRDefault="00AE57C6">
      <w:pPr>
        <w:rPr>
          <w:b/>
          <w:bCs/>
          <w:sz w:val="24"/>
          <w:szCs w:val="24"/>
        </w:rPr>
      </w:pPr>
    </w:p>
    <w:p w14:paraId="4A1E99A3" w14:textId="77777777" w:rsidR="00AE57C6" w:rsidRDefault="005B53DE">
      <w:pPr>
        <w:rPr>
          <w:b/>
          <w:bCs/>
          <w:sz w:val="24"/>
          <w:szCs w:val="24"/>
        </w:rPr>
      </w:pPr>
      <w:r>
        <w:rPr>
          <w:b/>
          <w:bCs/>
          <w:sz w:val="24"/>
          <w:szCs w:val="24"/>
        </w:rPr>
        <w:t>COURSE OUTCOME COVERED</w:t>
      </w:r>
    </w:p>
    <w:p w14:paraId="12F8E520" w14:textId="77777777" w:rsidR="00AE57C6" w:rsidRDefault="00AE57C6">
      <w:pPr>
        <w:rPr>
          <w:b/>
          <w:bCs/>
          <w:sz w:val="24"/>
          <w:szCs w:val="24"/>
        </w:rPr>
      </w:pPr>
    </w:p>
    <w:p w14:paraId="717AA71B" w14:textId="77777777" w:rsidR="00AE57C6" w:rsidRDefault="005B53DE">
      <w:pPr>
        <w:rPr>
          <w:sz w:val="24"/>
          <w:szCs w:val="24"/>
        </w:rPr>
      </w:pPr>
      <w:r>
        <w:rPr>
          <w:b/>
          <w:bCs/>
          <w:sz w:val="24"/>
          <w:szCs w:val="24"/>
        </w:rPr>
        <w:t xml:space="preserve">CO4: </w:t>
      </w:r>
      <w:r>
        <w:rPr>
          <w:i/>
          <w:iCs/>
          <w:sz w:val="24"/>
          <w:szCs w:val="24"/>
        </w:rPr>
        <w:t xml:space="preserve">Implement best security practices for IP, email, and web service using PGP, S/MIME for enhancing email Security.CO </w:t>
      </w:r>
      <w:r>
        <w:rPr>
          <w:sz w:val="24"/>
          <w:szCs w:val="24"/>
        </w:rPr>
        <w:t>(BL3, BL6)</w:t>
      </w:r>
    </w:p>
    <w:p w14:paraId="0969B6A4" w14:textId="77777777" w:rsidR="00AE57C6" w:rsidRDefault="00AE57C6">
      <w:pPr>
        <w:rPr>
          <w:sz w:val="24"/>
          <w:szCs w:val="24"/>
        </w:rPr>
      </w:pPr>
    </w:p>
    <w:p w14:paraId="3790608F" w14:textId="77777777" w:rsidR="00AE57C6" w:rsidRDefault="005B53DE">
      <w:pPr>
        <w:rPr>
          <w:i/>
          <w:iCs/>
          <w:sz w:val="24"/>
          <w:szCs w:val="24"/>
        </w:rPr>
      </w:pPr>
      <w:r>
        <w:rPr>
          <w:i/>
          <w:iCs/>
          <w:sz w:val="24"/>
          <w:szCs w:val="24"/>
        </w:rPr>
        <w:t>Assessment Tool Weightage: 20%</w:t>
      </w:r>
    </w:p>
    <w:p w14:paraId="38D52385" w14:textId="77777777" w:rsidR="00AE57C6" w:rsidRDefault="00AE57C6">
      <w:pPr>
        <w:rPr>
          <w:sz w:val="24"/>
          <w:szCs w:val="24"/>
        </w:rPr>
      </w:pPr>
    </w:p>
    <w:p w14:paraId="63C0696D" w14:textId="77777777" w:rsidR="00AE57C6" w:rsidRDefault="005B53DE">
      <w:pPr>
        <w:rPr>
          <w:sz w:val="24"/>
          <w:szCs w:val="24"/>
        </w:rPr>
      </w:pPr>
      <w:r>
        <w:pict w14:anchorId="29B307CF">
          <v:rect id="_x0000_i1026" style="width:0;height:1.5pt" o:hralign="center" o:hrstd="t" o:hr="t" fillcolor="#a0a0a0" stroked="f"/>
        </w:pict>
      </w:r>
    </w:p>
    <w:p w14:paraId="679958B5" w14:textId="77777777" w:rsidR="00AE57C6" w:rsidRDefault="00AE57C6">
      <w:pPr>
        <w:rPr>
          <w:sz w:val="24"/>
          <w:szCs w:val="24"/>
        </w:rPr>
      </w:pPr>
    </w:p>
    <w:p w14:paraId="00ECF6FE" w14:textId="77777777" w:rsidR="00AE57C6" w:rsidRDefault="005B53DE">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w:t>
      </w:r>
    </w:p>
    <w:p w14:paraId="1DCC1C95" w14:textId="77777777" w:rsidR="00AE57C6" w:rsidRDefault="00AE57C6">
      <w:pPr>
        <w:rPr>
          <w:b/>
          <w:bCs/>
          <w:sz w:val="24"/>
          <w:szCs w:val="24"/>
        </w:rPr>
      </w:pPr>
    </w:p>
    <w:p w14:paraId="3A713D59" w14:textId="77777777" w:rsidR="00AE57C6" w:rsidRDefault="005B53DE">
      <w:pPr>
        <w:jc w:val="center"/>
        <w:rPr>
          <w:b/>
          <w:bCs/>
          <w:sz w:val="24"/>
          <w:szCs w:val="24"/>
        </w:rPr>
      </w:pPr>
      <w:r>
        <w:rPr>
          <w:b/>
          <w:bCs/>
          <w:sz w:val="24"/>
          <w:szCs w:val="24"/>
        </w:rPr>
        <w:t>Annexure A</w:t>
      </w:r>
    </w:p>
    <w:p w14:paraId="254B4DAC" w14:textId="77777777" w:rsidR="00AE57C6" w:rsidRDefault="005B53DE">
      <w:pPr>
        <w:jc w:val="center"/>
        <w:rPr>
          <w:b/>
          <w:bCs/>
          <w:sz w:val="24"/>
          <w:szCs w:val="24"/>
        </w:rPr>
      </w:pPr>
      <w:r>
        <w:rPr>
          <w:b/>
          <w:bCs/>
          <w:i/>
          <w:iCs/>
          <w:sz w:val="24"/>
          <w:szCs w:val="24"/>
        </w:rPr>
        <w:t>Industry Problem-Solving Task</w:t>
      </w:r>
    </w:p>
    <w:p w14:paraId="54EF8278" w14:textId="77777777" w:rsidR="00AE57C6" w:rsidRDefault="00AE57C6">
      <w:pPr>
        <w:rPr>
          <w:sz w:val="24"/>
          <w:szCs w:val="24"/>
        </w:rPr>
      </w:pPr>
    </w:p>
    <w:p w14:paraId="036D1E46" w14:textId="77777777" w:rsidR="00AE57C6" w:rsidRDefault="00AE57C6">
      <w:pPr>
        <w:rPr>
          <w:b/>
          <w:bCs/>
          <w:sz w:val="24"/>
          <w:szCs w:val="24"/>
        </w:rPr>
      </w:pPr>
    </w:p>
    <w:p w14:paraId="0C2F0D65" w14:textId="77777777" w:rsidR="00AE57C6" w:rsidRDefault="005B53DE">
      <w:pPr>
        <w:rPr>
          <w:b/>
          <w:bCs/>
          <w:sz w:val="24"/>
          <w:szCs w:val="24"/>
        </w:rPr>
      </w:pPr>
      <w:r>
        <w:pict w14:anchorId="23914FB1">
          <v:rect id="_x0000_i1027" style="width:0;height:1.5pt" o:hralign="center" o:hrstd="t" o:hr="t" fillcolor="#a0a0a0" stroked="f"/>
        </w:pict>
      </w:r>
    </w:p>
    <w:p w14:paraId="04218462" w14:textId="77777777" w:rsidR="00AE57C6" w:rsidRDefault="00AE57C6">
      <w:pPr>
        <w:rPr>
          <w:b/>
          <w:bCs/>
          <w:sz w:val="24"/>
          <w:szCs w:val="24"/>
        </w:rPr>
      </w:pPr>
    </w:p>
    <w:p w14:paraId="14E048EB" w14:textId="77777777" w:rsidR="00AE57C6" w:rsidRDefault="00AE57C6">
      <w:pPr>
        <w:rPr>
          <w:b/>
          <w:bCs/>
          <w:i/>
          <w:iCs/>
          <w:sz w:val="24"/>
          <w:szCs w:val="24"/>
        </w:rPr>
      </w:pPr>
    </w:p>
    <w:p w14:paraId="7B5A2460" w14:textId="77777777" w:rsidR="00AE57C6" w:rsidRDefault="005B53DE">
      <w:pPr>
        <w:rPr>
          <w:b/>
          <w:bCs/>
          <w:i/>
          <w:iCs/>
          <w:sz w:val="24"/>
          <w:szCs w:val="24"/>
        </w:rPr>
      </w:pPr>
      <w:r>
        <w:rPr>
          <w:b/>
          <w:bCs/>
          <w:i/>
          <w:iCs/>
          <w:sz w:val="24"/>
          <w:szCs w:val="24"/>
        </w:rPr>
        <w:t>Code of Conduct:</w:t>
      </w:r>
    </w:p>
    <w:p w14:paraId="4C32823E" w14:textId="77777777" w:rsidR="00AE57C6" w:rsidRDefault="00AE57C6">
      <w:pPr>
        <w:rPr>
          <w:i/>
          <w:iCs/>
          <w:sz w:val="24"/>
          <w:szCs w:val="24"/>
        </w:rPr>
      </w:pPr>
    </w:p>
    <w:p w14:paraId="48BB58AB" w14:textId="3FA9CFD6" w:rsidR="00AE57C6" w:rsidRDefault="005B53DE">
      <w:pPr>
        <w:jc w:val="both"/>
        <w:rPr>
          <w:i/>
          <w:iCs/>
          <w:sz w:val="24"/>
          <w:szCs w:val="24"/>
        </w:rPr>
      </w:pPr>
      <w:r>
        <w:rPr>
          <w:i/>
          <w:iCs/>
          <w:sz w:val="24"/>
          <w:szCs w:val="24"/>
        </w:rPr>
        <w:t xml:space="preserve">I </w:t>
      </w:r>
      <w:r w:rsidR="004E79D1">
        <w:rPr>
          <w:i/>
          <w:iCs/>
          <w:sz w:val="24"/>
          <w:szCs w:val="24"/>
        </w:rPr>
        <w:t>Kala Gowri Shankar</w:t>
      </w:r>
      <w:r>
        <w:rPr>
          <w:i/>
          <w:iCs/>
          <w:sz w:val="24"/>
          <w:szCs w:val="24"/>
        </w:rPr>
        <w:t xml:space="preserve"> (</w:t>
      </w:r>
      <w:r w:rsidR="004E79D1">
        <w:rPr>
          <w:i/>
          <w:iCs/>
          <w:sz w:val="24"/>
          <w:szCs w:val="24"/>
        </w:rPr>
        <w:t>192325109</w:t>
      </w:r>
      <w:r>
        <w:rPr>
          <w:i/>
          <w:iCs/>
          <w:sz w:val="24"/>
          <w:szCs w:val="24"/>
        </w:rPr>
        <w:t>) certify that this submission is my original work and that I have adhered to the guidelines specified for this assessment.</w:t>
      </w:r>
    </w:p>
    <w:p w14:paraId="56457149" w14:textId="77777777" w:rsidR="00AE57C6" w:rsidRDefault="005B53DE">
      <w:pPr>
        <w:jc w:val="both"/>
        <w:rPr>
          <w:i/>
          <w:iCs/>
          <w:sz w:val="24"/>
          <w:szCs w:val="24"/>
        </w:rPr>
      </w:pPr>
      <w:r>
        <w:rPr>
          <w:i/>
          <w:iCs/>
          <w:sz w:val="24"/>
          <w:szCs w:val="24"/>
        </w:rPr>
        <w:t>I understand that any violation of academic integrity rules will result in disciplinary action.</w:t>
      </w:r>
    </w:p>
    <w:p w14:paraId="4117DD34" w14:textId="77777777" w:rsidR="00AE57C6" w:rsidRDefault="00AE57C6">
      <w:pPr>
        <w:jc w:val="both"/>
        <w:rPr>
          <w:i/>
          <w:iCs/>
          <w:sz w:val="24"/>
          <w:szCs w:val="24"/>
        </w:rPr>
      </w:pPr>
    </w:p>
    <w:p w14:paraId="4B8DEC02" w14:textId="77777777" w:rsidR="00AE57C6" w:rsidRDefault="00AE57C6">
      <w:pPr>
        <w:jc w:val="both"/>
        <w:rPr>
          <w:i/>
          <w:iCs/>
          <w:sz w:val="24"/>
          <w:szCs w:val="24"/>
        </w:rPr>
      </w:pPr>
    </w:p>
    <w:p w14:paraId="1EA3D395" w14:textId="77777777" w:rsidR="00AE57C6" w:rsidRDefault="00AE57C6">
      <w:pPr>
        <w:rPr>
          <w:i/>
          <w:iCs/>
          <w:sz w:val="24"/>
          <w:szCs w:val="24"/>
        </w:rPr>
      </w:pPr>
    </w:p>
    <w:p w14:paraId="0DF8C037" w14:textId="77777777" w:rsidR="00AE57C6" w:rsidRDefault="005B53DE">
      <w:pPr>
        <w:rPr>
          <w:b/>
          <w:bCs/>
          <w:i/>
          <w:iCs/>
          <w:sz w:val="24"/>
          <w:szCs w:val="24"/>
        </w:rPr>
      </w:pPr>
      <w:r>
        <w:rPr>
          <w:b/>
          <w:bCs/>
          <w:i/>
          <w:iCs/>
          <w:sz w:val="24"/>
          <w:szCs w:val="24"/>
        </w:rPr>
        <w:t>Signature of the student:</w:t>
      </w:r>
    </w:p>
    <w:p w14:paraId="6E4647E0" w14:textId="4A36C5F8" w:rsidR="00AE57C6" w:rsidRDefault="004E79D1">
      <w:pPr>
        <w:rPr>
          <w:i/>
          <w:iCs/>
          <w:sz w:val="24"/>
          <w:szCs w:val="24"/>
        </w:rPr>
      </w:pPr>
      <w:r>
        <w:rPr>
          <w:sz w:val="24"/>
          <w:szCs w:val="24"/>
        </w:rPr>
        <w:t>Kala Gowri Shankar</w:t>
      </w:r>
    </w:p>
    <w:p w14:paraId="19405C48" w14:textId="77777777" w:rsidR="00AE57C6" w:rsidRDefault="00AE57C6">
      <w:pPr>
        <w:rPr>
          <w:i/>
          <w:iCs/>
          <w:sz w:val="24"/>
          <w:szCs w:val="24"/>
        </w:rPr>
      </w:pPr>
    </w:p>
    <w:p w14:paraId="5520EC07" w14:textId="77777777" w:rsidR="00AE57C6" w:rsidRDefault="00AE57C6">
      <w:pPr>
        <w:rPr>
          <w:i/>
          <w:iCs/>
          <w:sz w:val="24"/>
          <w:szCs w:val="24"/>
        </w:rPr>
      </w:pPr>
    </w:p>
    <w:p w14:paraId="6B0BB962" w14:textId="77777777" w:rsidR="00AE57C6" w:rsidRDefault="00AE57C6">
      <w:pPr>
        <w:rPr>
          <w:i/>
          <w:iCs/>
          <w:sz w:val="24"/>
          <w:szCs w:val="24"/>
        </w:rPr>
      </w:pPr>
    </w:p>
    <w:p w14:paraId="3BD3D392" w14:textId="77777777" w:rsidR="00AE57C6" w:rsidRDefault="00AE57C6">
      <w:pPr>
        <w:rPr>
          <w:i/>
          <w:iCs/>
          <w:sz w:val="24"/>
          <w:szCs w:val="24"/>
        </w:rPr>
      </w:pPr>
    </w:p>
    <w:p w14:paraId="48686254" w14:textId="77777777" w:rsidR="00AE57C6" w:rsidRDefault="00AE57C6">
      <w:pPr>
        <w:rPr>
          <w:i/>
          <w:iCs/>
          <w:sz w:val="24"/>
          <w:szCs w:val="24"/>
        </w:rPr>
      </w:pPr>
    </w:p>
    <w:p w14:paraId="679105A2" w14:textId="77777777" w:rsidR="00AE57C6" w:rsidRDefault="00AE57C6">
      <w:pPr>
        <w:rPr>
          <w:i/>
          <w:iCs/>
          <w:sz w:val="24"/>
          <w:szCs w:val="24"/>
        </w:rPr>
      </w:pPr>
    </w:p>
    <w:p w14:paraId="4191FEE1" w14:textId="77777777" w:rsidR="00AE57C6" w:rsidRDefault="005B53DE">
      <w:pPr>
        <w:jc w:val="center"/>
        <w:rPr>
          <w:b/>
          <w:bCs/>
          <w:i/>
          <w:iCs/>
          <w:sz w:val="24"/>
          <w:szCs w:val="24"/>
        </w:rPr>
      </w:pPr>
      <w:r>
        <w:rPr>
          <w:b/>
          <w:bCs/>
          <w:i/>
          <w:iCs/>
          <w:sz w:val="24"/>
          <w:szCs w:val="24"/>
        </w:rPr>
        <w:lastRenderedPageBreak/>
        <w:t>Annexure A</w:t>
      </w:r>
    </w:p>
    <w:p w14:paraId="18EBCE37" w14:textId="77777777" w:rsidR="00AE57C6" w:rsidRDefault="005B53DE">
      <w:pPr>
        <w:jc w:val="center"/>
        <w:rPr>
          <w:i/>
          <w:iCs/>
          <w:sz w:val="24"/>
          <w:szCs w:val="24"/>
        </w:rPr>
      </w:pPr>
      <w:r>
        <w:rPr>
          <w:b/>
          <w:bCs/>
          <w:i/>
          <w:iCs/>
          <w:sz w:val="24"/>
          <w:szCs w:val="24"/>
        </w:rPr>
        <w:t>Industry Problem-Solving Task</w:t>
      </w:r>
    </w:p>
    <w:p w14:paraId="2952CA9B" w14:textId="77777777" w:rsidR="00AE57C6" w:rsidRDefault="00AE57C6">
      <w:pPr>
        <w:rPr>
          <w:i/>
          <w:iCs/>
          <w:sz w:val="24"/>
          <w:szCs w:val="24"/>
        </w:rPr>
      </w:pPr>
    </w:p>
    <w:p w14:paraId="0428192A" w14:textId="77777777" w:rsidR="00AE57C6" w:rsidRDefault="00AE57C6">
      <w:pPr>
        <w:spacing w:before="240" w:after="240" w:line="360" w:lineRule="auto"/>
        <w:ind w:left="720"/>
        <w:rPr>
          <w:sz w:val="24"/>
          <w:szCs w:val="24"/>
        </w:rPr>
      </w:pPr>
    </w:p>
    <w:p w14:paraId="115A03C7" w14:textId="77777777" w:rsidR="00AE57C6" w:rsidRPr="004E79D1" w:rsidRDefault="005B53DE">
      <w:pPr>
        <w:numPr>
          <w:ilvl w:val="0"/>
          <w:numId w:val="6"/>
        </w:numPr>
        <w:spacing w:before="240" w:line="360" w:lineRule="auto"/>
        <w:rPr>
          <w:rFonts w:ascii="Times New Roman" w:hAnsi="Times New Roman" w:cs="Times New Roman"/>
          <w:b/>
          <w:bCs/>
          <w:sz w:val="24"/>
          <w:szCs w:val="24"/>
        </w:rPr>
      </w:pPr>
      <w:r w:rsidRPr="004E79D1">
        <w:rPr>
          <w:rFonts w:ascii="Times New Roman" w:hAnsi="Times New Roman" w:cs="Times New Roman"/>
          <w:b/>
          <w:bCs/>
          <w:sz w:val="24"/>
          <w:szCs w:val="24"/>
        </w:rPr>
        <w:t>An organization faces frequent key management issues in its IPSec implementation, leading to expired or mismatched keys. Propose a solution to efficiently manage Security Associations (SA) and automate key exchange in a scalable enterprise environment.</w:t>
      </w:r>
      <w:r w:rsidRPr="004E79D1">
        <w:rPr>
          <w:rFonts w:ascii="Times New Roman" w:hAnsi="Times New Roman" w:cs="Times New Roman"/>
          <w:b/>
          <w:bCs/>
          <w:sz w:val="24"/>
          <w:szCs w:val="24"/>
        </w:rPr>
        <w:br/>
        <w:t xml:space="preserve"> </w:t>
      </w:r>
      <w:r w:rsidRPr="004E79D1">
        <w:rPr>
          <w:rFonts w:ascii="Times New Roman" w:hAnsi="Times New Roman" w:cs="Times New Roman"/>
          <w:b/>
          <w:bCs/>
          <w:sz w:val="24"/>
          <w:szCs w:val="24"/>
        </w:rPr>
        <w:t>Tasks:</w:t>
      </w:r>
    </w:p>
    <w:p w14:paraId="454FA084" w14:textId="77777777" w:rsidR="00AE57C6" w:rsidRPr="004E79D1" w:rsidRDefault="005B53DE">
      <w:pPr>
        <w:numPr>
          <w:ilvl w:val="0"/>
          <w:numId w:val="9"/>
        </w:numPr>
        <w:spacing w:line="360" w:lineRule="auto"/>
        <w:rPr>
          <w:rFonts w:ascii="Times New Roman" w:hAnsi="Times New Roman" w:cs="Times New Roman"/>
          <w:b/>
          <w:bCs/>
          <w:sz w:val="24"/>
          <w:szCs w:val="24"/>
        </w:rPr>
      </w:pPr>
      <w:r w:rsidRPr="004E79D1">
        <w:rPr>
          <w:rFonts w:ascii="Times New Roman" w:hAnsi="Times New Roman" w:cs="Times New Roman"/>
          <w:b/>
          <w:bCs/>
          <w:sz w:val="24"/>
          <w:szCs w:val="24"/>
        </w:rPr>
        <w:t>Analyze current SA lifecycle issues</w:t>
      </w:r>
    </w:p>
    <w:p w14:paraId="1ACDBCC6" w14:textId="77777777" w:rsidR="00AE57C6" w:rsidRPr="004E79D1" w:rsidRDefault="005B53DE">
      <w:pPr>
        <w:numPr>
          <w:ilvl w:val="0"/>
          <w:numId w:val="9"/>
        </w:numPr>
        <w:spacing w:line="360" w:lineRule="auto"/>
        <w:rPr>
          <w:rFonts w:ascii="Times New Roman" w:hAnsi="Times New Roman" w:cs="Times New Roman"/>
          <w:b/>
          <w:bCs/>
          <w:sz w:val="24"/>
          <w:szCs w:val="24"/>
        </w:rPr>
      </w:pPr>
      <w:r w:rsidRPr="004E79D1">
        <w:rPr>
          <w:rFonts w:ascii="Times New Roman" w:hAnsi="Times New Roman" w:cs="Times New Roman"/>
          <w:b/>
          <w:bCs/>
          <w:sz w:val="24"/>
          <w:szCs w:val="24"/>
        </w:rPr>
        <w:t>Design an automated key management mechanism (e.g., IKE-based)</w:t>
      </w:r>
    </w:p>
    <w:p w14:paraId="61CFC315" w14:textId="77777777" w:rsidR="00AE57C6" w:rsidRPr="004E79D1" w:rsidRDefault="005B53DE">
      <w:pPr>
        <w:numPr>
          <w:ilvl w:val="0"/>
          <w:numId w:val="9"/>
        </w:numPr>
        <w:spacing w:line="360" w:lineRule="auto"/>
        <w:rPr>
          <w:rFonts w:ascii="Times New Roman" w:hAnsi="Times New Roman" w:cs="Times New Roman"/>
          <w:b/>
          <w:bCs/>
          <w:sz w:val="24"/>
          <w:szCs w:val="24"/>
        </w:rPr>
      </w:pPr>
      <w:r w:rsidRPr="004E79D1">
        <w:rPr>
          <w:rFonts w:ascii="Times New Roman" w:hAnsi="Times New Roman" w:cs="Times New Roman"/>
          <w:b/>
          <w:bCs/>
          <w:sz w:val="24"/>
          <w:szCs w:val="24"/>
        </w:rPr>
        <w:t>Propose a strategy for key renewal and revocation</w:t>
      </w:r>
    </w:p>
    <w:p w14:paraId="7A7BDD95" w14:textId="77777777" w:rsidR="00AE57C6" w:rsidRPr="004E79D1" w:rsidRDefault="005B53DE">
      <w:pPr>
        <w:numPr>
          <w:ilvl w:val="0"/>
          <w:numId w:val="9"/>
        </w:numPr>
        <w:spacing w:after="240" w:line="360" w:lineRule="auto"/>
        <w:rPr>
          <w:rFonts w:ascii="Times New Roman" w:hAnsi="Times New Roman" w:cs="Times New Roman"/>
          <w:b/>
          <w:bCs/>
          <w:sz w:val="24"/>
          <w:szCs w:val="24"/>
        </w:rPr>
      </w:pPr>
      <w:r w:rsidRPr="004E79D1">
        <w:rPr>
          <w:rFonts w:ascii="Times New Roman" w:hAnsi="Times New Roman" w:cs="Times New Roman"/>
          <w:b/>
          <w:bCs/>
          <w:sz w:val="24"/>
          <w:szCs w:val="24"/>
        </w:rPr>
        <w:t>Evaluate scalability and fault tolerance</w:t>
      </w:r>
    </w:p>
    <w:p w14:paraId="77A906C1" w14:textId="77777777" w:rsidR="004E79D1" w:rsidRPr="004E79D1" w:rsidRDefault="004E79D1" w:rsidP="004E79D1">
      <w:pPr>
        <w:spacing w:after="240" w:line="360" w:lineRule="auto"/>
        <w:ind w:left="360"/>
        <w:rPr>
          <w:rFonts w:ascii="Times New Roman" w:hAnsi="Times New Roman" w:cs="Times New Roman"/>
          <w:b/>
          <w:bCs/>
          <w:sz w:val="24"/>
          <w:szCs w:val="24"/>
        </w:rPr>
      </w:pPr>
      <w:r w:rsidRPr="004E79D1">
        <w:rPr>
          <w:rFonts w:ascii="Times New Roman" w:hAnsi="Times New Roman" w:cs="Times New Roman"/>
          <w:b/>
          <w:bCs/>
          <w:sz w:val="24"/>
          <w:szCs w:val="24"/>
        </w:rPr>
        <w:t>Introduction</w:t>
      </w:r>
    </w:p>
    <w:p w14:paraId="2A751F0A" w14:textId="77777777" w:rsidR="004E79D1" w:rsidRPr="004E79D1" w:rsidRDefault="004E79D1" w:rsidP="004E79D1">
      <w:pPr>
        <w:spacing w:after="240" w:line="360" w:lineRule="auto"/>
        <w:ind w:left="360"/>
        <w:jc w:val="both"/>
        <w:rPr>
          <w:rFonts w:ascii="Times New Roman" w:hAnsi="Times New Roman" w:cs="Times New Roman"/>
          <w:sz w:val="24"/>
          <w:szCs w:val="24"/>
        </w:rPr>
      </w:pPr>
      <w:r w:rsidRPr="004E79D1">
        <w:rPr>
          <w:rFonts w:ascii="Times New Roman" w:hAnsi="Times New Roman" w:cs="Times New Roman"/>
          <w:sz w:val="24"/>
          <w:szCs w:val="24"/>
        </w:rPr>
        <w:t>An organization using IPSec may experience frequent key management problems when Security Associations (SAs) are created, maintained, renewed, and removed manually. Expired keys, mismatched encryption parameters, and incorrect SA configurations can cause communication failures and security vulnerabilities. In a large enterprise network containing hundreds or thousands of routers, firewalls, VPN gateways, and remote users, manual key management is inefficient and difficult to maintain.</w:t>
      </w:r>
    </w:p>
    <w:p w14:paraId="6A347F19" w14:textId="77777777" w:rsidR="004E79D1" w:rsidRPr="004E79D1" w:rsidRDefault="004E79D1" w:rsidP="004E79D1">
      <w:pPr>
        <w:spacing w:after="240" w:line="360" w:lineRule="auto"/>
        <w:ind w:left="360"/>
        <w:jc w:val="both"/>
        <w:rPr>
          <w:rFonts w:ascii="Times New Roman" w:hAnsi="Times New Roman" w:cs="Times New Roman"/>
          <w:sz w:val="24"/>
          <w:szCs w:val="24"/>
        </w:rPr>
      </w:pPr>
      <w:r w:rsidRPr="004E79D1">
        <w:rPr>
          <w:rFonts w:ascii="Times New Roman" w:hAnsi="Times New Roman" w:cs="Times New Roman"/>
          <w:sz w:val="24"/>
          <w:szCs w:val="24"/>
        </w:rPr>
        <w:t>A scalable solution is to use Internet Key Exchange (IKE), preferably IKEv2, to automate authentication, Security Association establishment, encryption-key generation, key renewal, and deletion. IKEv2 works together with IPSec and provides a secure mechanism for negotiating the cryptographic algorithms and generating shared session keys.</w:t>
      </w:r>
    </w:p>
    <w:p w14:paraId="7AFCD252" w14:textId="77777777" w:rsidR="004E79D1" w:rsidRPr="004E79D1" w:rsidRDefault="004E79D1" w:rsidP="004E79D1">
      <w:pPr>
        <w:spacing w:after="240" w:line="360" w:lineRule="auto"/>
        <w:ind w:left="360"/>
        <w:rPr>
          <w:rFonts w:ascii="Times New Roman" w:hAnsi="Times New Roman" w:cs="Times New Roman"/>
          <w:b/>
          <w:bCs/>
          <w:sz w:val="24"/>
          <w:szCs w:val="24"/>
        </w:rPr>
      </w:pPr>
      <w:r w:rsidRPr="004E79D1">
        <w:rPr>
          <w:rFonts w:ascii="Times New Roman" w:hAnsi="Times New Roman" w:cs="Times New Roman"/>
          <w:b/>
          <w:bCs/>
          <w:sz w:val="24"/>
          <w:szCs w:val="24"/>
        </w:rPr>
        <w:t>1. Analysis of Current SA Lifecycle Issues</w:t>
      </w:r>
    </w:p>
    <w:p w14:paraId="501D97BD" w14:textId="77777777" w:rsidR="004E79D1" w:rsidRPr="004E79D1" w:rsidRDefault="004E79D1" w:rsidP="004E79D1">
      <w:pPr>
        <w:spacing w:after="240" w:line="360" w:lineRule="auto"/>
        <w:ind w:left="360"/>
        <w:jc w:val="both"/>
        <w:rPr>
          <w:rFonts w:ascii="Times New Roman" w:hAnsi="Times New Roman" w:cs="Times New Roman"/>
          <w:sz w:val="24"/>
          <w:szCs w:val="24"/>
        </w:rPr>
      </w:pPr>
      <w:r w:rsidRPr="004E79D1">
        <w:rPr>
          <w:rFonts w:ascii="Times New Roman" w:hAnsi="Times New Roman" w:cs="Times New Roman"/>
          <w:sz w:val="24"/>
          <w:szCs w:val="24"/>
        </w:rPr>
        <w:t>A Security Association defines the security parameters used to protect IPSec traffic. It contains information such as the encryption algorithm, authentication algorithm, keys, lifetime, and traffic selectors. Every IPSec communication requires correctly established SAs.</w:t>
      </w:r>
    </w:p>
    <w:p w14:paraId="022E1C8E" w14:textId="77777777" w:rsidR="004E79D1" w:rsidRDefault="004E79D1" w:rsidP="004E79D1">
      <w:pPr>
        <w:spacing w:after="240" w:line="360" w:lineRule="auto"/>
        <w:ind w:left="360"/>
        <w:jc w:val="both"/>
        <w:rPr>
          <w:rFonts w:ascii="Times New Roman" w:hAnsi="Times New Roman" w:cs="Times New Roman"/>
          <w:sz w:val="24"/>
          <w:szCs w:val="24"/>
        </w:rPr>
      </w:pPr>
    </w:p>
    <w:p w14:paraId="1A53028E" w14:textId="4897CA06"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lastRenderedPageBreak/>
        <w:t>The major lifecycle problems in the organization are:</w:t>
      </w:r>
    </w:p>
    <w:p w14:paraId="7D95D3B4"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Key expiration:</w:t>
      </w:r>
      <w:r w:rsidRPr="004E79D1">
        <w:rPr>
          <w:rFonts w:ascii="Times New Roman" w:hAnsi="Times New Roman" w:cs="Times New Roman"/>
          <w:sz w:val="24"/>
          <w:szCs w:val="24"/>
        </w:rPr>
        <w:br/>
        <w:t>Security keys have a limited lifetime. If the key expires before a new key is established, communication can be interrupted. If renewal is performed manually, administrators may fail to renew the key on time.</w:t>
      </w:r>
    </w:p>
    <w:p w14:paraId="77E7A396"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Key mismatch:</w:t>
      </w:r>
      <w:r w:rsidRPr="004E79D1">
        <w:rPr>
          <w:rFonts w:ascii="Times New Roman" w:hAnsi="Times New Roman" w:cs="Times New Roman"/>
          <w:sz w:val="24"/>
          <w:szCs w:val="24"/>
        </w:rPr>
        <w:br/>
        <w:t>Two IPSec endpoints must use compatible security parameters. A mismatch in encryption algorithms, authentication methods, keys, or traffic selectors can prevent an SA from being established.</w:t>
      </w:r>
    </w:p>
    <w:p w14:paraId="0C7BB3CC"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Manual configuration:</w:t>
      </w:r>
      <w:r w:rsidRPr="004E79D1">
        <w:rPr>
          <w:rFonts w:ascii="Times New Roman" w:hAnsi="Times New Roman" w:cs="Times New Roman"/>
          <w:sz w:val="24"/>
          <w:szCs w:val="24"/>
        </w:rPr>
        <w:br/>
        <w:t>Manually configuring keys on every router or VPN device requires considerable administrative effort. It also increases the possibility of configuration errors.</w:t>
      </w:r>
    </w:p>
    <w:p w14:paraId="00AD47CB"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Poor synchronization:</w:t>
      </w:r>
      <w:r w:rsidRPr="004E79D1">
        <w:rPr>
          <w:rFonts w:ascii="Times New Roman" w:hAnsi="Times New Roman" w:cs="Times New Roman"/>
          <w:sz w:val="24"/>
          <w:szCs w:val="24"/>
        </w:rPr>
        <w:br/>
        <w:t>Different devices may have different SA lifetimes or renewal schedules. This can result in one endpoint deleting an SA while the other endpoint is still using it.</w:t>
      </w:r>
    </w:p>
    <w:p w14:paraId="12A7F072"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Difficult revocation:</w:t>
      </w:r>
      <w:r w:rsidRPr="004E79D1">
        <w:rPr>
          <w:rFonts w:ascii="Times New Roman" w:hAnsi="Times New Roman" w:cs="Times New Roman"/>
          <w:sz w:val="24"/>
          <w:szCs w:val="24"/>
        </w:rPr>
        <w:br/>
        <w:t>When an employee, device, certificate, or gateway is compromised, its keys must be revoked quickly. Manual revocation becomes difficult in a large enterprise.</w:t>
      </w:r>
    </w:p>
    <w:p w14:paraId="4FBFF3A5"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Lack of centralized monitoring:</w:t>
      </w:r>
      <w:r w:rsidRPr="004E79D1">
        <w:rPr>
          <w:rFonts w:ascii="Times New Roman" w:hAnsi="Times New Roman" w:cs="Times New Roman"/>
          <w:sz w:val="24"/>
          <w:szCs w:val="24"/>
        </w:rPr>
        <w:br/>
        <w:t>Without automated monitoring, administrators may not know which SAs are active, expired, or close to expiration.</w:t>
      </w:r>
    </w:p>
    <w:p w14:paraId="11F2E90F"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Therefore, the organization requires an automated mechanism that manages the complete SA lifecycle.</w:t>
      </w:r>
    </w:p>
    <w:p w14:paraId="2EE393A8" w14:textId="77777777" w:rsidR="004E79D1" w:rsidRPr="004E79D1" w:rsidRDefault="004E79D1" w:rsidP="004E79D1">
      <w:pPr>
        <w:spacing w:after="240" w:line="360" w:lineRule="auto"/>
        <w:ind w:left="360"/>
        <w:rPr>
          <w:rFonts w:ascii="Times New Roman" w:hAnsi="Times New Roman" w:cs="Times New Roman"/>
          <w:b/>
          <w:bCs/>
          <w:sz w:val="24"/>
          <w:szCs w:val="24"/>
        </w:rPr>
      </w:pPr>
      <w:r w:rsidRPr="004E79D1">
        <w:rPr>
          <w:rFonts w:ascii="Times New Roman" w:hAnsi="Times New Roman" w:cs="Times New Roman"/>
          <w:b/>
          <w:bCs/>
          <w:sz w:val="24"/>
          <w:szCs w:val="24"/>
        </w:rPr>
        <w:t>2. Design of an Automated Key Management Mechanism</w:t>
      </w:r>
    </w:p>
    <w:p w14:paraId="6BA45824"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 xml:space="preserve">The recommended solution is </w:t>
      </w:r>
      <w:r w:rsidRPr="004E79D1">
        <w:rPr>
          <w:rFonts w:ascii="Times New Roman" w:hAnsi="Times New Roman" w:cs="Times New Roman"/>
          <w:b/>
          <w:bCs/>
          <w:sz w:val="24"/>
          <w:szCs w:val="24"/>
        </w:rPr>
        <w:t>IKEv2-based automated key management</w:t>
      </w:r>
      <w:r w:rsidRPr="004E79D1">
        <w:rPr>
          <w:rFonts w:ascii="Times New Roman" w:hAnsi="Times New Roman" w:cs="Times New Roman"/>
          <w:sz w:val="24"/>
          <w:szCs w:val="24"/>
        </w:rPr>
        <w:t>.</w:t>
      </w:r>
    </w:p>
    <w:p w14:paraId="1AD63B31"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IKEv2 establishes a secure control channel between two IPSec endpoints. It authenticates the endpoints, negotiates cryptographic algorithms, and automatically creates the keys required for IPSec communication.</w:t>
      </w:r>
    </w:p>
    <w:p w14:paraId="27A97FAC"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lastRenderedPageBreak/>
        <w:t>The basic workflow is:</w:t>
      </w:r>
    </w:p>
    <w:p w14:paraId="2C93BE28"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Step 1 – Initiation:</w:t>
      </w:r>
      <w:r w:rsidRPr="004E79D1">
        <w:rPr>
          <w:rFonts w:ascii="Times New Roman" w:hAnsi="Times New Roman" w:cs="Times New Roman"/>
          <w:sz w:val="24"/>
          <w:szCs w:val="24"/>
        </w:rPr>
        <w:br/>
        <w:t>The IPSec gateway initiates an IKEv2 exchange with the remote gateway.</w:t>
      </w:r>
    </w:p>
    <w:p w14:paraId="3AF2C1C0"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Step 2 – Security negotiation:</w:t>
      </w:r>
      <w:r w:rsidRPr="004E79D1">
        <w:rPr>
          <w:rFonts w:ascii="Times New Roman" w:hAnsi="Times New Roman" w:cs="Times New Roman"/>
          <w:sz w:val="24"/>
          <w:szCs w:val="24"/>
        </w:rPr>
        <w:br/>
        <w:t>Both endpoints negotiate acceptable cryptographic algorithms, such as AES for encryption and SHA-2-based integrity protection.</w:t>
      </w:r>
    </w:p>
    <w:p w14:paraId="0DFFA597"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Step 3 – Authentication:</w:t>
      </w:r>
      <w:r w:rsidRPr="004E79D1">
        <w:rPr>
          <w:rFonts w:ascii="Times New Roman" w:hAnsi="Times New Roman" w:cs="Times New Roman"/>
          <w:sz w:val="24"/>
          <w:szCs w:val="24"/>
        </w:rPr>
        <w:br/>
        <w:t>The endpoints authenticate each other using digital certificates, pre-shared keys, or an enterprise authentication infrastructure. For a large enterprise, digital certificates are generally more scalable than manually distributed pre-shared keys.</w:t>
      </w:r>
    </w:p>
    <w:p w14:paraId="2380463B"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Step 4 – Key generation:</w:t>
      </w:r>
      <w:r w:rsidRPr="004E79D1">
        <w:rPr>
          <w:rFonts w:ascii="Times New Roman" w:hAnsi="Times New Roman" w:cs="Times New Roman"/>
          <w:sz w:val="24"/>
          <w:szCs w:val="24"/>
        </w:rPr>
        <w:br/>
        <w:t>Diffie-Hellman or an equivalent key agreement mechanism is used to establish shared secret material. The actual IPSec session keys are derived from this material.</w:t>
      </w:r>
    </w:p>
    <w:p w14:paraId="0B131E01"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Step 5 – SA establishment:</w:t>
      </w:r>
      <w:r w:rsidRPr="004E79D1">
        <w:rPr>
          <w:rFonts w:ascii="Times New Roman" w:hAnsi="Times New Roman" w:cs="Times New Roman"/>
          <w:sz w:val="24"/>
          <w:szCs w:val="24"/>
        </w:rPr>
        <w:br/>
        <w:t>After successful authentication and negotiation, IKEv2 creates the required IPSec Child SA. The resulting SA contains the security parameters required to protect data traffic.</w:t>
      </w:r>
    </w:p>
    <w:p w14:paraId="7772B44C"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Step 6 – Data protection:</w:t>
      </w:r>
      <w:r w:rsidRPr="004E79D1">
        <w:rPr>
          <w:rFonts w:ascii="Times New Roman" w:hAnsi="Times New Roman" w:cs="Times New Roman"/>
          <w:sz w:val="24"/>
          <w:szCs w:val="24"/>
        </w:rPr>
        <w:br/>
        <w:t>IPSec uses the established SA to encrypt and/or authenticate network traffic.</w:t>
      </w:r>
    </w:p>
    <w:p w14:paraId="067BC0B3"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 xml:space="preserve">The organization should maintain an automated </w:t>
      </w:r>
      <w:r w:rsidRPr="004E79D1">
        <w:rPr>
          <w:rFonts w:ascii="Times New Roman" w:hAnsi="Times New Roman" w:cs="Times New Roman"/>
          <w:b/>
          <w:bCs/>
          <w:sz w:val="24"/>
          <w:szCs w:val="24"/>
        </w:rPr>
        <w:t>Public Key Infrastructure (PKI)</w:t>
      </w:r>
      <w:r w:rsidRPr="004E79D1">
        <w:rPr>
          <w:rFonts w:ascii="Times New Roman" w:hAnsi="Times New Roman" w:cs="Times New Roman"/>
          <w:sz w:val="24"/>
          <w:szCs w:val="24"/>
        </w:rPr>
        <w:t xml:space="preserve"> for certificate issuance and management. Each gateway can receive a unique certificate from the enterprise Certificate Authority. This eliminates the need to manually configure a separate secret key on every device.</w:t>
      </w:r>
    </w:p>
    <w:p w14:paraId="549C3485"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A centralized monitoring system can also track SA status, certificate expiration, key lifetime, failed negotiations, and abnormal authentication attempts.</w:t>
      </w:r>
    </w:p>
    <w:p w14:paraId="0797B394" w14:textId="77777777" w:rsidR="004E79D1" w:rsidRPr="004E79D1" w:rsidRDefault="004E79D1" w:rsidP="004E79D1">
      <w:pPr>
        <w:spacing w:after="240" w:line="360" w:lineRule="auto"/>
        <w:ind w:left="360"/>
        <w:rPr>
          <w:rFonts w:ascii="Times New Roman" w:hAnsi="Times New Roman" w:cs="Times New Roman"/>
          <w:b/>
          <w:bCs/>
          <w:sz w:val="24"/>
          <w:szCs w:val="24"/>
        </w:rPr>
      </w:pPr>
      <w:r w:rsidRPr="004E79D1">
        <w:rPr>
          <w:rFonts w:ascii="Times New Roman" w:hAnsi="Times New Roman" w:cs="Times New Roman"/>
          <w:b/>
          <w:bCs/>
          <w:sz w:val="24"/>
          <w:szCs w:val="24"/>
        </w:rPr>
        <w:t>3. Strategy for Key Renewal and Revocation</w:t>
      </w:r>
    </w:p>
    <w:p w14:paraId="61D0DF66"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Key renewal should occur automatically before the existing SA expires. IKEv2 supports rekeying mechanisms that allow fresh cryptographic keys to be generated without requiring administrators to manually configure new keys.</w:t>
      </w:r>
    </w:p>
    <w:p w14:paraId="25173375"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lastRenderedPageBreak/>
        <w:t>For example, an organization can define an SA lifetime and configure automatic rekeying sufficiently before expiration. The new SA can be established while the old SA is still active, allowing traffic to continue with minimal disruption.</w:t>
      </w:r>
    </w:p>
    <w:p w14:paraId="061DDC76"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A suitable renewal strategy includes:</w:t>
      </w:r>
    </w:p>
    <w:p w14:paraId="429F3CE3" w14:textId="77777777" w:rsidR="004E79D1" w:rsidRPr="004E79D1" w:rsidRDefault="004E79D1" w:rsidP="004E79D1">
      <w:pPr>
        <w:numPr>
          <w:ilvl w:val="0"/>
          <w:numId w:val="11"/>
        </w:numPr>
        <w:spacing w:after="240" w:line="360" w:lineRule="auto"/>
        <w:rPr>
          <w:rFonts w:ascii="Times New Roman" w:hAnsi="Times New Roman" w:cs="Times New Roman"/>
          <w:sz w:val="24"/>
          <w:szCs w:val="24"/>
        </w:rPr>
      </w:pPr>
      <w:r w:rsidRPr="004E79D1">
        <w:rPr>
          <w:rFonts w:ascii="Times New Roman" w:hAnsi="Times New Roman" w:cs="Times New Roman"/>
          <w:sz w:val="24"/>
          <w:szCs w:val="24"/>
        </w:rPr>
        <w:t>Automatic SA rekeying before expiration.</w:t>
      </w:r>
    </w:p>
    <w:p w14:paraId="71EF95C5" w14:textId="77777777" w:rsidR="004E79D1" w:rsidRPr="004E79D1" w:rsidRDefault="004E79D1" w:rsidP="004E79D1">
      <w:pPr>
        <w:numPr>
          <w:ilvl w:val="0"/>
          <w:numId w:val="11"/>
        </w:numPr>
        <w:spacing w:after="240" w:line="360" w:lineRule="auto"/>
        <w:rPr>
          <w:rFonts w:ascii="Times New Roman" w:hAnsi="Times New Roman" w:cs="Times New Roman"/>
          <w:sz w:val="24"/>
          <w:szCs w:val="24"/>
        </w:rPr>
      </w:pPr>
      <w:r w:rsidRPr="004E79D1">
        <w:rPr>
          <w:rFonts w:ascii="Times New Roman" w:hAnsi="Times New Roman" w:cs="Times New Roman"/>
          <w:sz w:val="24"/>
          <w:szCs w:val="24"/>
        </w:rPr>
        <w:t>Generation of fresh session keys for every renewal.</w:t>
      </w:r>
    </w:p>
    <w:p w14:paraId="0F51A772" w14:textId="77777777" w:rsidR="004E79D1" w:rsidRPr="004E79D1" w:rsidRDefault="004E79D1" w:rsidP="004E79D1">
      <w:pPr>
        <w:numPr>
          <w:ilvl w:val="0"/>
          <w:numId w:val="11"/>
        </w:numPr>
        <w:spacing w:after="240" w:line="360" w:lineRule="auto"/>
        <w:rPr>
          <w:rFonts w:ascii="Times New Roman" w:hAnsi="Times New Roman" w:cs="Times New Roman"/>
          <w:sz w:val="24"/>
          <w:szCs w:val="24"/>
        </w:rPr>
      </w:pPr>
      <w:r w:rsidRPr="004E79D1">
        <w:rPr>
          <w:rFonts w:ascii="Times New Roman" w:hAnsi="Times New Roman" w:cs="Times New Roman"/>
          <w:sz w:val="24"/>
          <w:szCs w:val="24"/>
        </w:rPr>
        <w:t>Use of strong and approved cryptographic algorithms.</w:t>
      </w:r>
    </w:p>
    <w:p w14:paraId="4A918413" w14:textId="77777777" w:rsidR="004E79D1" w:rsidRPr="004E79D1" w:rsidRDefault="004E79D1" w:rsidP="004E79D1">
      <w:pPr>
        <w:numPr>
          <w:ilvl w:val="0"/>
          <w:numId w:val="11"/>
        </w:numPr>
        <w:spacing w:after="240" w:line="360" w:lineRule="auto"/>
        <w:rPr>
          <w:rFonts w:ascii="Times New Roman" w:hAnsi="Times New Roman" w:cs="Times New Roman"/>
          <w:sz w:val="24"/>
          <w:szCs w:val="24"/>
        </w:rPr>
      </w:pPr>
      <w:r w:rsidRPr="004E79D1">
        <w:rPr>
          <w:rFonts w:ascii="Times New Roman" w:hAnsi="Times New Roman" w:cs="Times New Roman"/>
          <w:sz w:val="24"/>
          <w:szCs w:val="24"/>
        </w:rPr>
        <w:t>Regular certificate renewal through enterprise PKI.</w:t>
      </w:r>
    </w:p>
    <w:p w14:paraId="4B84A791" w14:textId="77777777" w:rsidR="004E79D1" w:rsidRPr="004E79D1" w:rsidRDefault="004E79D1" w:rsidP="004E79D1">
      <w:pPr>
        <w:numPr>
          <w:ilvl w:val="0"/>
          <w:numId w:val="11"/>
        </w:numPr>
        <w:spacing w:after="240" w:line="360" w:lineRule="auto"/>
        <w:rPr>
          <w:rFonts w:ascii="Times New Roman" w:hAnsi="Times New Roman" w:cs="Times New Roman"/>
          <w:sz w:val="24"/>
          <w:szCs w:val="24"/>
        </w:rPr>
      </w:pPr>
      <w:r w:rsidRPr="004E79D1">
        <w:rPr>
          <w:rFonts w:ascii="Times New Roman" w:hAnsi="Times New Roman" w:cs="Times New Roman"/>
          <w:sz w:val="24"/>
          <w:szCs w:val="24"/>
        </w:rPr>
        <w:t>Automatic detection of failed key negotiations.</w:t>
      </w:r>
    </w:p>
    <w:p w14:paraId="3B1D3746" w14:textId="77777777" w:rsidR="004E79D1" w:rsidRPr="004E79D1" w:rsidRDefault="004E79D1" w:rsidP="004E79D1">
      <w:pPr>
        <w:numPr>
          <w:ilvl w:val="0"/>
          <w:numId w:val="11"/>
        </w:numPr>
        <w:spacing w:after="240" w:line="360" w:lineRule="auto"/>
        <w:rPr>
          <w:rFonts w:ascii="Times New Roman" w:hAnsi="Times New Roman" w:cs="Times New Roman"/>
          <w:sz w:val="24"/>
          <w:szCs w:val="24"/>
        </w:rPr>
      </w:pPr>
      <w:r w:rsidRPr="004E79D1">
        <w:rPr>
          <w:rFonts w:ascii="Times New Roman" w:hAnsi="Times New Roman" w:cs="Times New Roman"/>
          <w:sz w:val="24"/>
          <w:szCs w:val="24"/>
        </w:rPr>
        <w:t>Logging of every SA creation, renewal, and deletion.</w:t>
      </w:r>
    </w:p>
    <w:p w14:paraId="6ADE4AD9" w14:textId="77777777" w:rsidR="004E79D1" w:rsidRPr="004E79D1" w:rsidRDefault="004E79D1" w:rsidP="004E79D1">
      <w:pPr>
        <w:numPr>
          <w:ilvl w:val="0"/>
          <w:numId w:val="11"/>
        </w:numPr>
        <w:spacing w:after="240" w:line="360" w:lineRule="auto"/>
        <w:rPr>
          <w:rFonts w:ascii="Times New Roman" w:hAnsi="Times New Roman" w:cs="Times New Roman"/>
          <w:sz w:val="24"/>
          <w:szCs w:val="24"/>
        </w:rPr>
      </w:pPr>
      <w:r w:rsidRPr="004E79D1">
        <w:rPr>
          <w:rFonts w:ascii="Times New Roman" w:hAnsi="Times New Roman" w:cs="Times New Roman"/>
          <w:sz w:val="24"/>
          <w:szCs w:val="24"/>
        </w:rPr>
        <w:t>Monitoring of certificate and key expiration dates.</w:t>
      </w:r>
    </w:p>
    <w:p w14:paraId="6CEA5F8A"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For revocation, compromised or unauthorized certificates should be revoked through the organization's PKI. Certificate Revocation Lists (CRLs) or Online Certificate Status Protocol (OCSP) can be used to determine whether a certificate is still trusted.</w:t>
      </w:r>
    </w:p>
    <w:p w14:paraId="766022F2"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When a device is compromised, its active SA should be deleted and its certificate revoked. The device should then be prevented from creating new SAs until it has been securely re-enrolled.</w:t>
      </w:r>
    </w:p>
    <w:p w14:paraId="61299AD1" w14:textId="77777777" w:rsidR="004E79D1" w:rsidRPr="004E79D1" w:rsidRDefault="004E79D1" w:rsidP="004E79D1">
      <w:pPr>
        <w:spacing w:after="240" w:line="360" w:lineRule="auto"/>
        <w:ind w:left="360"/>
        <w:rPr>
          <w:rFonts w:ascii="Times New Roman" w:hAnsi="Times New Roman" w:cs="Times New Roman"/>
          <w:b/>
          <w:bCs/>
          <w:sz w:val="24"/>
          <w:szCs w:val="24"/>
        </w:rPr>
      </w:pPr>
      <w:r w:rsidRPr="004E79D1">
        <w:rPr>
          <w:rFonts w:ascii="Times New Roman" w:hAnsi="Times New Roman" w:cs="Times New Roman"/>
          <w:b/>
          <w:bCs/>
          <w:sz w:val="24"/>
          <w:szCs w:val="24"/>
        </w:rPr>
        <w:t>4. Scalability and Fault Tolerance</w:t>
      </w:r>
    </w:p>
    <w:p w14:paraId="14253C57"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IKEv2-based management is highly suitable for enterprise environments because it eliminates the need for administrators to manually distribute individual session keys.</w:t>
      </w:r>
    </w:p>
    <w:p w14:paraId="7388851B"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sz w:val="24"/>
          <w:szCs w:val="24"/>
        </w:rPr>
        <w:t>For scalability, the organization can deploy:</w:t>
      </w:r>
    </w:p>
    <w:p w14:paraId="57676327"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Centralized PKI:</w:t>
      </w:r>
      <w:r w:rsidRPr="004E79D1">
        <w:rPr>
          <w:rFonts w:ascii="Times New Roman" w:hAnsi="Times New Roman" w:cs="Times New Roman"/>
          <w:sz w:val="24"/>
          <w:szCs w:val="24"/>
        </w:rPr>
        <w:br/>
        <w:t>A certificate authority can issue certificates to thousands of gateways and devices.</w:t>
      </w:r>
    </w:p>
    <w:p w14:paraId="3453C33C"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lastRenderedPageBreak/>
        <w:t>Automated provisioning:</w:t>
      </w:r>
      <w:r w:rsidRPr="004E79D1">
        <w:rPr>
          <w:rFonts w:ascii="Times New Roman" w:hAnsi="Times New Roman" w:cs="Times New Roman"/>
          <w:sz w:val="24"/>
          <w:szCs w:val="24"/>
        </w:rPr>
        <w:br/>
        <w:t>New devices can automatically receive certificates and security policies when they are enrolled.</w:t>
      </w:r>
    </w:p>
    <w:p w14:paraId="0C759623"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Policy templates:</w:t>
      </w:r>
      <w:r w:rsidRPr="004E79D1">
        <w:rPr>
          <w:rFonts w:ascii="Times New Roman" w:hAnsi="Times New Roman" w:cs="Times New Roman"/>
          <w:sz w:val="24"/>
          <w:szCs w:val="24"/>
        </w:rPr>
        <w:br/>
        <w:t>Standard IPSec and IKE policies can be applied consistently across multiple gateways.</w:t>
      </w:r>
    </w:p>
    <w:p w14:paraId="160D7F2E"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Central monitoring:</w:t>
      </w:r>
      <w:r w:rsidRPr="004E79D1">
        <w:rPr>
          <w:rFonts w:ascii="Times New Roman" w:hAnsi="Times New Roman" w:cs="Times New Roman"/>
          <w:sz w:val="24"/>
          <w:szCs w:val="24"/>
        </w:rPr>
        <w:br/>
        <w:t>A Security Information and Event Management (SIEM) system can collect SA and authentication events from network devices.</w:t>
      </w:r>
    </w:p>
    <w:p w14:paraId="1ED4BF9C"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Load balancing:</w:t>
      </w:r>
      <w:r w:rsidRPr="004E79D1">
        <w:rPr>
          <w:rFonts w:ascii="Times New Roman" w:hAnsi="Times New Roman" w:cs="Times New Roman"/>
          <w:sz w:val="24"/>
          <w:szCs w:val="24"/>
        </w:rPr>
        <w:br/>
        <w:t>Multiple VPN gateways can share the authentication and IPSec workload.</w:t>
      </w:r>
    </w:p>
    <w:p w14:paraId="62C78A7A"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Redundant infrastructure:</w:t>
      </w:r>
      <w:r w:rsidRPr="004E79D1">
        <w:rPr>
          <w:rFonts w:ascii="Times New Roman" w:hAnsi="Times New Roman" w:cs="Times New Roman"/>
          <w:sz w:val="24"/>
          <w:szCs w:val="24"/>
        </w:rPr>
        <w:br/>
        <w:t>Primary and backup IKE/IPSec gateways can be deployed so that communication can continue if one gateway fails.</w:t>
      </w:r>
    </w:p>
    <w:p w14:paraId="1C185D1D" w14:textId="77777777" w:rsidR="004E79D1" w:rsidRPr="004E79D1" w:rsidRDefault="004E79D1" w:rsidP="004E79D1">
      <w:pPr>
        <w:spacing w:after="240" w:line="360" w:lineRule="auto"/>
        <w:ind w:left="360"/>
        <w:rPr>
          <w:rFonts w:ascii="Times New Roman" w:hAnsi="Times New Roman" w:cs="Times New Roman"/>
          <w:sz w:val="24"/>
          <w:szCs w:val="24"/>
        </w:rPr>
      </w:pPr>
      <w:r w:rsidRPr="004E79D1">
        <w:rPr>
          <w:rFonts w:ascii="Times New Roman" w:hAnsi="Times New Roman" w:cs="Times New Roman"/>
          <w:b/>
          <w:bCs/>
          <w:sz w:val="24"/>
          <w:szCs w:val="24"/>
        </w:rPr>
        <w:t>Multiple certificate authorities or redundant CA services:</w:t>
      </w:r>
      <w:r w:rsidRPr="004E79D1">
        <w:rPr>
          <w:rFonts w:ascii="Times New Roman" w:hAnsi="Times New Roman" w:cs="Times New Roman"/>
          <w:sz w:val="24"/>
          <w:szCs w:val="24"/>
        </w:rPr>
        <w:br/>
        <w:t>Enterprise PKI components can be designed with redundancy to prevent certificate-management failures from becoming a single point of failure.</w:t>
      </w:r>
    </w:p>
    <w:p w14:paraId="6DB8DF80" w14:textId="77777777" w:rsidR="004E79D1" w:rsidRPr="004E79D1" w:rsidRDefault="004E79D1" w:rsidP="004E79D1">
      <w:pPr>
        <w:spacing w:after="240" w:line="360" w:lineRule="auto"/>
        <w:ind w:left="360"/>
        <w:rPr>
          <w:rFonts w:ascii="Times New Roman" w:hAnsi="Times New Roman" w:cs="Times New Roman"/>
          <w:b/>
          <w:bCs/>
          <w:sz w:val="24"/>
          <w:szCs w:val="24"/>
        </w:rPr>
      </w:pPr>
      <w:r w:rsidRPr="004E79D1">
        <w:rPr>
          <w:rFonts w:ascii="Times New Roman" w:hAnsi="Times New Roman" w:cs="Times New Roman"/>
          <w:b/>
          <w:bCs/>
          <w:sz w:val="24"/>
          <w:szCs w:val="24"/>
        </w:rPr>
        <w:t>Conclusion</w:t>
      </w:r>
    </w:p>
    <w:p w14:paraId="686313A7" w14:textId="77777777" w:rsidR="004E79D1" w:rsidRPr="004E79D1" w:rsidRDefault="004E79D1" w:rsidP="004E79D1">
      <w:pPr>
        <w:spacing w:after="240" w:line="360" w:lineRule="auto"/>
        <w:ind w:left="360"/>
        <w:jc w:val="both"/>
        <w:rPr>
          <w:rFonts w:ascii="Times New Roman" w:hAnsi="Times New Roman" w:cs="Times New Roman"/>
          <w:sz w:val="24"/>
          <w:szCs w:val="24"/>
        </w:rPr>
      </w:pPr>
      <w:r w:rsidRPr="004E79D1">
        <w:rPr>
          <w:rFonts w:ascii="Times New Roman" w:hAnsi="Times New Roman" w:cs="Times New Roman"/>
          <w:sz w:val="24"/>
          <w:szCs w:val="24"/>
        </w:rPr>
        <w:t>The organization should replace manual IPSec key management with an IKEv2-based automated key management architecture. IKEv2 can automatically negotiate security parameters, authenticate endpoints, generate session keys, establish SAs, and perform rekeying. Enterprise PKI can provide scalable certificate-based authentication, while centralized monitoring can detect expired or failed SAs. Automatic renewal and certificate revocation reduce communication failures and security risks. Redundant gateways, PKI services, and monitoring systems provide fault tolerance. Overall, this architecture provides a secure, scalable, and manageable solution for enterprise IPSec deployments.</w:t>
      </w:r>
    </w:p>
    <w:p w14:paraId="24E4601D" w14:textId="77777777" w:rsidR="004E79D1" w:rsidRDefault="004E79D1" w:rsidP="004E79D1">
      <w:pPr>
        <w:spacing w:after="240" w:line="360" w:lineRule="auto"/>
        <w:ind w:left="360"/>
        <w:rPr>
          <w:sz w:val="24"/>
          <w:szCs w:val="24"/>
        </w:rPr>
      </w:pPr>
    </w:p>
    <w:p w14:paraId="7CF09EFA" w14:textId="77777777" w:rsidR="00AE57C6" w:rsidRDefault="00AE57C6">
      <w:pPr>
        <w:spacing w:before="240" w:after="240" w:line="360" w:lineRule="auto"/>
        <w:ind w:left="720"/>
        <w:rPr>
          <w:sz w:val="24"/>
          <w:szCs w:val="24"/>
        </w:rPr>
      </w:pPr>
    </w:p>
    <w:p w14:paraId="360FD4C8" w14:textId="77777777" w:rsidR="00AE57C6" w:rsidRPr="00A12144" w:rsidRDefault="005B53DE">
      <w:pPr>
        <w:numPr>
          <w:ilvl w:val="0"/>
          <w:numId w:val="5"/>
        </w:numPr>
        <w:spacing w:before="240" w:line="360" w:lineRule="auto"/>
        <w:rPr>
          <w:rFonts w:ascii="Times New Roman" w:hAnsi="Times New Roman" w:cs="Times New Roman"/>
          <w:b/>
          <w:bCs/>
          <w:sz w:val="24"/>
          <w:szCs w:val="24"/>
        </w:rPr>
      </w:pPr>
      <w:r w:rsidRPr="00A12144">
        <w:rPr>
          <w:rFonts w:ascii="Times New Roman" w:hAnsi="Times New Roman" w:cs="Times New Roman"/>
          <w:b/>
          <w:bCs/>
          <w:sz w:val="24"/>
          <w:szCs w:val="24"/>
        </w:rPr>
        <w:lastRenderedPageBreak/>
        <w:t>A financial services company needs to implement secure email communication for sensitive transactions. Evaluate and recommend between Pretty Good Privacy (PGP) and S/MIME based on usability, scalability, and enterprise integration requirements.</w:t>
      </w:r>
      <w:r w:rsidRPr="00A12144">
        <w:rPr>
          <w:rFonts w:ascii="Times New Roman" w:hAnsi="Times New Roman" w:cs="Times New Roman"/>
          <w:b/>
          <w:bCs/>
          <w:sz w:val="24"/>
          <w:szCs w:val="24"/>
        </w:rPr>
        <w:br/>
        <w:t xml:space="preserve"> </w:t>
      </w:r>
      <w:r w:rsidRPr="00A12144">
        <w:rPr>
          <w:rFonts w:ascii="Times New Roman" w:hAnsi="Times New Roman" w:cs="Times New Roman"/>
          <w:b/>
          <w:bCs/>
          <w:sz w:val="24"/>
          <w:szCs w:val="24"/>
        </w:rPr>
        <w:t>Tasks:</w:t>
      </w:r>
    </w:p>
    <w:p w14:paraId="1862CF28" w14:textId="77777777" w:rsidR="00AE57C6" w:rsidRPr="00A12144" w:rsidRDefault="005B53DE">
      <w:pPr>
        <w:numPr>
          <w:ilvl w:val="0"/>
          <w:numId w:val="4"/>
        </w:numPr>
        <w:spacing w:line="360" w:lineRule="auto"/>
        <w:rPr>
          <w:rFonts w:ascii="Times New Roman" w:hAnsi="Times New Roman" w:cs="Times New Roman"/>
          <w:b/>
          <w:bCs/>
          <w:sz w:val="24"/>
          <w:szCs w:val="24"/>
        </w:rPr>
      </w:pPr>
      <w:r w:rsidRPr="00A12144">
        <w:rPr>
          <w:rFonts w:ascii="Times New Roman" w:hAnsi="Times New Roman" w:cs="Times New Roman"/>
          <w:b/>
          <w:bCs/>
          <w:sz w:val="24"/>
          <w:szCs w:val="24"/>
        </w:rPr>
        <w:t>Compare PGP and S/MIME in real-world deployment scenarios</w:t>
      </w:r>
    </w:p>
    <w:p w14:paraId="21B1E47C" w14:textId="77777777" w:rsidR="00AE57C6" w:rsidRPr="00A12144" w:rsidRDefault="005B53DE">
      <w:pPr>
        <w:numPr>
          <w:ilvl w:val="0"/>
          <w:numId w:val="4"/>
        </w:numPr>
        <w:spacing w:line="360" w:lineRule="auto"/>
        <w:rPr>
          <w:rFonts w:ascii="Times New Roman" w:hAnsi="Times New Roman" w:cs="Times New Roman"/>
          <w:b/>
          <w:bCs/>
          <w:sz w:val="24"/>
          <w:szCs w:val="24"/>
        </w:rPr>
      </w:pPr>
      <w:r w:rsidRPr="00A12144">
        <w:rPr>
          <w:rFonts w:ascii="Times New Roman" w:hAnsi="Times New Roman" w:cs="Times New Roman"/>
          <w:b/>
          <w:bCs/>
          <w:sz w:val="24"/>
          <w:szCs w:val="24"/>
        </w:rPr>
        <w:t>Analyze key management and trust models</w:t>
      </w:r>
    </w:p>
    <w:p w14:paraId="4097304E" w14:textId="77777777" w:rsidR="00AE57C6" w:rsidRPr="00A12144" w:rsidRDefault="005B53DE">
      <w:pPr>
        <w:numPr>
          <w:ilvl w:val="0"/>
          <w:numId w:val="4"/>
        </w:numPr>
        <w:spacing w:line="360" w:lineRule="auto"/>
        <w:rPr>
          <w:rFonts w:ascii="Times New Roman" w:hAnsi="Times New Roman" w:cs="Times New Roman"/>
          <w:b/>
          <w:bCs/>
          <w:sz w:val="24"/>
          <w:szCs w:val="24"/>
        </w:rPr>
      </w:pPr>
      <w:r w:rsidRPr="00A12144">
        <w:rPr>
          <w:rFonts w:ascii="Times New Roman" w:hAnsi="Times New Roman" w:cs="Times New Roman"/>
          <w:b/>
          <w:bCs/>
          <w:sz w:val="24"/>
          <w:szCs w:val="24"/>
        </w:rPr>
        <w:t>Recommend a solution with justification</w:t>
      </w:r>
    </w:p>
    <w:p w14:paraId="0324F037" w14:textId="77777777" w:rsidR="00AE57C6" w:rsidRPr="00A12144" w:rsidRDefault="005B53DE">
      <w:pPr>
        <w:numPr>
          <w:ilvl w:val="0"/>
          <w:numId w:val="4"/>
        </w:numPr>
        <w:spacing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Design a high-level implementation workflow</w:t>
      </w:r>
    </w:p>
    <w:p w14:paraId="466355AB" w14:textId="383D22ED" w:rsidR="00A12144" w:rsidRPr="00A12144" w:rsidRDefault="00A12144" w:rsidP="00A12144">
      <w:pPr>
        <w:spacing w:before="240" w:after="240" w:line="360" w:lineRule="auto"/>
        <w:rPr>
          <w:b/>
          <w:bCs/>
          <w:sz w:val="24"/>
          <w:szCs w:val="24"/>
        </w:rPr>
      </w:pPr>
      <w:r>
        <w:rPr>
          <w:sz w:val="24"/>
          <w:szCs w:val="24"/>
        </w:rPr>
        <w:t xml:space="preserve"> </w:t>
      </w:r>
      <w:r w:rsidRPr="00A12144">
        <w:rPr>
          <w:b/>
          <w:bCs/>
          <w:sz w:val="24"/>
          <w:szCs w:val="24"/>
        </w:rPr>
        <w:t>Introduction</w:t>
      </w:r>
    </w:p>
    <w:p w14:paraId="6BDA4887"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 xml:space="preserve">Financial institutions exchange highly sensitive information through email, including transaction details, account information, financial reports, and confidential business documents. Ordinary email does not provide sufficient protection against unauthorized access, modification, or impersonation. Therefore, the organization needs an email security mechanism that provides </w:t>
      </w:r>
      <w:r w:rsidRPr="00A12144">
        <w:rPr>
          <w:rFonts w:ascii="Times New Roman" w:hAnsi="Times New Roman" w:cs="Times New Roman"/>
          <w:b/>
          <w:bCs/>
          <w:sz w:val="24"/>
          <w:szCs w:val="24"/>
        </w:rPr>
        <w:t>confidentiality, integrity, authentication, and non-repudiation</w:t>
      </w:r>
      <w:r w:rsidRPr="00A12144">
        <w:rPr>
          <w:rFonts w:ascii="Times New Roman" w:hAnsi="Times New Roman" w:cs="Times New Roman"/>
          <w:sz w:val="24"/>
          <w:szCs w:val="24"/>
        </w:rPr>
        <w:t>.</w:t>
      </w:r>
    </w:p>
    <w:p w14:paraId="301D40DB"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 xml:space="preserve">Two commonly used technologies for secure email are </w:t>
      </w:r>
      <w:r w:rsidRPr="00A12144">
        <w:rPr>
          <w:rFonts w:ascii="Times New Roman" w:hAnsi="Times New Roman" w:cs="Times New Roman"/>
          <w:b/>
          <w:bCs/>
          <w:sz w:val="24"/>
          <w:szCs w:val="24"/>
        </w:rPr>
        <w:t>Pretty Good Privacy (PGP)</w:t>
      </w:r>
      <w:r w:rsidRPr="00A12144">
        <w:rPr>
          <w:rFonts w:ascii="Times New Roman" w:hAnsi="Times New Roman" w:cs="Times New Roman"/>
          <w:sz w:val="24"/>
          <w:szCs w:val="24"/>
        </w:rPr>
        <w:t xml:space="preserve"> and </w:t>
      </w:r>
      <w:r w:rsidRPr="00A12144">
        <w:rPr>
          <w:rFonts w:ascii="Times New Roman" w:hAnsi="Times New Roman" w:cs="Times New Roman"/>
          <w:b/>
          <w:bCs/>
          <w:sz w:val="24"/>
          <w:szCs w:val="24"/>
        </w:rPr>
        <w:t>Secure/Multipurpose Internet Mail Extensions (S/MIME)</w:t>
      </w:r>
      <w:r w:rsidRPr="00A12144">
        <w:rPr>
          <w:rFonts w:ascii="Times New Roman" w:hAnsi="Times New Roman" w:cs="Times New Roman"/>
          <w:sz w:val="24"/>
          <w:szCs w:val="24"/>
        </w:rPr>
        <w:t>. Both can encrypt email and digitally sign messages, but they use different trust and key-management models. The organization must therefore evaluate them based on usability, scalability, key management, and integration with enterprise systems.</w:t>
      </w:r>
    </w:p>
    <w:p w14:paraId="6D4DD4EB"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1. Comparison of PGP and S/MIME in Real-World Deployment</w:t>
      </w:r>
    </w:p>
    <w:p w14:paraId="5DEE2086"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PGP</w:t>
      </w:r>
    </w:p>
    <w:p w14:paraId="136296EA"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PGP uses public-key cryptography to protect email. Each user generally has a public key and a private key. The public key can be distributed to other users, while the private key must be protected by its owner.</w:t>
      </w:r>
    </w:p>
    <w:p w14:paraId="48444781"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For confidentiality, the sender uses the recipient's public key to protect the message or its session key. The recipient uses the corresponding private key to decrypt it. Digital signatures can also be generated using the sender's private key.</w:t>
      </w:r>
    </w:p>
    <w:p w14:paraId="7E77F80D"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lastRenderedPageBreak/>
        <w:t>PGP is useful in environments where users need flexibility and where communication occurs between independent organizations or individuals. It has historically been popular among technically experienced users and open-source communities.</w:t>
      </w:r>
    </w:p>
    <w:p w14:paraId="5B7402E8"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However, enterprise-wide deployment can be difficult because users must manage their own keys, verify public-key ownership, and deal with key expiration, replacement, backup, and revocation.</w:t>
      </w:r>
    </w:p>
    <w:p w14:paraId="0CA0659C"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S/MIME</w:t>
      </w:r>
    </w:p>
    <w:p w14:paraId="0066D7A9"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 xml:space="preserve">S/MIME is based on digital certificates and is widely supported by enterprise email systems. It uses a </w:t>
      </w:r>
      <w:r w:rsidRPr="00A12144">
        <w:rPr>
          <w:rFonts w:ascii="Times New Roman" w:hAnsi="Times New Roman" w:cs="Times New Roman"/>
          <w:b/>
          <w:bCs/>
          <w:sz w:val="24"/>
          <w:szCs w:val="24"/>
        </w:rPr>
        <w:t>Certificate Authority (CA)</w:t>
      </w:r>
      <w:r w:rsidRPr="00A12144">
        <w:rPr>
          <w:rFonts w:ascii="Times New Roman" w:hAnsi="Times New Roman" w:cs="Times New Roman"/>
          <w:sz w:val="24"/>
          <w:szCs w:val="24"/>
        </w:rPr>
        <w:t xml:space="preserve"> to issue certificates that associate a user's identity with a public key.</w:t>
      </w:r>
    </w:p>
    <w:p w14:paraId="046C1489"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S/MIME provides encryption and digital signatures and can integrate with enterprise identity systems and email clients. Users can often perform secure email operations without manually managing public keys.</w:t>
      </w:r>
    </w:p>
    <w:p w14:paraId="415C90B5"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S/MIME is particularly suitable for organizations that already operate a PKI or certificate-management infrastructure. It can therefore be more convenient for large enterprises.</w:t>
      </w:r>
    </w:p>
    <w:p w14:paraId="172835CD"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2. Key Management and Trust Models</w:t>
      </w:r>
    </w:p>
    <w:p w14:paraId="7CA4B616"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The main difference between PGP and S/MIME is their trust model.</w:t>
      </w:r>
    </w:p>
    <w:p w14:paraId="55EA682C"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 xml:space="preserve">PGP commonly uses a </w:t>
      </w:r>
      <w:r w:rsidRPr="00A12144">
        <w:rPr>
          <w:rFonts w:ascii="Times New Roman" w:hAnsi="Times New Roman" w:cs="Times New Roman"/>
          <w:b/>
          <w:bCs/>
          <w:sz w:val="24"/>
          <w:szCs w:val="24"/>
        </w:rPr>
        <w:t>web-of-trust</w:t>
      </w:r>
      <w:r w:rsidRPr="00A12144">
        <w:rPr>
          <w:rFonts w:ascii="Times New Roman" w:hAnsi="Times New Roman" w:cs="Times New Roman"/>
          <w:sz w:val="24"/>
          <w:szCs w:val="24"/>
        </w:rPr>
        <w:t xml:space="preserve"> approach. Users can sign other users' public keys after verifying their identities. Trust can therefore be distributed among users rather than depending completely on one central authority.</w:t>
      </w:r>
    </w:p>
    <w:p w14:paraId="1CAB3555"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This provides flexibility but can become difficult to manage in a large financial organization. Administrators may have difficulty ensuring that every employee has verified the correct public keys.</w:t>
      </w:r>
    </w:p>
    <w:p w14:paraId="6F29AD15"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 xml:space="preserve">S/MIME normally uses a </w:t>
      </w:r>
      <w:r w:rsidRPr="00A12144">
        <w:rPr>
          <w:rFonts w:ascii="Times New Roman" w:hAnsi="Times New Roman" w:cs="Times New Roman"/>
          <w:b/>
          <w:bCs/>
          <w:sz w:val="24"/>
          <w:szCs w:val="24"/>
        </w:rPr>
        <w:t>hierarchical certificate-based trust model</w:t>
      </w:r>
      <w:r w:rsidRPr="00A12144">
        <w:rPr>
          <w:rFonts w:ascii="Times New Roman" w:hAnsi="Times New Roman" w:cs="Times New Roman"/>
          <w:sz w:val="24"/>
          <w:szCs w:val="24"/>
        </w:rPr>
        <w:t>. A trusted Certificate Authority issues certificates to users and organizations. Email clients can validate the certificate chain using trusted root certificates.</w:t>
      </w:r>
    </w:p>
    <w:p w14:paraId="2CE1E91A"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For an enterprise, this model is easier to control because administrators can establish policies for certificate issuance, renewal, revocation, and recovery.</w:t>
      </w:r>
    </w:p>
    <w:p w14:paraId="71B868A1"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lastRenderedPageBreak/>
        <w:t>A typical S/MIME key-management process includes:</w:t>
      </w:r>
    </w:p>
    <w:p w14:paraId="4A92CEB1" w14:textId="77777777" w:rsidR="00A12144" w:rsidRPr="00A12144" w:rsidRDefault="00A12144" w:rsidP="00A12144">
      <w:pPr>
        <w:numPr>
          <w:ilvl w:val="0"/>
          <w:numId w:val="12"/>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User identity is verified.</w:t>
      </w:r>
    </w:p>
    <w:p w14:paraId="7D102CD8" w14:textId="77777777" w:rsidR="00A12144" w:rsidRPr="00A12144" w:rsidRDefault="00A12144" w:rsidP="00A12144">
      <w:pPr>
        <w:numPr>
          <w:ilvl w:val="0"/>
          <w:numId w:val="12"/>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A public/private key pair is generated.</w:t>
      </w:r>
    </w:p>
    <w:p w14:paraId="709564C9" w14:textId="77777777" w:rsidR="00A12144" w:rsidRPr="00A12144" w:rsidRDefault="00A12144" w:rsidP="00A12144">
      <w:pPr>
        <w:numPr>
          <w:ilvl w:val="0"/>
          <w:numId w:val="12"/>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The CA issues a digital certificate.</w:t>
      </w:r>
    </w:p>
    <w:p w14:paraId="2E4858D9" w14:textId="77777777" w:rsidR="00A12144" w:rsidRPr="00A12144" w:rsidRDefault="00A12144" w:rsidP="00A12144">
      <w:pPr>
        <w:numPr>
          <w:ilvl w:val="0"/>
          <w:numId w:val="12"/>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The certificate is installed in the user's email environment.</w:t>
      </w:r>
    </w:p>
    <w:p w14:paraId="288550FA" w14:textId="77777777" w:rsidR="00A12144" w:rsidRPr="00A12144" w:rsidRDefault="00A12144" w:rsidP="00A12144">
      <w:pPr>
        <w:numPr>
          <w:ilvl w:val="0"/>
          <w:numId w:val="12"/>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The public certificate is made available to communication partners.</w:t>
      </w:r>
    </w:p>
    <w:p w14:paraId="1D805FFD" w14:textId="77777777" w:rsidR="00A12144" w:rsidRPr="00A12144" w:rsidRDefault="00A12144" w:rsidP="00A12144">
      <w:pPr>
        <w:numPr>
          <w:ilvl w:val="0"/>
          <w:numId w:val="12"/>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Emails can be digitally signed and encrypted.</w:t>
      </w:r>
    </w:p>
    <w:p w14:paraId="60EF263B" w14:textId="77777777" w:rsidR="00A12144" w:rsidRPr="00A12144" w:rsidRDefault="00A12144" w:rsidP="00A12144">
      <w:pPr>
        <w:numPr>
          <w:ilvl w:val="0"/>
          <w:numId w:val="12"/>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Certificates are renewed before expiration.</w:t>
      </w:r>
    </w:p>
    <w:p w14:paraId="519A7D8C" w14:textId="77777777" w:rsidR="00A12144" w:rsidRPr="00A12144" w:rsidRDefault="00A12144" w:rsidP="00A12144">
      <w:pPr>
        <w:numPr>
          <w:ilvl w:val="0"/>
          <w:numId w:val="12"/>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Compromised certificates are revoked.</w:t>
      </w:r>
    </w:p>
    <w:p w14:paraId="2ECF5514"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3. Recommendation and Justification</w:t>
      </w:r>
    </w:p>
    <w:p w14:paraId="62FFA559"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 xml:space="preserve">For the financial services company, </w:t>
      </w:r>
      <w:r w:rsidRPr="00A12144">
        <w:rPr>
          <w:rFonts w:ascii="Times New Roman" w:hAnsi="Times New Roman" w:cs="Times New Roman"/>
          <w:b/>
          <w:bCs/>
          <w:sz w:val="24"/>
          <w:szCs w:val="24"/>
        </w:rPr>
        <w:t>S/MIME is recommended</w:t>
      </w:r>
      <w:r w:rsidRPr="00A12144">
        <w:rPr>
          <w:rFonts w:ascii="Times New Roman" w:hAnsi="Times New Roman" w:cs="Times New Roman"/>
          <w:sz w:val="24"/>
          <w:szCs w:val="24"/>
        </w:rPr>
        <w:t xml:space="preserve"> as the primary secure email solution.</w:t>
      </w:r>
    </w:p>
    <w:p w14:paraId="0477334F"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The main reason is its strong suitability for enterprise environments. Financial organizations generally require centralized administration, identity verification, policy enforcement, auditing, and integration with existing enterprise infrastructure.</w:t>
      </w:r>
    </w:p>
    <w:p w14:paraId="6BF8075B"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S/MIME provides several advantages:</w:t>
      </w:r>
    </w:p>
    <w:p w14:paraId="253F2DF7"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b/>
          <w:bCs/>
          <w:sz w:val="24"/>
          <w:szCs w:val="24"/>
        </w:rPr>
        <w:t>Enterprise integration:</w:t>
      </w:r>
      <w:r w:rsidRPr="00A12144">
        <w:rPr>
          <w:rFonts w:ascii="Times New Roman" w:hAnsi="Times New Roman" w:cs="Times New Roman"/>
          <w:sz w:val="24"/>
          <w:szCs w:val="24"/>
        </w:rPr>
        <w:br/>
        <w:t>S/MIME can integrate with enterprise email platforms, directory services, certificate authorities, and identity-management systems.</w:t>
      </w:r>
    </w:p>
    <w:p w14:paraId="03D3129C"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b/>
          <w:bCs/>
          <w:sz w:val="24"/>
          <w:szCs w:val="24"/>
        </w:rPr>
        <w:t>Centralized key management:</w:t>
      </w:r>
      <w:r w:rsidRPr="00A12144">
        <w:rPr>
          <w:rFonts w:ascii="Times New Roman" w:hAnsi="Times New Roman" w:cs="Times New Roman"/>
          <w:sz w:val="24"/>
          <w:szCs w:val="24"/>
        </w:rPr>
        <w:br/>
        <w:t>The organization can control certificate issuance, renewal, and revocation through a centralized PKI.</w:t>
      </w:r>
    </w:p>
    <w:p w14:paraId="537D8EC9"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b/>
          <w:bCs/>
          <w:sz w:val="24"/>
          <w:szCs w:val="24"/>
        </w:rPr>
        <w:t>Strong identity verification:</w:t>
      </w:r>
      <w:r w:rsidRPr="00A12144">
        <w:rPr>
          <w:rFonts w:ascii="Times New Roman" w:hAnsi="Times New Roman" w:cs="Times New Roman"/>
          <w:sz w:val="24"/>
          <w:szCs w:val="24"/>
        </w:rPr>
        <w:br/>
        <w:t>Certificates bind a public key to a verified identity, helping recipients determine who actually sent the message.</w:t>
      </w:r>
    </w:p>
    <w:p w14:paraId="12DBA3FE"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b/>
          <w:bCs/>
          <w:sz w:val="24"/>
          <w:szCs w:val="24"/>
        </w:rPr>
        <w:lastRenderedPageBreak/>
        <w:t>Ease of use:</w:t>
      </w:r>
      <w:r w:rsidRPr="00A12144">
        <w:rPr>
          <w:rFonts w:ascii="Times New Roman" w:hAnsi="Times New Roman" w:cs="Times New Roman"/>
          <w:sz w:val="24"/>
          <w:szCs w:val="24"/>
        </w:rPr>
        <w:br/>
        <w:t>Once certificates are configured, users can digitally sign and encrypt messages through supported email applications without manually exchanging keys.</w:t>
      </w:r>
    </w:p>
    <w:p w14:paraId="0F2EFB21"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b/>
          <w:bCs/>
          <w:sz w:val="24"/>
          <w:szCs w:val="24"/>
        </w:rPr>
        <w:t>Scalability:</w:t>
      </w:r>
      <w:r w:rsidRPr="00A12144">
        <w:rPr>
          <w:rFonts w:ascii="Times New Roman" w:hAnsi="Times New Roman" w:cs="Times New Roman"/>
          <w:sz w:val="24"/>
          <w:szCs w:val="24"/>
        </w:rPr>
        <w:br/>
        <w:t>A centralized CA can issue certificates to thousands of employees and devices.</w:t>
      </w:r>
    </w:p>
    <w:p w14:paraId="1864C8C7"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b/>
          <w:bCs/>
          <w:sz w:val="24"/>
          <w:szCs w:val="24"/>
        </w:rPr>
        <w:t>Compliance and auditing:</w:t>
      </w:r>
      <w:r w:rsidRPr="00A12144">
        <w:rPr>
          <w:rFonts w:ascii="Times New Roman" w:hAnsi="Times New Roman" w:cs="Times New Roman"/>
          <w:sz w:val="24"/>
          <w:szCs w:val="24"/>
        </w:rPr>
        <w:br/>
        <w:t>The organization can maintain records of certificate issuance, revocation, and security policies, which is important in regulated financial environments.</w:t>
      </w:r>
    </w:p>
    <w:p w14:paraId="6D773F13"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PGP could still be useful in specific situations, especially when communicating with external parties that already use PGP or when a decentralized trust model is preferred. However, for a centrally managed financial enterprise, S/MIME provides better administrative control and enterprise integration.</w:t>
      </w:r>
    </w:p>
    <w:p w14:paraId="12BBB25E"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4. High-Level S/MIME Implementation Workflow</w:t>
      </w:r>
    </w:p>
    <w:p w14:paraId="45B67A5E"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The proposed implementation can be organized into the following stages.</w:t>
      </w:r>
    </w:p>
    <w:p w14:paraId="04814729"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Stage 1 – Establish Enterprise PKI</w:t>
      </w:r>
    </w:p>
    <w:p w14:paraId="6E93AFA8"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The organization establishes or integrates with a trusted Certificate Authority. The CA becomes responsible for issuing and managing employee certificates.</w:t>
      </w:r>
    </w:p>
    <w:p w14:paraId="32C6AFFA"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Stage 2 – Verify Employee Identity</w:t>
      </w:r>
    </w:p>
    <w:p w14:paraId="0B59CBB0"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Before issuing certificates, the organization verifies the identity of employees through existing identity-management procedures. Only authorized employees should receive certificates.</w:t>
      </w:r>
    </w:p>
    <w:p w14:paraId="0EE7C574"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Stage 3 – Generate Key Pairs</w:t>
      </w:r>
    </w:p>
    <w:p w14:paraId="6C8EB48D"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Each employee receives a public/private key pair. The private key must remain protected and should not be accessible to unauthorized users.</w:t>
      </w:r>
    </w:p>
    <w:p w14:paraId="39B17504"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Stage 4 – Issue Digital Certificates</w:t>
      </w:r>
    </w:p>
    <w:p w14:paraId="67E2F497"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The CA creates an S/MIME certificate containing the employee's identity and public key. The certificate is distributed to the approved email environment.</w:t>
      </w:r>
    </w:p>
    <w:p w14:paraId="08CE3268"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lastRenderedPageBreak/>
        <w:t>Stage 5 – Configure Email Clients</w:t>
      </w:r>
    </w:p>
    <w:p w14:paraId="69706252"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Corporate email clients are configured to support S/MIME. Security policies can require digital signatures for sensitive communication and encryption for confidential transactions.</w:t>
      </w:r>
    </w:p>
    <w:p w14:paraId="1778D9E1"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Stage 6 – Digital Signing</w:t>
      </w:r>
    </w:p>
    <w:p w14:paraId="124B4A68"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When an employee sends a digitally signed email, the sender uses the private key to create the signature. The recipient uses the sender's certificate and public key to verify the signature.</w:t>
      </w:r>
    </w:p>
    <w:p w14:paraId="6D723E10"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This provides:</w:t>
      </w:r>
    </w:p>
    <w:p w14:paraId="52C3D430" w14:textId="77777777" w:rsidR="00A12144" w:rsidRPr="00A12144" w:rsidRDefault="00A12144" w:rsidP="00A12144">
      <w:pPr>
        <w:numPr>
          <w:ilvl w:val="0"/>
          <w:numId w:val="13"/>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Sender authentication</w:t>
      </w:r>
    </w:p>
    <w:p w14:paraId="3DB01053" w14:textId="77777777" w:rsidR="00A12144" w:rsidRPr="00A12144" w:rsidRDefault="00A12144" w:rsidP="00A12144">
      <w:pPr>
        <w:numPr>
          <w:ilvl w:val="0"/>
          <w:numId w:val="13"/>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Message integrity</w:t>
      </w:r>
    </w:p>
    <w:p w14:paraId="266F26A8" w14:textId="77777777" w:rsidR="00A12144" w:rsidRPr="00A12144" w:rsidRDefault="00A12144" w:rsidP="00A12144">
      <w:pPr>
        <w:numPr>
          <w:ilvl w:val="0"/>
          <w:numId w:val="13"/>
        </w:num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Evidence that the message was signed by the corresponding private key</w:t>
      </w:r>
    </w:p>
    <w:p w14:paraId="112AC118"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Stage 7 – Email Encryption</w:t>
      </w:r>
    </w:p>
    <w:p w14:paraId="303E62D4"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For confidential communication, the sender encrypts the message using the recipient's public key or an appropriate session-key mechanism. Only the intended recipient, who possesses the corresponding private key, can decrypt the protected content.</w:t>
      </w:r>
    </w:p>
    <w:p w14:paraId="64621FD4"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Stage 8 – Certificate Renewal</w:t>
      </w:r>
    </w:p>
    <w:p w14:paraId="236BE66D"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Certificates should be renewed automatically before expiration. Automated certificate-management systems can notify administrators and users or perform renewal without significant user involvement.</w:t>
      </w:r>
    </w:p>
    <w:p w14:paraId="7D73B857"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Stage 9 – Certificate Revocation</w:t>
      </w:r>
    </w:p>
    <w:p w14:paraId="5B73CC27"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If an employee leaves the organization, a device is lost, or a private key is suspected of compromise, the associated certificate should be revoked immediately. Certificate status mechanisms can prevent continued trust in the compromised certificate.</w:t>
      </w:r>
    </w:p>
    <w:p w14:paraId="046BD966"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Stage 10 – Monitoring and Auditing</w:t>
      </w:r>
    </w:p>
    <w:p w14:paraId="387FE0BE"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lastRenderedPageBreak/>
        <w:t>The organization should monitor certificate status, failed signature verification, encryption failures, certificate expiration, and suspicious email activity. Security logs can be integrated with enterprise monitoring and SIEM systems.</w:t>
      </w:r>
    </w:p>
    <w:p w14:paraId="1CDDA5D4"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PGP vs S/MIME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3457"/>
        <w:gridCol w:w="3802"/>
      </w:tblGrid>
      <w:tr w:rsidR="00A12144" w:rsidRPr="00A12144" w14:paraId="651ABDDD" w14:textId="77777777">
        <w:trPr>
          <w:tblCellSpacing w:w="15" w:type="dxa"/>
        </w:trPr>
        <w:tc>
          <w:tcPr>
            <w:tcW w:w="0" w:type="auto"/>
            <w:vAlign w:val="center"/>
            <w:hideMark/>
          </w:tcPr>
          <w:p w14:paraId="7E2F7075"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Feature</w:t>
            </w:r>
          </w:p>
        </w:tc>
        <w:tc>
          <w:tcPr>
            <w:tcW w:w="0" w:type="auto"/>
            <w:vAlign w:val="center"/>
            <w:hideMark/>
          </w:tcPr>
          <w:p w14:paraId="7CFA2C6A"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PGP</w:t>
            </w:r>
          </w:p>
        </w:tc>
        <w:tc>
          <w:tcPr>
            <w:tcW w:w="0" w:type="auto"/>
            <w:vAlign w:val="center"/>
            <w:hideMark/>
          </w:tcPr>
          <w:p w14:paraId="2486DEB6"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S/MIME</w:t>
            </w:r>
          </w:p>
        </w:tc>
      </w:tr>
      <w:tr w:rsidR="00A12144" w:rsidRPr="00A12144" w14:paraId="561AA2DD" w14:textId="77777777">
        <w:trPr>
          <w:tblCellSpacing w:w="15" w:type="dxa"/>
        </w:trPr>
        <w:tc>
          <w:tcPr>
            <w:tcW w:w="0" w:type="auto"/>
            <w:vAlign w:val="center"/>
            <w:hideMark/>
          </w:tcPr>
          <w:p w14:paraId="4DF2A7A4"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Trust model</w:t>
            </w:r>
          </w:p>
        </w:tc>
        <w:tc>
          <w:tcPr>
            <w:tcW w:w="0" w:type="auto"/>
            <w:vAlign w:val="center"/>
            <w:hideMark/>
          </w:tcPr>
          <w:p w14:paraId="71162F0B"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Usually decentralized/web of trust</w:t>
            </w:r>
          </w:p>
        </w:tc>
        <w:tc>
          <w:tcPr>
            <w:tcW w:w="0" w:type="auto"/>
            <w:vAlign w:val="center"/>
            <w:hideMark/>
          </w:tcPr>
          <w:p w14:paraId="7B17AB7C"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CA-based hierarchical trust</w:t>
            </w:r>
          </w:p>
        </w:tc>
      </w:tr>
      <w:tr w:rsidR="00A12144" w:rsidRPr="00A12144" w14:paraId="5430599E" w14:textId="77777777">
        <w:trPr>
          <w:tblCellSpacing w:w="15" w:type="dxa"/>
        </w:trPr>
        <w:tc>
          <w:tcPr>
            <w:tcW w:w="0" w:type="auto"/>
            <w:vAlign w:val="center"/>
            <w:hideMark/>
          </w:tcPr>
          <w:p w14:paraId="56E6EB00"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Key management</w:t>
            </w:r>
          </w:p>
        </w:tc>
        <w:tc>
          <w:tcPr>
            <w:tcW w:w="0" w:type="auto"/>
            <w:vAlign w:val="center"/>
            <w:hideMark/>
          </w:tcPr>
          <w:p w14:paraId="73D23C5C"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More user-driven</w:t>
            </w:r>
          </w:p>
        </w:tc>
        <w:tc>
          <w:tcPr>
            <w:tcW w:w="0" w:type="auto"/>
            <w:vAlign w:val="center"/>
            <w:hideMark/>
          </w:tcPr>
          <w:p w14:paraId="63627BB2"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Centrally managed</w:t>
            </w:r>
          </w:p>
        </w:tc>
      </w:tr>
      <w:tr w:rsidR="00A12144" w:rsidRPr="00A12144" w14:paraId="44AC63DF" w14:textId="77777777">
        <w:trPr>
          <w:tblCellSpacing w:w="15" w:type="dxa"/>
        </w:trPr>
        <w:tc>
          <w:tcPr>
            <w:tcW w:w="0" w:type="auto"/>
            <w:vAlign w:val="center"/>
            <w:hideMark/>
          </w:tcPr>
          <w:p w14:paraId="5DEAE933"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Enterprise scalability</w:t>
            </w:r>
          </w:p>
        </w:tc>
        <w:tc>
          <w:tcPr>
            <w:tcW w:w="0" w:type="auto"/>
            <w:vAlign w:val="center"/>
            <w:hideMark/>
          </w:tcPr>
          <w:p w14:paraId="18012B76"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Moderate</w:t>
            </w:r>
          </w:p>
        </w:tc>
        <w:tc>
          <w:tcPr>
            <w:tcW w:w="0" w:type="auto"/>
            <w:vAlign w:val="center"/>
            <w:hideMark/>
          </w:tcPr>
          <w:p w14:paraId="7FED10D9"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High</w:t>
            </w:r>
          </w:p>
        </w:tc>
      </w:tr>
      <w:tr w:rsidR="00A12144" w:rsidRPr="00A12144" w14:paraId="288F3D50" w14:textId="77777777">
        <w:trPr>
          <w:tblCellSpacing w:w="15" w:type="dxa"/>
        </w:trPr>
        <w:tc>
          <w:tcPr>
            <w:tcW w:w="0" w:type="auto"/>
            <w:vAlign w:val="center"/>
            <w:hideMark/>
          </w:tcPr>
          <w:p w14:paraId="24803269"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Enterprise integration</w:t>
            </w:r>
          </w:p>
        </w:tc>
        <w:tc>
          <w:tcPr>
            <w:tcW w:w="0" w:type="auto"/>
            <w:vAlign w:val="center"/>
            <w:hideMark/>
          </w:tcPr>
          <w:p w14:paraId="651ABC29"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More complex</w:t>
            </w:r>
          </w:p>
        </w:tc>
        <w:tc>
          <w:tcPr>
            <w:tcW w:w="0" w:type="auto"/>
            <w:vAlign w:val="center"/>
            <w:hideMark/>
          </w:tcPr>
          <w:p w14:paraId="4DB15ED0"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Strong</w:t>
            </w:r>
          </w:p>
        </w:tc>
      </w:tr>
      <w:tr w:rsidR="00A12144" w:rsidRPr="00A12144" w14:paraId="50363FFA" w14:textId="77777777">
        <w:trPr>
          <w:tblCellSpacing w:w="15" w:type="dxa"/>
        </w:trPr>
        <w:tc>
          <w:tcPr>
            <w:tcW w:w="0" w:type="auto"/>
            <w:vAlign w:val="center"/>
            <w:hideMark/>
          </w:tcPr>
          <w:p w14:paraId="1A2FE12F"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Certificate infrastructure</w:t>
            </w:r>
          </w:p>
        </w:tc>
        <w:tc>
          <w:tcPr>
            <w:tcW w:w="0" w:type="auto"/>
            <w:vAlign w:val="center"/>
            <w:hideMark/>
          </w:tcPr>
          <w:p w14:paraId="39DE879D"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Not necessarily required</w:t>
            </w:r>
          </w:p>
        </w:tc>
        <w:tc>
          <w:tcPr>
            <w:tcW w:w="0" w:type="auto"/>
            <w:vAlign w:val="center"/>
            <w:hideMark/>
          </w:tcPr>
          <w:p w14:paraId="29056D13"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Required</w:t>
            </w:r>
          </w:p>
        </w:tc>
      </w:tr>
      <w:tr w:rsidR="00A12144" w:rsidRPr="00A12144" w14:paraId="0B3D81F6" w14:textId="77777777">
        <w:trPr>
          <w:tblCellSpacing w:w="15" w:type="dxa"/>
        </w:trPr>
        <w:tc>
          <w:tcPr>
            <w:tcW w:w="0" w:type="auto"/>
            <w:vAlign w:val="center"/>
            <w:hideMark/>
          </w:tcPr>
          <w:p w14:paraId="4C413E00"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User experience</w:t>
            </w:r>
          </w:p>
        </w:tc>
        <w:tc>
          <w:tcPr>
            <w:tcW w:w="0" w:type="auto"/>
            <w:vAlign w:val="center"/>
            <w:hideMark/>
          </w:tcPr>
          <w:p w14:paraId="7DF45A37"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Can require more manual management</w:t>
            </w:r>
          </w:p>
        </w:tc>
        <w:tc>
          <w:tcPr>
            <w:tcW w:w="0" w:type="auto"/>
            <w:vAlign w:val="center"/>
            <w:hideMark/>
          </w:tcPr>
          <w:p w14:paraId="2235F67B"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Generally easier after deployment</w:t>
            </w:r>
          </w:p>
        </w:tc>
      </w:tr>
      <w:tr w:rsidR="00A12144" w:rsidRPr="00A12144" w14:paraId="1CCEA007" w14:textId="77777777">
        <w:trPr>
          <w:tblCellSpacing w:w="15" w:type="dxa"/>
        </w:trPr>
        <w:tc>
          <w:tcPr>
            <w:tcW w:w="0" w:type="auto"/>
            <w:vAlign w:val="center"/>
            <w:hideMark/>
          </w:tcPr>
          <w:p w14:paraId="51AF7376"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Identity management</w:t>
            </w:r>
          </w:p>
        </w:tc>
        <w:tc>
          <w:tcPr>
            <w:tcW w:w="0" w:type="auto"/>
            <w:vAlign w:val="center"/>
            <w:hideMark/>
          </w:tcPr>
          <w:p w14:paraId="52ED5F71"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Based on key verification/trust</w:t>
            </w:r>
          </w:p>
        </w:tc>
        <w:tc>
          <w:tcPr>
            <w:tcW w:w="0" w:type="auto"/>
            <w:vAlign w:val="center"/>
            <w:hideMark/>
          </w:tcPr>
          <w:p w14:paraId="77734944"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Certificate-based identity</w:t>
            </w:r>
          </w:p>
        </w:tc>
      </w:tr>
      <w:tr w:rsidR="00A12144" w:rsidRPr="00A12144" w14:paraId="351DD190" w14:textId="77777777">
        <w:trPr>
          <w:tblCellSpacing w:w="15" w:type="dxa"/>
        </w:trPr>
        <w:tc>
          <w:tcPr>
            <w:tcW w:w="0" w:type="auto"/>
            <w:vAlign w:val="center"/>
            <w:hideMark/>
          </w:tcPr>
          <w:p w14:paraId="3DDDFCCB"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Best suited for</w:t>
            </w:r>
          </w:p>
        </w:tc>
        <w:tc>
          <w:tcPr>
            <w:tcW w:w="0" w:type="auto"/>
            <w:vAlign w:val="center"/>
            <w:hideMark/>
          </w:tcPr>
          <w:p w14:paraId="0837BFD5"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Flexible/decentralized environments</w:t>
            </w:r>
          </w:p>
        </w:tc>
        <w:tc>
          <w:tcPr>
            <w:tcW w:w="0" w:type="auto"/>
            <w:vAlign w:val="center"/>
            <w:hideMark/>
          </w:tcPr>
          <w:p w14:paraId="5DC6F7D0"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Large enterprises and regulated organizations</w:t>
            </w:r>
          </w:p>
        </w:tc>
      </w:tr>
    </w:tbl>
    <w:p w14:paraId="53FD4379" w14:textId="77777777" w:rsidR="00A12144" w:rsidRPr="00A12144" w:rsidRDefault="00A12144" w:rsidP="00A12144">
      <w:pPr>
        <w:spacing w:before="240" w:after="240" w:line="360" w:lineRule="auto"/>
        <w:rPr>
          <w:rFonts w:ascii="Times New Roman" w:hAnsi="Times New Roman" w:cs="Times New Roman"/>
          <w:b/>
          <w:bCs/>
          <w:sz w:val="24"/>
          <w:szCs w:val="24"/>
        </w:rPr>
      </w:pPr>
      <w:r w:rsidRPr="00A12144">
        <w:rPr>
          <w:rFonts w:ascii="Times New Roman" w:hAnsi="Times New Roman" w:cs="Times New Roman"/>
          <w:b/>
          <w:bCs/>
          <w:sz w:val="24"/>
          <w:szCs w:val="24"/>
        </w:rPr>
        <w:t>Conclusion</w:t>
      </w:r>
    </w:p>
    <w:p w14:paraId="361261B5"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 xml:space="preserve">Both PGP and S/MIME can provide secure email through encryption and digital signatures. PGP provides flexibility and a decentralized trust model, making it useful for individuals and </w:t>
      </w:r>
      <w:r w:rsidRPr="00A12144">
        <w:rPr>
          <w:rFonts w:ascii="Times New Roman" w:hAnsi="Times New Roman" w:cs="Times New Roman"/>
          <w:sz w:val="24"/>
          <w:szCs w:val="24"/>
        </w:rPr>
        <w:lastRenderedPageBreak/>
        <w:t>organizations that prefer greater control over their keys. However, its key-management process can become complex at enterprise scale.</w:t>
      </w:r>
    </w:p>
    <w:p w14:paraId="7A3B340B" w14:textId="77777777" w:rsidR="00A12144" w:rsidRPr="00A12144" w:rsidRDefault="00A12144" w:rsidP="00A12144">
      <w:pPr>
        <w:spacing w:before="240" w:after="240" w:line="360" w:lineRule="auto"/>
        <w:rPr>
          <w:rFonts w:ascii="Times New Roman" w:hAnsi="Times New Roman" w:cs="Times New Roman"/>
          <w:sz w:val="24"/>
          <w:szCs w:val="24"/>
        </w:rPr>
      </w:pPr>
      <w:r w:rsidRPr="00A12144">
        <w:rPr>
          <w:rFonts w:ascii="Times New Roman" w:hAnsi="Times New Roman" w:cs="Times New Roman"/>
          <w:sz w:val="24"/>
          <w:szCs w:val="24"/>
        </w:rPr>
        <w:t xml:space="preserve">For the financial services company, </w:t>
      </w:r>
      <w:r w:rsidRPr="00A12144">
        <w:rPr>
          <w:rFonts w:ascii="Times New Roman" w:hAnsi="Times New Roman" w:cs="Times New Roman"/>
          <w:b/>
          <w:bCs/>
          <w:sz w:val="24"/>
          <w:szCs w:val="24"/>
        </w:rPr>
        <w:t>S/MIME is the better choice</w:t>
      </w:r>
      <w:r w:rsidRPr="00A12144">
        <w:rPr>
          <w:rFonts w:ascii="Times New Roman" w:hAnsi="Times New Roman" w:cs="Times New Roman"/>
          <w:sz w:val="24"/>
          <w:szCs w:val="24"/>
        </w:rPr>
        <w:t xml:space="preserve"> because it supports centralized certificate management, enterprise identity systems, automated key renewal and revocation, and integration with corporate email infrastructure. By deploying S/MIME with a strong PKI, automated certificate lifecycle management, secure private-key storage, and centralized monitoring, the organization can provide scalable and reliable protection for sensitive financial email communication.</w:t>
      </w:r>
    </w:p>
    <w:p w14:paraId="3B201338" w14:textId="4C487B4A" w:rsidR="00AE57C6" w:rsidRPr="00A12144" w:rsidRDefault="00AE57C6" w:rsidP="00A12144">
      <w:pPr>
        <w:spacing w:before="240" w:after="240" w:line="360" w:lineRule="auto"/>
        <w:rPr>
          <w:rFonts w:ascii="Times New Roman" w:hAnsi="Times New Roman" w:cs="Times New Roman"/>
          <w:sz w:val="24"/>
          <w:szCs w:val="24"/>
        </w:rPr>
      </w:pPr>
    </w:p>
    <w:p w14:paraId="33C086C4" w14:textId="77777777" w:rsidR="00AE57C6" w:rsidRDefault="00AE57C6">
      <w:pPr>
        <w:spacing w:after="240" w:line="360" w:lineRule="auto"/>
        <w:ind w:left="720"/>
        <w:rPr>
          <w:sz w:val="24"/>
          <w:szCs w:val="24"/>
        </w:rPr>
      </w:pPr>
    </w:p>
    <w:p w14:paraId="7BFED6DB" w14:textId="77777777" w:rsidR="00AE57C6" w:rsidRDefault="00AE57C6">
      <w:pPr>
        <w:pBdr>
          <w:top w:val="nil"/>
          <w:left w:val="nil"/>
          <w:bottom w:val="nil"/>
          <w:right w:val="nil"/>
          <w:between w:val="nil"/>
        </w:pBdr>
        <w:spacing w:line="360" w:lineRule="auto"/>
        <w:ind w:left="720"/>
        <w:jc w:val="both"/>
        <w:rPr>
          <w:sz w:val="24"/>
          <w:szCs w:val="24"/>
        </w:rPr>
      </w:pPr>
    </w:p>
    <w:p w14:paraId="7A857E99" w14:textId="77777777" w:rsidR="00AE57C6" w:rsidRDefault="00AE57C6">
      <w:pPr>
        <w:rPr>
          <w:i/>
          <w:iCs/>
          <w:sz w:val="24"/>
          <w:szCs w:val="24"/>
        </w:rPr>
      </w:pPr>
    </w:p>
    <w:p w14:paraId="6E56BB46" w14:textId="77777777" w:rsidR="00AE57C6" w:rsidRDefault="00AE57C6">
      <w:pPr>
        <w:rPr>
          <w:b/>
          <w:bCs/>
          <w:sz w:val="24"/>
          <w:szCs w:val="24"/>
        </w:rPr>
      </w:pPr>
    </w:p>
    <w:p w14:paraId="105B6AD6" w14:textId="77777777" w:rsidR="00AE57C6" w:rsidRDefault="00AE57C6">
      <w:pPr>
        <w:rPr>
          <w:b/>
          <w:bCs/>
          <w:sz w:val="24"/>
          <w:szCs w:val="24"/>
        </w:rPr>
      </w:pPr>
    </w:p>
    <w:p w14:paraId="1E1E57B4" w14:textId="77777777" w:rsidR="00AE57C6" w:rsidRDefault="00AE57C6">
      <w:pPr>
        <w:rPr>
          <w:b/>
          <w:bCs/>
          <w:sz w:val="24"/>
          <w:szCs w:val="24"/>
        </w:rPr>
      </w:pPr>
    </w:p>
    <w:p w14:paraId="0D176491" w14:textId="77777777" w:rsidR="00AE57C6" w:rsidRDefault="00AE57C6">
      <w:pPr>
        <w:rPr>
          <w:b/>
          <w:bCs/>
          <w:sz w:val="24"/>
          <w:szCs w:val="24"/>
        </w:rPr>
      </w:pPr>
    </w:p>
    <w:p w14:paraId="5579CFCA" w14:textId="77777777" w:rsidR="00AE57C6" w:rsidRDefault="00AE57C6">
      <w:pPr>
        <w:rPr>
          <w:b/>
          <w:bCs/>
          <w:sz w:val="24"/>
          <w:szCs w:val="24"/>
        </w:rPr>
      </w:pPr>
    </w:p>
    <w:p w14:paraId="3D254C4E" w14:textId="77777777" w:rsidR="00AE57C6" w:rsidRDefault="00AE57C6">
      <w:pPr>
        <w:rPr>
          <w:b/>
          <w:bCs/>
          <w:sz w:val="24"/>
          <w:szCs w:val="24"/>
        </w:rPr>
      </w:pPr>
    </w:p>
    <w:p w14:paraId="659E2912" w14:textId="77777777" w:rsidR="00A12144" w:rsidRDefault="00A12144">
      <w:pPr>
        <w:rPr>
          <w:b/>
          <w:bCs/>
          <w:sz w:val="24"/>
          <w:szCs w:val="24"/>
        </w:rPr>
      </w:pPr>
    </w:p>
    <w:p w14:paraId="648ED5CD" w14:textId="77777777" w:rsidR="00A12144" w:rsidRDefault="00A12144">
      <w:pPr>
        <w:rPr>
          <w:b/>
          <w:bCs/>
          <w:sz w:val="24"/>
          <w:szCs w:val="24"/>
        </w:rPr>
      </w:pPr>
    </w:p>
    <w:p w14:paraId="4979D6A0" w14:textId="77777777" w:rsidR="00A12144" w:rsidRDefault="00A12144">
      <w:pPr>
        <w:rPr>
          <w:b/>
          <w:bCs/>
          <w:sz w:val="24"/>
          <w:szCs w:val="24"/>
        </w:rPr>
      </w:pPr>
    </w:p>
    <w:p w14:paraId="3A0D5F1D" w14:textId="77777777" w:rsidR="00A12144" w:rsidRDefault="00A12144">
      <w:pPr>
        <w:rPr>
          <w:b/>
          <w:bCs/>
          <w:sz w:val="24"/>
          <w:szCs w:val="24"/>
        </w:rPr>
      </w:pPr>
    </w:p>
    <w:p w14:paraId="51778069" w14:textId="77777777" w:rsidR="00A12144" w:rsidRDefault="00A12144">
      <w:pPr>
        <w:rPr>
          <w:b/>
          <w:bCs/>
          <w:sz w:val="24"/>
          <w:szCs w:val="24"/>
        </w:rPr>
      </w:pPr>
    </w:p>
    <w:p w14:paraId="63177571" w14:textId="77777777" w:rsidR="00A12144" w:rsidRDefault="00A12144">
      <w:pPr>
        <w:rPr>
          <w:b/>
          <w:bCs/>
          <w:sz w:val="24"/>
          <w:szCs w:val="24"/>
        </w:rPr>
      </w:pPr>
    </w:p>
    <w:p w14:paraId="4C766ABD" w14:textId="77777777" w:rsidR="00A12144" w:rsidRDefault="00A12144">
      <w:pPr>
        <w:rPr>
          <w:b/>
          <w:bCs/>
          <w:sz w:val="24"/>
          <w:szCs w:val="24"/>
        </w:rPr>
      </w:pPr>
    </w:p>
    <w:p w14:paraId="2150F0BE" w14:textId="77777777" w:rsidR="00A12144" w:rsidRDefault="00A12144">
      <w:pPr>
        <w:rPr>
          <w:b/>
          <w:bCs/>
          <w:sz w:val="24"/>
          <w:szCs w:val="24"/>
        </w:rPr>
      </w:pPr>
    </w:p>
    <w:p w14:paraId="1216CC9F" w14:textId="77777777" w:rsidR="00A12144" w:rsidRDefault="00A12144">
      <w:pPr>
        <w:rPr>
          <w:b/>
          <w:bCs/>
          <w:sz w:val="24"/>
          <w:szCs w:val="24"/>
        </w:rPr>
      </w:pPr>
    </w:p>
    <w:p w14:paraId="1E9F7B94" w14:textId="77777777" w:rsidR="00A12144" w:rsidRDefault="00A12144">
      <w:pPr>
        <w:rPr>
          <w:b/>
          <w:bCs/>
          <w:sz w:val="24"/>
          <w:szCs w:val="24"/>
        </w:rPr>
      </w:pPr>
    </w:p>
    <w:p w14:paraId="33875CAD" w14:textId="77777777" w:rsidR="00A12144" w:rsidRDefault="00A12144">
      <w:pPr>
        <w:rPr>
          <w:b/>
          <w:bCs/>
          <w:sz w:val="24"/>
          <w:szCs w:val="24"/>
        </w:rPr>
      </w:pPr>
    </w:p>
    <w:p w14:paraId="42641525" w14:textId="77777777" w:rsidR="00A12144" w:rsidRDefault="00A12144">
      <w:pPr>
        <w:rPr>
          <w:b/>
          <w:bCs/>
          <w:sz w:val="24"/>
          <w:szCs w:val="24"/>
        </w:rPr>
      </w:pPr>
    </w:p>
    <w:p w14:paraId="58A6632D" w14:textId="77777777" w:rsidR="00A12144" w:rsidRDefault="00A12144">
      <w:pPr>
        <w:rPr>
          <w:b/>
          <w:bCs/>
          <w:sz w:val="24"/>
          <w:szCs w:val="24"/>
        </w:rPr>
      </w:pPr>
    </w:p>
    <w:p w14:paraId="28BC3344" w14:textId="77777777" w:rsidR="00A12144" w:rsidRDefault="00A12144">
      <w:pPr>
        <w:rPr>
          <w:b/>
          <w:bCs/>
          <w:sz w:val="24"/>
          <w:szCs w:val="24"/>
        </w:rPr>
      </w:pPr>
    </w:p>
    <w:p w14:paraId="5AED1098" w14:textId="77777777" w:rsidR="00AE57C6" w:rsidRDefault="00AE57C6">
      <w:pPr>
        <w:rPr>
          <w:b/>
          <w:bCs/>
          <w:sz w:val="24"/>
          <w:szCs w:val="24"/>
        </w:rPr>
      </w:pPr>
    </w:p>
    <w:p w14:paraId="53A28344" w14:textId="77777777" w:rsidR="00AE57C6" w:rsidRDefault="00AE57C6">
      <w:pPr>
        <w:rPr>
          <w:b/>
          <w:bCs/>
          <w:sz w:val="24"/>
          <w:szCs w:val="24"/>
        </w:rPr>
      </w:pPr>
    </w:p>
    <w:p w14:paraId="1C929EB3" w14:textId="77777777" w:rsidR="00AE57C6" w:rsidRDefault="00AE57C6">
      <w:pPr>
        <w:rPr>
          <w:b/>
          <w:bCs/>
          <w:sz w:val="24"/>
          <w:szCs w:val="24"/>
        </w:rPr>
      </w:pPr>
    </w:p>
    <w:p w14:paraId="20FC8ACE" w14:textId="77777777" w:rsidR="00A12144" w:rsidRDefault="00A12144">
      <w:pPr>
        <w:rPr>
          <w:b/>
          <w:bCs/>
          <w:sz w:val="24"/>
          <w:szCs w:val="24"/>
        </w:rPr>
      </w:pPr>
    </w:p>
    <w:p w14:paraId="428932CB" w14:textId="77777777" w:rsidR="00A12144" w:rsidRDefault="00A12144">
      <w:pPr>
        <w:rPr>
          <w:b/>
          <w:bCs/>
          <w:sz w:val="24"/>
          <w:szCs w:val="24"/>
        </w:rPr>
      </w:pPr>
    </w:p>
    <w:p w14:paraId="3FDEE815" w14:textId="1365C6D2" w:rsidR="00AE57C6" w:rsidRDefault="005B53DE">
      <w:pPr>
        <w:rPr>
          <w:b/>
          <w:bCs/>
          <w:sz w:val="24"/>
          <w:szCs w:val="24"/>
        </w:rPr>
      </w:pPr>
      <w:r>
        <w:rPr>
          <w:b/>
          <w:bCs/>
          <w:sz w:val="24"/>
          <w:szCs w:val="24"/>
        </w:rPr>
        <w:lastRenderedPageBreak/>
        <w:t>RUBRICS FOR CALCULATION:</w:t>
      </w:r>
    </w:p>
    <w:p w14:paraId="657A4A2A" w14:textId="77777777" w:rsidR="00AE57C6" w:rsidRDefault="00AE57C6">
      <w:pPr>
        <w:rPr>
          <w:sz w:val="24"/>
          <w:szCs w:val="24"/>
        </w:rPr>
      </w:pPr>
    </w:p>
    <w:tbl>
      <w:tblPr>
        <w:tblStyle w:val="a"/>
        <w:tblW w:w="10177" w:type="dxa"/>
        <w:tblInd w:w="-291" w:type="dxa"/>
        <w:tblLayout w:type="fixed"/>
        <w:tblLook w:val="0400" w:firstRow="0" w:lastRow="0" w:firstColumn="0" w:lastColumn="0" w:noHBand="0" w:noVBand="1"/>
      </w:tblPr>
      <w:tblGrid>
        <w:gridCol w:w="1855"/>
        <w:gridCol w:w="1386"/>
        <w:gridCol w:w="1820"/>
        <w:gridCol w:w="1744"/>
        <w:gridCol w:w="1588"/>
        <w:gridCol w:w="1784"/>
      </w:tblGrid>
      <w:tr w:rsidR="00AE57C6" w14:paraId="6B3A637B" w14:textId="77777777">
        <w:trPr>
          <w:trHeight w:val="315"/>
        </w:trPr>
        <w:tc>
          <w:tcPr>
            <w:tcW w:w="1855" w:type="dxa"/>
            <w:tcBorders>
              <w:top w:val="single" w:sz="4" w:space="0" w:color="000000"/>
              <w:left w:val="single" w:sz="4" w:space="0" w:color="000000"/>
              <w:bottom w:val="single" w:sz="4" w:space="0" w:color="000000"/>
              <w:right w:val="single" w:sz="4" w:space="0" w:color="000000"/>
            </w:tcBorders>
            <w:vAlign w:val="center"/>
          </w:tcPr>
          <w:p w14:paraId="1F7C139D" w14:textId="77777777" w:rsidR="00AE57C6" w:rsidRDefault="005B53DE">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76092627" w14:textId="77777777" w:rsidR="00AE57C6" w:rsidRDefault="005B53DE">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20" w:type="dxa"/>
            <w:tcBorders>
              <w:top w:val="single" w:sz="4" w:space="0" w:color="000000"/>
              <w:left w:val="nil"/>
              <w:bottom w:val="single" w:sz="4" w:space="0" w:color="000000"/>
              <w:right w:val="single" w:sz="4" w:space="0" w:color="000000"/>
            </w:tcBorders>
            <w:vAlign w:val="center"/>
          </w:tcPr>
          <w:p w14:paraId="5809A83E" w14:textId="77777777" w:rsidR="00AE57C6" w:rsidRDefault="005B53DE">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744" w:type="dxa"/>
            <w:tcBorders>
              <w:top w:val="single" w:sz="4" w:space="0" w:color="000000"/>
              <w:left w:val="nil"/>
              <w:bottom w:val="single" w:sz="4" w:space="0" w:color="000000"/>
              <w:right w:val="single" w:sz="4" w:space="0" w:color="000000"/>
            </w:tcBorders>
            <w:vAlign w:val="center"/>
          </w:tcPr>
          <w:p w14:paraId="058838F4" w14:textId="77777777" w:rsidR="00AE57C6" w:rsidRDefault="005B53DE">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588" w:type="dxa"/>
            <w:tcBorders>
              <w:top w:val="single" w:sz="4" w:space="0" w:color="000000"/>
              <w:left w:val="nil"/>
              <w:bottom w:val="single" w:sz="4" w:space="0" w:color="000000"/>
              <w:right w:val="single" w:sz="4" w:space="0" w:color="000000"/>
            </w:tcBorders>
            <w:vAlign w:val="center"/>
          </w:tcPr>
          <w:p w14:paraId="55FDA7BB" w14:textId="77777777" w:rsidR="00AE57C6" w:rsidRDefault="005B53DE">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2 – Developing</w:t>
            </w:r>
          </w:p>
        </w:tc>
        <w:tc>
          <w:tcPr>
            <w:tcW w:w="1784" w:type="dxa"/>
            <w:tcBorders>
              <w:top w:val="single" w:sz="4" w:space="0" w:color="000000"/>
              <w:left w:val="nil"/>
              <w:bottom w:val="single" w:sz="4" w:space="0" w:color="000000"/>
              <w:right w:val="single" w:sz="4" w:space="0" w:color="000000"/>
            </w:tcBorders>
            <w:vAlign w:val="center"/>
          </w:tcPr>
          <w:p w14:paraId="7F188885" w14:textId="77777777" w:rsidR="00AE57C6" w:rsidRDefault="005B53DE">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AE57C6" w14:paraId="37EA6FFF" w14:textId="77777777">
        <w:trPr>
          <w:trHeight w:val="852"/>
        </w:trPr>
        <w:tc>
          <w:tcPr>
            <w:tcW w:w="1855" w:type="dxa"/>
            <w:tcBorders>
              <w:top w:val="nil"/>
              <w:left w:val="single" w:sz="4" w:space="0" w:color="000000"/>
              <w:bottom w:val="single" w:sz="4" w:space="0" w:color="000000"/>
              <w:right w:val="single" w:sz="4" w:space="0" w:color="000000"/>
            </w:tcBorders>
            <w:vAlign w:val="center"/>
          </w:tcPr>
          <w:p w14:paraId="3A07479E"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44533B76"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20" w:type="dxa"/>
            <w:tcBorders>
              <w:top w:val="nil"/>
              <w:left w:val="nil"/>
              <w:bottom w:val="single" w:sz="4" w:space="0" w:color="000000"/>
              <w:right w:val="single" w:sz="4" w:space="0" w:color="000000"/>
            </w:tcBorders>
            <w:vAlign w:val="center"/>
          </w:tcPr>
          <w:p w14:paraId="481CE726"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744" w:type="dxa"/>
            <w:tcBorders>
              <w:top w:val="nil"/>
              <w:left w:val="nil"/>
              <w:bottom w:val="single" w:sz="4" w:space="0" w:color="000000"/>
              <w:right w:val="single" w:sz="4" w:space="0" w:color="000000"/>
            </w:tcBorders>
            <w:vAlign w:val="center"/>
          </w:tcPr>
          <w:p w14:paraId="17DC6902"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588" w:type="dxa"/>
            <w:tcBorders>
              <w:top w:val="nil"/>
              <w:left w:val="nil"/>
              <w:bottom w:val="single" w:sz="4" w:space="0" w:color="000000"/>
              <w:right w:val="single" w:sz="4" w:space="0" w:color="000000"/>
            </w:tcBorders>
            <w:vAlign w:val="center"/>
          </w:tcPr>
          <w:p w14:paraId="7DB54126"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784" w:type="dxa"/>
            <w:tcBorders>
              <w:top w:val="nil"/>
              <w:left w:val="nil"/>
              <w:bottom w:val="single" w:sz="4" w:space="0" w:color="000000"/>
              <w:right w:val="single" w:sz="4" w:space="0" w:color="000000"/>
            </w:tcBorders>
            <w:vAlign w:val="center"/>
          </w:tcPr>
          <w:p w14:paraId="2D913D53"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AE57C6" w14:paraId="3C34F951" w14:textId="77777777">
        <w:trPr>
          <w:trHeight w:val="1248"/>
        </w:trPr>
        <w:tc>
          <w:tcPr>
            <w:tcW w:w="1855" w:type="dxa"/>
            <w:tcBorders>
              <w:top w:val="nil"/>
              <w:left w:val="single" w:sz="4" w:space="0" w:color="000000"/>
              <w:bottom w:val="single" w:sz="4" w:space="0" w:color="000000"/>
              <w:right w:val="single" w:sz="4" w:space="0" w:color="000000"/>
            </w:tcBorders>
            <w:vAlign w:val="center"/>
          </w:tcPr>
          <w:p w14:paraId="37D7511E"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5A4FD0AD"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20" w:type="dxa"/>
            <w:tcBorders>
              <w:top w:val="nil"/>
              <w:left w:val="nil"/>
              <w:bottom w:val="single" w:sz="4" w:space="0" w:color="000000"/>
              <w:right w:val="single" w:sz="4" w:space="0" w:color="000000"/>
            </w:tcBorders>
            <w:vAlign w:val="center"/>
          </w:tcPr>
          <w:p w14:paraId="43056273"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744" w:type="dxa"/>
            <w:tcBorders>
              <w:top w:val="nil"/>
              <w:left w:val="nil"/>
              <w:bottom w:val="single" w:sz="4" w:space="0" w:color="000000"/>
              <w:right w:val="single" w:sz="4" w:space="0" w:color="000000"/>
            </w:tcBorders>
            <w:vAlign w:val="center"/>
          </w:tcPr>
          <w:p w14:paraId="409EBB4E"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588" w:type="dxa"/>
            <w:tcBorders>
              <w:top w:val="nil"/>
              <w:left w:val="nil"/>
              <w:bottom w:val="single" w:sz="4" w:space="0" w:color="000000"/>
              <w:right w:val="single" w:sz="4" w:space="0" w:color="000000"/>
            </w:tcBorders>
            <w:vAlign w:val="center"/>
          </w:tcPr>
          <w:p w14:paraId="24847DE6"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784" w:type="dxa"/>
            <w:tcBorders>
              <w:top w:val="nil"/>
              <w:left w:val="nil"/>
              <w:bottom w:val="single" w:sz="4" w:space="0" w:color="000000"/>
              <w:right w:val="single" w:sz="4" w:space="0" w:color="000000"/>
            </w:tcBorders>
            <w:vAlign w:val="center"/>
          </w:tcPr>
          <w:p w14:paraId="09DE9CE0"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AE57C6" w14:paraId="1989698C" w14:textId="77777777">
        <w:trPr>
          <w:trHeight w:val="900"/>
        </w:trPr>
        <w:tc>
          <w:tcPr>
            <w:tcW w:w="1855" w:type="dxa"/>
            <w:tcBorders>
              <w:top w:val="nil"/>
              <w:left w:val="single" w:sz="4" w:space="0" w:color="000000"/>
              <w:bottom w:val="single" w:sz="4" w:space="0" w:color="000000"/>
              <w:right w:val="single" w:sz="4" w:space="0" w:color="000000"/>
            </w:tcBorders>
            <w:vAlign w:val="center"/>
          </w:tcPr>
          <w:p w14:paraId="574D7E41"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52F157AF"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20" w:type="dxa"/>
            <w:tcBorders>
              <w:top w:val="nil"/>
              <w:left w:val="nil"/>
              <w:bottom w:val="single" w:sz="4" w:space="0" w:color="000000"/>
              <w:right w:val="single" w:sz="4" w:space="0" w:color="000000"/>
            </w:tcBorders>
            <w:vAlign w:val="center"/>
          </w:tcPr>
          <w:p w14:paraId="0FBDA6C6"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744" w:type="dxa"/>
            <w:tcBorders>
              <w:top w:val="nil"/>
              <w:left w:val="nil"/>
              <w:bottom w:val="single" w:sz="4" w:space="0" w:color="000000"/>
              <w:right w:val="single" w:sz="4" w:space="0" w:color="000000"/>
            </w:tcBorders>
            <w:vAlign w:val="center"/>
          </w:tcPr>
          <w:p w14:paraId="79B3B75E"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588" w:type="dxa"/>
            <w:tcBorders>
              <w:top w:val="nil"/>
              <w:left w:val="nil"/>
              <w:bottom w:val="single" w:sz="4" w:space="0" w:color="000000"/>
              <w:right w:val="single" w:sz="4" w:space="0" w:color="000000"/>
            </w:tcBorders>
            <w:vAlign w:val="center"/>
          </w:tcPr>
          <w:p w14:paraId="7E8E8F40"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784" w:type="dxa"/>
            <w:tcBorders>
              <w:top w:val="nil"/>
              <w:left w:val="nil"/>
              <w:bottom w:val="single" w:sz="4" w:space="0" w:color="000000"/>
              <w:right w:val="single" w:sz="4" w:space="0" w:color="000000"/>
            </w:tcBorders>
            <w:vAlign w:val="center"/>
          </w:tcPr>
          <w:p w14:paraId="3E1A7F10"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AE57C6" w14:paraId="52123CCB" w14:textId="77777777">
        <w:trPr>
          <w:trHeight w:val="708"/>
        </w:trPr>
        <w:tc>
          <w:tcPr>
            <w:tcW w:w="1855" w:type="dxa"/>
            <w:tcBorders>
              <w:top w:val="nil"/>
              <w:left w:val="single" w:sz="4" w:space="0" w:color="000000"/>
              <w:bottom w:val="single" w:sz="4" w:space="0" w:color="000000"/>
              <w:right w:val="single" w:sz="4" w:space="0" w:color="000000"/>
            </w:tcBorders>
            <w:vAlign w:val="center"/>
          </w:tcPr>
          <w:p w14:paraId="47A2E671"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4F6F5AEF"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20" w:type="dxa"/>
            <w:tcBorders>
              <w:top w:val="nil"/>
              <w:left w:val="nil"/>
              <w:bottom w:val="single" w:sz="4" w:space="0" w:color="000000"/>
              <w:right w:val="single" w:sz="4" w:space="0" w:color="000000"/>
            </w:tcBorders>
            <w:vAlign w:val="center"/>
          </w:tcPr>
          <w:p w14:paraId="7E007383"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744" w:type="dxa"/>
            <w:tcBorders>
              <w:top w:val="nil"/>
              <w:left w:val="nil"/>
              <w:bottom w:val="single" w:sz="4" w:space="0" w:color="000000"/>
              <w:right w:val="single" w:sz="4" w:space="0" w:color="000000"/>
            </w:tcBorders>
            <w:vAlign w:val="center"/>
          </w:tcPr>
          <w:p w14:paraId="725C6FFC"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588" w:type="dxa"/>
            <w:tcBorders>
              <w:top w:val="nil"/>
              <w:left w:val="nil"/>
              <w:bottom w:val="single" w:sz="4" w:space="0" w:color="000000"/>
              <w:right w:val="single" w:sz="4" w:space="0" w:color="000000"/>
            </w:tcBorders>
            <w:vAlign w:val="center"/>
          </w:tcPr>
          <w:p w14:paraId="5F40F913"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784" w:type="dxa"/>
            <w:tcBorders>
              <w:top w:val="nil"/>
              <w:left w:val="nil"/>
              <w:bottom w:val="single" w:sz="4" w:space="0" w:color="000000"/>
              <w:right w:val="single" w:sz="4" w:space="0" w:color="000000"/>
            </w:tcBorders>
            <w:vAlign w:val="center"/>
          </w:tcPr>
          <w:p w14:paraId="5AA048B5"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AE57C6" w14:paraId="410509F6" w14:textId="77777777">
        <w:trPr>
          <w:trHeight w:val="900"/>
        </w:trPr>
        <w:tc>
          <w:tcPr>
            <w:tcW w:w="1855" w:type="dxa"/>
            <w:tcBorders>
              <w:top w:val="nil"/>
              <w:left w:val="single" w:sz="4" w:space="0" w:color="000000"/>
              <w:bottom w:val="single" w:sz="4" w:space="0" w:color="000000"/>
              <w:right w:val="single" w:sz="4" w:space="0" w:color="000000"/>
            </w:tcBorders>
            <w:vAlign w:val="center"/>
          </w:tcPr>
          <w:p w14:paraId="20B306F3"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0F1E4B88"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20" w:type="dxa"/>
            <w:tcBorders>
              <w:top w:val="nil"/>
              <w:left w:val="nil"/>
              <w:bottom w:val="single" w:sz="4" w:space="0" w:color="000000"/>
              <w:right w:val="single" w:sz="4" w:space="0" w:color="000000"/>
            </w:tcBorders>
            <w:vAlign w:val="center"/>
          </w:tcPr>
          <w:p w14:paraId="18445D2D"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744" w:type="dxa"/>
            <w:tcBorders>
              <w:top w:val="nil"/>
              <w:left w:val="nil"/>
              <w:bottom w:val="single" w:sz="4" w:space="0" w:color="000000"/>
              <w:right w:val="single" w:sz="4" w:space="0" w:color="000000"/>
            </w:tcBorders>
            <w:vAlign w:val="center"/>
          </w:tcPr>
          <w:p w14:paraId="11B746BD"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588" w:type="dxa"/>
            <w:tcBorders>
              <w:top w:val="nil"/>
              <w:left w:val="nil"/>
              <w:bottom w:val="single" w:sz="4" w:space="0" w:color="000000"/>
              <w:right w:val="single" w:sz="4" w:space="0" w:color="000000"/>
            </w:tcBorders>
            <w:vAlign w:val="center"/>
          </w:tcPr>
          <w:p w14:paraId="3F218DC3"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784" w:type="dxa"/>
            <w:tcBorders>
              <w:top w:val="nil"/>
              <w:left w:val="nil"/>
              <w:bottom w:val="single" w:sz="4" w:space="0" w:color="000000"/>
              <w:right w:val="single" w:sz="4" w:space="0" w:color="000000"/>
            </w:tcBorders>
            <w:vAlign w:val="center"/>
          </w:tcPr>
          <w:p w14:paraId="05484829"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AE57C6" w14:paraId="2F6DD3BA" w14:textId="77777777">
        <w:trPr>
          <w:trHeight w:val="840"/>
        </w:trPr>
        <w:tc>
          <w:tcPr>
            <w:tcW w:w="1855" w:type="dxa"/>
            <w:tcBorders>
              <w:top w:val="nil"/>
              <w:left w:val="single" w:sz="4" w:space="0" w:color="000000"/>
              <w:bottom w:val="single" w:sz="4" w:space="0" w:color="000000"/>
              <w:right w:val="single" w:sz="4" w:space="0" w:color="000000"/>
            </w:tcBorders>
            <w:vAlign w:val="center"/>
          </w:tcPr>
          <w:p w14:paraId="795BFDA0"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591DEC78"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20" w:type="dxa"/>
            <w:tcBorders>
              <w:top w:val="nil"/>
              <w:left w:val="nil"/>
              <w:bottom w:val="single" w:sz="4" w:space="0" w:color="000000"/>
              <w:right w:val="single" w:sz="4" w:space="0" w:color="000000"/>
            </w:tcBorders>
            <w:vAlign w:val="center"/>
          </w:tcPr>
          <w:p w14:paraId="6C058F7B"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744" w:type="dxa"/>
            <w:tcBorders>
              <w:top w:val="nil"/>
              <w:left w:val="nil"/>
              <w:bottom w:val="single" w:sz="4" w:space="0" w:color="000000"/>
              <w:right w:val="single" w:sz="4" w:space="0" w:color="000000"/>
            </w:tcBorders>
            <w:vAlign w:val="center"/>
          </w:tcPr>
          <w:p w14:paraId="2C5E645C"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588" w:type="dxa"/>
            <w:tcBorders>
              <w:top w:val="nil"/>
              <w:left w:val="nil"/>
              <w:bottom w:val="single" w:sz="4" w:space="0" w:color="000000"/>
              <w:right w:val="single" w:sz="4" w:space="0" w:color="000000"/>
            </w:tcBorders>
            <w:vAlign w:val="center"/>
          </w:tcPr>
          <w:p w14:paraId="3C3CEEDF"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784" w:type="dxa"/>
            <w:tcBorders>
              <w:top w:val="nil"/>
              <w:left w:val="nil"/>
              <w:bottom w:val="single" w:sz="4" w:space="0" w:color="000000"/>
              <w:right w:val="single" w:sz="4" w:space="0" w:color="000000"/>
            </w:tcBorders>
            <w:vAlign w:val="center"/>
          </w:tcPr>
          <w:p w14:paraId="08A4A580" w14:textId="77777777" w:rsidR="00AE57C6" w:rsidRDefault="005B53DE">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23605133" w14:textId="77777777" w:rsidR="00AE57C6" w:rsidRDefault="00AE57C6">
      <w:pPr>
        <w:rPr>
          <w:b/>
          <w:bCs/>
          <w:sz w:val="34"/>
          <w:szCs w:val="34"/>
        </w:rPr>
      </w:pPr>
    </w:p>
    <w:sectPr w:rsidR="00AE57C6">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3FFA9BD-C37F-486A-A96C-5DEA697415F9}"/>
    <w:embedBold r:id="rId2" w:fontKey="{01A7BF40-F4D4-44C4-8829-50F2CA7AFE6A}"/>
  </w:font>
  <w:font w:name="Calibri">
    <w:panose1 w:val="020F0502020204030204"/>
    <w:charset w:val="00"/>
    <w:family w:val="swiss"/>
    <w:pitch w:val="variable"/>
    <w:sig w:usb0="E4002EFF" w:usb1="C200247B" w:usb2="00000009" w:usb3="00000000" w:csb0="000001FF" w:csb1="00000000"/>
    <w:embedRegular r:id="rId3" w:fontKey="{D633572A-843D-407D-AF62-8B3C6F7025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146"/>
    <w:multiLevelType w:val="multilevel"/>
    <w:tmpl w:val="D4F43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93BFB"/>
    <w:multiLevelType w:val="multilevel"/>
    <w:tmpl w:val="AB489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A90B8F"/>
    <w:multiLevelType w:val="multilevel"/>
    <w:tmpl w:val="57AA819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6C636CF"/>
    <w:multiLevelType w:val="multilevel"/>
    <w:tmpl w:val="E14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3531B"/>
    <w:multiLevelType w:val="multilevel"/>
    <w:tmpl w:val="CE087E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313F10"/>
    <w:multiLevelType w:val="multilevel"/>
    <w:tmpl w:val="0A9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06535"/>
    <w:multiLevelType w:val="multilevel"/>
    <w:tmpl w:val="ED9287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64C417C"/>
    <w:multiLevelType w:val="multilevel"/>
    <w:tmpl w:val="C3205D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14101D5"/>
    <w:multiLevelType w:val="multilevel"/>
    <w:tmpl w:val="EC68057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B195C84"/>
    <w:multiLevelType w:val="multilevel"/>
    <w:tmpl w:val="042E9850"/>
    <w:lvl w:ilvl="0">
      <w:start w:val="3"/>
      <w:numFmt w:val="decimal"/>
      <w:lvlText w:val="%1."/>
      <w:lvlJc w:val="left"/>
      <w:pPr>
        <w:ind w:left="502" w:hanging="360"/>
      </w:pPr>
      <w:rPr>
        <w:u w:val="none"/>
      </w:rPr>
    </w:lvl>
    <w:lvl w:ilvl="1">
      <w:start w:val="1"/>
      <w:numFmt w:val="lowerLetter"/>
      <w:lvlText w:val="%2."/>
      <w:lvlJc w:val="left"/>
      <w:pPr>
        <w:ind w:left="1222" w:hanging="360"/>
      </w:pPr>
      <w:rPr>
        <w:u w:val="none"/>
      </w:rPr>
    </w:lvl>
    <w:lvl w:ilvl="2">
      <w:start w:val="1"/>
      <w:numFmt w:val="lowerRoman"/>
      <w:lvlText w:val="%3."/>
      <w:lvlJc w:val="lef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lef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left"/>
      <w:pPr>
        <w:ind w:left="6262" w:hanging="360"/>
      </w:pPr>
      <w:rPr>
        <w:u w:val="none"/>
      </w:rPr>
    </w:lvl>
  </w:abstractNum>
  <w:abstractNum w:abstractNumId="10" w15:restartNumberingAfterBreak="0">
    <w:nsid w:val="701A7774"/>
    <w:multiLevelType w:val="multilevel"/>
    <w:tmpl w:val="D914518A"/>
    <w:lvl w:ilvl="0">
      <w:start w:val="1"/>
      <w:numFmt w:val="upperLetter"/>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36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36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360"/>
      </w:pPr>
      <w:rPr>
        <w:u w:val="none"/>
      </w:rPr>
    </w:lvl>
  </w:abstractNum>
  <w:abstractNum w:abstractNumId="11" w15:restartNumberingAfterBreak="0">
    <w:nsid w:val="73B41682"/>
    <w:multiLevelType w:val="multilevel"/>
    <w:tmpl w:val="C192ABF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5383EE5"/>
    <w:multiLevelType w:val="multilevel"/>
    <w:tmpl w:val="241A699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0614078">
    <w:abstractNumId w:val="11"/>
  </w:num>
  <w:num w:numId="2" w16cid:durableId="1924103653">
    <w:abstractNumId w:val="12"/>
  </w:num>
  <w:num w:numId="3" w16cid:durableId="1740249425">
    <w:abstractNumId w:val="4"/>
  </w:num>
  <w:num w:numId="4" w16cid:durableId="2036537115">
    <w:abstractNumId w:val="10"/>
  </w:num>
  <w:num w:numId="5" w16cid:durableId="1004939225">
    <w:abstractNumId w:val="9"/>
  </w:num>
  <w:num w:numId="6" w16cid:durableId="499930592">
    <w:abstractNumId w:val="2"/>
  </w:num>
  <w:num w:numId="7" w16cid:durableId="1267497531">
    <w:abstractNumId w:val="7"/>
  </w:num>
  <w:num w:numId="8" w16cid:durableId="145898363">
    <w:abstractNumId w:val="1"/>
  </w:num>
  <w:num w:numId="9" w16cid:durableId="1804689827">
    <w:abstractNumId w:val="6"/>
  </w:num>
  <w:num w:numId="10" w16cid:durableId="640579254">
    <w:abstractNumId w:val="8"/>
  </w:num>
  <w:num w:numId="11" w16cid:durableId="1055084379">
    <w:abstractNumId w:val="5"/>
  </w:num>
  <w:num w:numId="12" w16cid:durableId="1906842996">
    <w:abstractNumId w:val="0"/>
  </w:num>
  <w:num w:numId="13" w16cid:durableId="901451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C6"/>
    <w:rsid w:val="003A28EF"/>
    <w:rsid w:val="004E79D1"/>
    <w:rsid w:val="005B53DE"/>
    <w:rsid w:val="00A12144"/>
    <w:rsid w:val="00AE5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27B84"/>
  <w15:docId w15:val="{218C0D5B-9BEC-444D-B186-E6997F4C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7RJX8+lt0bevQIg4qnrddCzZA==">CgMxLjA4AHIhMWN4Y0F4QzBZNmVCSUFBN2xZQWZrV2dHUnpyLVFwWUU1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2939</Words>
  <Characters>16756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GOWRI SHANKAR</cp:lastModifiedBy>
  <cp:revision>2</cp:revision>
  <dcterms:created xsi:type="dcterms:W3CDTF">2026-08-19T04:49:00Z</dcterms:created>
  <dcterms:modified xsi:type="dcterms:W3CDTF">2026-08-19T04:49:00Z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