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0F294A"/>
          <w:sz w:val="44"/>
        </w:rPr>
        <w:t>TRIBUNAL End-to-End Investigation Walkthrough</w:t>
      </w:r>
    </w:p>
    <w:p>
      <w:r>
        <w:rPr>
          <w:rFonts w:ascii="Segoe UI" w:hAnsi="Segoe UI"/>
          <w:i/>
          <w:color w:val="4A5568"/>
          <w:sz w:val="26"/>
        </w:rPr>
        <w:t>Visual Companion &amp; Screenshot Evaluation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Document Type: Hackathon Jury &amp; Evaluation Visual Guide  |  System Version: v2.0  |  Platform: TRIBUNAL AI Multi-Expert</w:t>
            </w:r>
          </w:p>
        </w:tc>
      </w:tr>
    </w:tbl>
    <w:p>
      <w:pPr>
        <w:spacing w:after="240"/>
      </w:pPr>
    </w:p>
    <w:p>
      <w:r>
        <w:t>This visual companion guide provides a step-by-step evaluation protocol for testing TRIBUNAL's autonomous multi-expert legal/investigative framework. Use the formatted screenshot containers below to paste high-resolution images from each evaluation step.</w:t>
      </w:r>
    </w:p>
    <w:p>
      <w:pPr>
        <w:spacing w:before="320" w:after="120"/>
      </w:pPr>
      <w:r>
        <w:rPr>
          <w:rFonts w:ascii="Segoe UI" w:hAnsi="Segoe UI"/>
          <w:b/>
          <w:color w:val="0F294A"/>
          <w:sz w:val="30"/>
        </w:rPr>
        <w:t>Step 1: Launch System &amp; Open Dashboard</w:t>
      </w:r>
    </w:p>
    <w:p>
      <w:r>
        <w:t>1. Open terminal and launch FastAPI backend service (`uvicorn api.app:app --port 8000`).</w:t>
        <w:br/>
      </w:r>
      <w:r>
        <w:t>2. Open React dashboard in browser (`http://localhost:5173`).</w:t>
        <w:br/>
      </w:r>
      <w:r>
        <w:t>3. Verification Point: Verify top navigation header displays green "API Connected" status indicator.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4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718096"/>
                <w:sz w:val="22"/>
              </w:rPr>
              <w:t>[ INSERT SCREENSHOT HERE: SYSTEM LAUNCH &amp; DASHBOARD HOMEPAGE ]</w:t>
            </w:r>
          </w:p>
          <w:p>
            <w:pPr>
              <w:jc w:val="center"/>
            </w:pPr>
            <w:r>
              <w:rPr>
                <w:i/>
                <w:color w:val="A0AEC0"/>
                <w:sz w:val="18"/>
              </w:rPr>
              <w:t>(Paste high-resolution screenshot into this container or replace placeholder text)</w:t>
            </w:r>
          </w:p>
        </w:tc>
      </w:tr>
      <w:tr>
        <w:tc>
          <w:tcPr>
            <w:tcW w:type="dxa" w:w="9360"/>
            <w:shd w:fill="EDF2F7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9"/>
              </w:rPr>
              <w:t xml:space="preserve">Figure 1: </w:t>
            </w:r>
            <w:r>
              <w:rPr>
                <w:i/>
                <w:color w:val="4A5568"/>
                <w:sz w:val="19"/>
              </w:rPr>
              <w:t>TRIBUNAL Multi-Expert Web Dashboard homepage showing connected API status header.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Segoe UI" w:hAnsi="Segoe UI"/>
          <w:b/>
          <w:color w:val="0F294A"/>
          <w:sz w:val="30"/>
        </w:rPr>
        <w:t>Step 2: Select Pre-Configured Evaluation Scenario</w:t>
      </w:r>
    </w:p>
    <w:p>
      <w:r>
        <w:t>1. Click on the "Sample Queries" dropdown in the top navigation search header.</w:t>
        <w:br/>
      </w:r>
      <w:r>
        <w:t>2. Choose Scenario A (ACC-90812 — Structuring Sweep), Scenario B (ACC-10492 — Dormancy Reactivation), or Scenario C (ACC-44910 — Shell Counterparty Sweep).</w:t>
        <w:br/>
      </w:r>
      <w:r>
        <w:t>3. Click "Investigate" to trigger the multi-expert pipeline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4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718096"/>
                <w:sz w:val="22"/>
              </w:rPr>
              <w:t>[ INSERT SCREENSHOT HERE: SAMPLE QUERIES &amp; SEARCH HEADER ]</w:t>
            </w:r>
          </w:p>
          <w:p>
            <w:pPr>
              <w:jc w:val="center"/>
            </w:pPr>
            <w:r>
              <w:rPr>
                <w:i/>
                <w:color w:val="A0AEC0"/>
                <w:sz w:val="18"/>
              </w:rPr>
              <w:t>(Paste high-resolution screenshot into this container or replace placeholder text)</w:t>
            </w:r>
          </w:p>
        </w:tc>
      </w:tr>
      <w:tr>
        <w:tc>
          <w:tcPr>
            <w:tcW w:type="dxa" w:w="9360"/>
            <w:shd w:fill="EDF2F7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9"/>
              </w:rPr>
              <w:t xml:space="preserve">Figure 2: </w:t>
            </w:r>
            <w:r>
              <w:rPr>
                <w:i/>
                <w:color w:val="4A5568"/>
                <w:sz w:val="19"/>
              </w:rPr>
              <w:t>Top navigation search bar displaying sample scenarios dropdown menu and Investigate button.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Segoe UI" w:hAnsi="Segoe UI"/>
          <w:b/>
          <w:color w:val="0F294A"/>
          <w:sz w:val="30"/>
        </w:rPr>
        <w:t>Step 3: Inspect Multi-Expert Panel Findings</w:t>
      </w:r>
    </w:p>
    <w:p>
      <w:r>
        <w:t>Examine the three domain expert reasoning cards rendered in the main workspace:</w:t>
        <w:br/>
      </w:r>
      <w:r>
        <w:t>• Financial Expert Card: Flags structuring transactions under $10,000, velocity spikes, and transfer volumes.</w:t>
        <w:br/>
      </w:r>
      <w:r>
        <w:t>• Behavioral Expert Card: Compares historical baselines, account dormancy reactivation (&gt;180 days), and payment method drift.</w:t>
        <w:br/>
      </w:r>
      <w:r>
        <w:t>• Defense Agent Rebuttal Card: Cross-examines findings against commercial exceptions (payroll, vendor contracts) to rebut false positives.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4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718096"/>
                <w:sz w:val="22"/>
              </w:rPr>
              <w:t>[ INSERT SCREENSHOT HERE: MULTI-EXPERT FINDINGS CARDS ]</w:t>
            </w:r>
          </w:p>
          <w:p>
            <w:pPr>
              <w:jc w:val="center"/>
            </w:pPr>
            <w:r>
              <w:rPr>
                <w:i/>
                <w:color w:val="A0AEC0"/>
                <w:sz w:val="18"/>
              </w:rPr>
              <w:t>(Paste high-resolution screenshot into this container or replace placeholder text)</w:t>
            </w:r>
          </w:p>
        </w:tc>
      </w:tr>
      <w:tr>
        <w:tc>
          <w:tcPr>
            <w:tcW w:type="dxa" w:w="9360"/>
            <w:shd w:fill="EDF2F7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9"/>
              </w:rPr>
              <w:t xml:space="preserve">Figure 3: </w:t>
            </w:r>
            <w:r>
              <w:rPr>
                <w:i/>
                <w:color w:val="4A5568"/>
                <w:sz w:val="19"/>
              </w:rPr>
              <w:t>Workspace panel cards for Financial Expert, Behavioral Expert, and Defense Agent showing findings and rebuttal arguments.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Segoe UI" w:hAnsi="Segoe UI"/>
          <w:b/>
          <w:color w:val="0F294A"/>
          <w:sz w:val="30"/>
        </w:rPr>
        <w:t>Step 4: Navigate Interactive Evidence Graph</w:t>
      </w:r>
    </w:p>
    <w:p>
      <w:r>
        <w:t>1. Explore the central node-link evidence graph powered by React Flow.</w:t>
        <w:br/>
      </w:r>
      <w:r>
        <w:t>2. Click on target account nodes (e.g. ACC-90812) or transaction edges to open the Node Metadata Drawer.</w:t>
        <w:br/>
      </w:r>
      <w:r>
        <w:t>3. Review calculated PageRank metrics, degree centrality scores, and structural anomaly indicators.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4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718096"/>
                <w:sz w:val="22"/>
              </w:rPr>
              <w:t>[ INSERT SCREENSHOT HERE: INTERACTIVE EVIDENCE GRAPH &amp; METADATA DRAWER ]</w:t>
            </w:r>
          </w:p>
          <w:p>
            <w:pPr>
              <w:jc w:val="center"/>
            </w:pPr>
            <w:r>
              <w:rPr>
                <w:i/>
                <w:color w:val="A0AEC0"/>
                <w:sz w:val="18"/>
              </w:rPr>
              <w:t>(Paste high-resolution screenshot into this container or replace placeholder text)</w:t>
            </w:r>
          </w:p>
        </w:tc>
      </w:tr>
      <w:tr>
        <w:tc>
          <w:tcPr>
            <w:tcW w:type="dxa" w:w="9360"/>
            <w:shd w:fill="EDF2F7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9"/>
              </w:rPr>
              <w:t xml:space="preserve">Figure 4: </w:t>
            </w:r>
            <w:r>
              <w:rPr>
                <w:i/>
                <w:color w:val="4A5568"/>
                <w:sz w:val="19"/>
              </w:rPr>
              <w:t>React Flow Evidence Graph canvas with node selection drawer showing PageRank and centrality metrics.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Segoe UI" w:hAnsi="Segoe UI"/>
          <w:b/>
          <w:color w:val="0F294A"/>
          <w:sz w:val="30"/>
        </w:rPr>
        <w:t>Step 5: Audit Tribunal Consensus &amp; Final Verdict</w:t>
      </w:r>
    </w:p>
    <w:p>
      <w:r>
        <w:t>1. Review the top Tribunal Verdict Banner displaying overall case recommendation.</w:t>
        <w:br/>
      </w:r>
      <w:r>
        <w:t>2. Categories: GUILTY / HIGH RISK, SUSPICIOUS / REVIEW, or INNOCENT / CLEARED BY DEFENSE.</w:t>
        <w:br/>
      </w:r>
      <w:r>
        <w:t>3. Verification Point: Inspect transparent calibrated confidence score (e.g. 87.5% Confidence) synthesized from mathematical evidence weighing.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4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718096"/>
                <w:sz w:val="22"/>
              </w:rPr>
              <w:t>[ INSERT SCREENSHOT HERE: TRIBUNAL CONSENSUS VERDICT BANNER ]</w:t>
            </w:r>
          </w:p>
          <w:p>
            <w:pPr>
              <w:jc w:val="center"/>
            </w:pPr>
            <w:r>
              <w:rPr>
                <w:i/>
                <w:color w:val="A0AEC0"/>
                <w:sz w:val="18"/>
              </w:rPr>
              <w:t>(Paste high-resolution screenshot into this container or replace placeholder text)</w:t>
            </w:r>
          </w:p>
        </w:tc>
      </w:tr>
      <w:tr>
        <w:tc>
          <w:tcPr>
            <w:tcW w:type="dxa" w:w="9360"/>
            <w:shd w:fill="EDF2F7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9"/>
              </w:rPr>
              <w:t xml:space="preserve">Figure 5: </w:t>
            </w:r>
            <w:r>
              <w:rPr>
                <w:i/>
                <w:color w:val="4A5568"/>
                <w:sz w:val="19"/>
              </w:rPr>
              <w:t>Verdict Header rendering calibrated confidence percentage, recommendation status, and synthesis summary.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Segoe UI" w:hAnsi="Segoe UI"/>
          <w:b/>
          <w:color w:val="0F294A"/>
          <w:sz w:val="30"/>
        </w:rPr>
        <w:t>Step 6: Download &amp; Audit Multi-Format Reports</w:t>
      </w:r>
    </w:p>
    <w:p>
      <w:r>
        <w:t>1. Scroll to the Export &amp; Audit Section.</w:t>
        <w:br/>
      </w:r>
      <w:r>
        <w:t>2. Test download buttons for HTML Report (interactive styled report), Markdown Summary (GFM formatted), and JSON Case File (complete provenance schema).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4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718096"/>
                <w:sz w:val="22"/>
              </w:rPr>
              <w:t>[ INSERT SCREENSHOT HERE: EXPORT &amp; AUDIT REPORTS VIEW ]</w:t>
            </w:r>
          </w:p>
          <w:p>
            <w:pPr>
              <w:jc w:val="center"/>
            </w:pPr>
            <w:r>
              <w:rPr>
                <w:i/>
                <w:color w:val="A0AEC0"/>
                <w:sz w:val="18"/>
              </w:rPr>
              <w:t>(Paste high-resolution screenshot into this container or replace placeholder text)</w:t>
            </w:r>
          </w:p>
        </w:tc>
      </w:tr>
      <w:tr>
        <w:tc>
          <w:tcPr>
            <w:tcW w:type="dxa" w:w="9360"/>
            <w:shd w:fill="EDF2F7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9"/>
              </w:rPr>
              <w:t xml:space="preserve">Figure 6: </w:t>
            </w:r>
            <w:r>
              <w:rPr>
                <w:i/>
                <w:color w:val="4A5568"/>
                <w:sz w:val="19"/>
              </w:rPr>
              <w:t>Report export action panel with buttons for downloading HTML, Markdown, and JSON case file formats.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Segoe UI" w:hAnsi="Segoe UI"/>
          <w:b/>
          <w:color w:val="0F294A"/>
          <w:sz w:val="30"/>
        </w:rPr>
        <w:t>Evaluation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294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Scenario ID</w:t>
            </w:r>
          </w:p>
        </w:tc>
        <w:tc>
          <w:tcPr>
            <w:tcW w:type="dxa" w:w="1872"/>
            <w:shd w:fill="0F294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Target Entity</w:t>
            </w:r>
          </w:p>
        </w:tc>
        <w:tc>
          <w:tcPr>
            <w:tcW w:type="dxa" w:w="1872"/>
            <w:shd w:fill="0F294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Key Expert Trigger</w:t>
            </w:r>
          </w:p>
        </w:tc>
        <w:tc>
          <w:tcPr>
            <w:tcW w:type="dxa" w:w="1872"/>
            <w:shd w:fill="0F294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Defense Outcome</w:t>
            </w:r>
          </w:p>
        </w:tc>
        <w:tc>
          <w:tcPr>
            <w:tcW w:type="dxa" w:w="1872"/>
            <w:shd w:fill="0F294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Expected Final Verdict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8"/>
              </w:rPr>
              <w:t>SCN-01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ACC-90812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$9.5k x 3 within 24h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No payroll contract found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SUSPICIOUS (85%+)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8"/>
              </w:rPr>
              <w:t>SCN-02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ACC-10492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210-day dormancy reactivation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Frequency spike confirmed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HIGH RISK (90%+)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8"/>
              </w:rPr>
              <w:t>SCN-03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ACC-77102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High monthly payout volume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Verified corporate payroll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CLEARED BY DEFENSE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