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06C6A" w14:textId="77777777" w:rsidR="00E02123" w:rsidRPr="009169AB" w:rsidRDefault="00A16624">
      <w:pPr>
        <w:pStyle w:val="Title"/>
        <w:jc w:val="center"/>
        <w:rPr>
          <w:rFonts w:ascii="Times New Roman" w:hAnsi="Times New Roman" w:cs="Times New Roman"/>
          <w:sz w:val="52"/>
          <w:szCs w:val="72"/>
        </w:rPr>
      </w:pPr>
      <w:r w:rsidRPr="009169AB">
        <w:rPr>
          <w:rFonts w:ascii="Times New Roman" w:hAnsi="Times New Roman" w:cs="Times New Roman"/>
          <w:sz w:val="32"/>
          <w:szCs w:val="72"/>
        </w:rPr>
        <w:t>Ideation Phase</w:t>
      </w:r>
    </w:p>
    <w:p w14:paraId="46F941F6" w14:textId="07C6E698" w:rsidR="00E02123" w:rsidRPr="009169AB" w:rsidRDefault="00A16624" w:rsidP="009169AB">
      <w:pPr>
        <w:jc w:val="center"/>
        <w:rPr>
          <w:rFonts w:ascii="Times New Roman" w:hAnsi="Times New Roman" w:cs="Times New Roman"/>
          <w:color w:val="000000" w:themeColor="text1"/>
          <w:sz w:val="28"/>
          <w:szCs w:val="24"/>
        </w:rPr>
      </w:pPr>
      <w:r w:rsidRPr="009169AB">
        <w:rPr>
          <w:rFonts w:ascii="Times New Roman" w:hAnsi="Times New Roman" w:cs="Times New Roman"/>
          <w:b/>
          <w:color w:val="000000" w:themeColor="text1"/>
          <w:sz w:val="28"/>
          <w:szCs w:val="24"/>
        </w:rPr>
        <w:t>Empathy Map</w:t>
      </w:r>
    </w:p>
    <w:tbl>
      <w:tblPr>
        <w:tblStyle w:val="TableGrid"/>
        <w:tblW w:w="0" w:type="auto"/>
        <w:jc w:val="center"/>
        <w:tblLook w:val="04A0" w:firstRow="1" w:lastRow="0" w:firstColumn="1" w:lastColumn="0" w:noHBand="0" w:noVBand="1"/>
      </w:tblPr>
      <w:tblGrid>
        <w:gridCol w:w="5040"/>
        <w:gridCol w:w="5040"/>
      </w:tblGrid>
      <w:tr w:rsidR="009169AB" w:rsidRPr="009169AB" w14:paraId="5668D02B" w14:textId="77777777" w:rsidTr="009169AB">
        <w:trPr>
          <w:jc w:val="center"/>
        </w:trPr>
        <w:tc>
          <w:tcPr>
            <w:tcW w:w="5040" w:type="dxa"/>
            <w:shd w:val="clear" w:color="auto" w:fill="auto"/>
            <w:vAlign w:val="center"/>
          </w:tcPr>
          <w:p w14:paraId="63644B83"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b/>
                <w:color w:val="000000" w:themeColor="text1"/>
                <w:szCs w:val="24"/>
              </w:rPr>
              <w:t>Team ID</w:t>
            </w:r>
          </w:p>
        </w:tc>
        <w:tc>
          <w:tcPr>
            <w:tcW w:w="5040" w:type="dxa"/>
            <w:shd w:val="clear" w:color="auto" w:fill="auto"/>
            <w:vAlign w:val="center"/>
          </w:tcPr>
          <w:p w14:paraId="19B1D5EE"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6ab7f27c8c7c66e7067292d1</w:t>
            </w:r>
          </w:p>
        </w:tc>
      </w:tr>
      <w:tr w:rsidR="009169AB" w:rsidRPr="009169AB" w14:paraId="71C484EC" w14:textId="77777777" w:rsidTr="009169AB">
        <w:trPr>
          <w:jc w:val="center"/>
        </w:trPr>
        <w:tc>
          <w:tcPr>
            <w:tcW w:w="5040" w:type="dxa"/>
            <w:shd w:val="clear" w:color="auto" w:fill="auto"/>
            <w:vAlign w:val="center"/>
          </w:tcPr>
          <w:p w14:paraId="0E06F11E"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b/>
                <w:color w:val="000000" w:themeColor="text1"/>
                <w:szCs w:val="24"/>
              </w:rPr>
              <w:t>Team Leader</w:t>
            </w:r>
          </w:p>
        </w:tc>
        <w:tc>
          <w:tcPr>
            <w:tcW w:w="5040" w:type="dxa"/>
            <w:shd w:val="clear" w:color="auto" w:fill="auto"/>
            <w:vAlign w:val="center"/>
          </w:tcPr>
          <w:p w14:paraId="3B5CCA2A"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Gowsik Raja S</w:t>
            </w:r>
          </w:p>
        </w:tc>
      </w:tr>
      <w:tr w:rsidR="009169AB" w:rsidRPr="009169AB" w14:paraId="3E883114" w14:textId="77777777" w:rsidTr="009169AB">
        <w:trPr>
          <w:jc w:val="center"/>
        </w:trPr>
        <w:tc>
          <w:tcPr>
            <w:tcW w:w="5040" w:type="dxa"/>
            <w:shd w:val="clear" w:color="auto" w:fill="auto"/>
            <w:vAlign w:val="center"/>
          </w:tcPr>
          <w:p w14:paraId="1B2C3F82"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b/>
                <w:color w:val="000000" w:themeColor="text1"/>
                <w:szCs w:val="24"/>
              </w:rPr>
              <w:t>Team Members</w:t>
            </w:r>
          </w:p>
        </w:tc>
        <w:tc>
          <w:tcPr>
            <w:tcW w:w="5040" w:type="dxa"/>
            <w:shd w:val="clear" w:color="auto" w:fill="auto"/>
            <w:vAlign w:val="center"/>
          </w:tcPr>
          <w:p w14:paraId="0B8D15C1"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Shrija M; Swetha M; Sivaram A</w:t>
            </w:r>
          </w:p>
        </w:tc>
      </w:tr>
    </w:tbl>
    <w:p w14:paraId="03E36B0A" w14:textId="77777777" w:rsidR="00E02123" w:rsidRPr="009169AB" w:rsidRDefault="00A16624">
      <w:pPr>
        <w:pStyle w:val="Heading1"/>
        <w:rPr>
          <w:rFonts w:ascii="Times New Roman" w:hAnsi="Times New Roman" w:cs="Times New Roman"/>
        </w:rPr>
      </w:pPr>
      <w:r w:rsidRPr="009169AB">
        <w:rPr>
          <w:rFonts w:ascii="Times New Roman" w:hAnsi="Times New Roman" w:cs="Times New Roman"/>
          <w:sz w:val="24"/>
        </w:rPr>
        <w:t>User Context</w:t>
      </w:r>
    </w:p>
    <w:p w14:paraId="468E10E9" w14:textId="77777777" w:rsidR="00E02123" w:rsidRPr="009169AB" w:rsidRDefault="00A16624">
      <w:pPr>
        <w:rPr>
          <w:rFonts w:ascii="Times New Roman" w:hAnsi="Times New Roman" w:cs="Times New Roman"/>
        </w:rPr>
      </w:pPr>
      <w:r w:rsidRPr="009169AB">
        <w:rPr>
          <w:rFonts w:ascii="Times New Roman" w:hAnsi="Times New Roman" w:cs="Times New Roman"/>
        </w:rPr>
        <w:t>The guide is oriented toward a beginner-friendly ServiceNow workflow for importing structured employee information and validating the result.</w:t>
      </w:r>
    </w:p>
    <w:tbl>
      <w:tblPr>
        <w:tblStyle w:val="TableGrid"/>
        <w:tblW w:w="0" w:type="auto"/>
        <w:jc w:val="center"/>
        <w:tblLook w:val="04A0" w:firstRow="1" w:lastRow="0" w:firstColumn="1" w:lastColumn="0" w:noHBand="0" w:noVBand="1"/>
      </w:tblPr>
      <w:tblGrid>
        <w:gridCol w:w="5040"/>
        <w:gridCol w:w="5040"/>
      </w:tblGrid>
      <w:tr w:rsidR="009169AB" w:rsidRPr="009169AB" w14:paraId="3D6872E7" w14:textId="77777777" w:rsidTr="009169AB">
        <w:trPr>
          <w:jc w:val="center"/>
        </w:trPr>
        <w:tc>
          <w:tcPr>
            <w:tcW w:w="5040" w:type="dxa"/>
            <w:shd w:val="clear" w:color="auto" w:fill="auto"/>
            <w:vAlign w:val="center"/>
          </w:tcPr>
          <w:p w14:paraId="532B8FE9"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b/>
                <w:color w:val="000000" w:themeColor="text1"/>
                <w:szCs w:val="24"/>
              </w:rPr>
              <w:t>Empathy Dimension</w:t>
            </w:r>
          </w:p>
        </w:tc>
        <w:tc>
          <w:tcPr>
            <w:tcW w:w="5040" w:type="dxa"/>
            <w:shd w:val="clear" w:color="auto" w:fill="auto"/>
            <w:vAlign w:val="center"/>
          </w:tcPr>
          <w:p w14:paraId="493CD29B"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b/>
                <w:color w:val="000000" w:themeColor="text1"/>
                <w:szCs w:val="24"/>
              </w:rPr>
              <w:t>Project-Specific Interpretation</w:t>
            </w:r>
          </w:p>
        </w:tc>
      </w:tr>
      <w:tr w:rsidR="009169AB" w:rsidRPr="009169AB" w14:paraId="05A98AAA" w14:textId="77777777" w:rsidTr="009169AB">
        <w:trPr>
          <w:jc w:val="center"/>
        </w:trPr>
        <w:tc>
          <w:tcPr>
            <w:tcW w:w="5040" w:type="dxa"/>
            <w:shd w:val="clear" w:color="auto" w:fill="auto"/>
            <w:vAlign w:val="center"/>
          </w:tcPr>
          <w:p w14:paraId="6B0CE5A7"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Says</w:t>
            </w:r>
          </w:p>
        </w:tc>
        <w:tc>
          <w:tcPr>
            <w:tcW w:w="5040" w:type="dxa"/>
            <w:shd w:val="clear" w:color="auto" w:fill="auto"/>
            <w:vAlign w:val="center"/>
          </w:tcPr>
          <w:p w14:paraId="68D31A6C"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“I need to import employee data from a spreadsheet into ServiceNow.”</w:t>
            </w:r>
          </w:p>
        </w:tc>
      </w:tr>
      <w:tr w:rsidR="009169AB" w:rsidRPr="009169AB" w14:paraId="5D4DA525" w14:textId="77777777" w:rsidTr="009169AB">
        <w:trPr>
          <w:jc w:val="center"/>
        </w:trPr>
        <w:tc>
          <w:tcPr>
            <w:tcW w:w="5040" w:type="dxa"/>
            <w:shd w:val="clear" w:color="auto" w:fill="auto"/>
            <w:vAlign w:val="center"/>
          </w:tcPr>
          <w:p w14:paraId="54393EAC"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Thinks</w:t>
            </w:r>
          </w:p>
        </w:tc>
        <w:tc>
          <w:tcPr>
            <w:tcW w:w="5040" w:type="dxa"/>
            <w:shd w:val="clear" w:color="auto" w:fill="auto"/>
            <w:vAlign w:val="center"/>
          </w:tcPr>
          <w:p w14:paraId="33263F0D"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“The fields must map correctly, and repeated imports should not create duplicates.”</w:t>
            </w:r>
          </w:p>
        </w:tc>
      </w:tr>
      <w:tr w:rsidR="009169AB" w:rsidRPr="009169AB" w14:paraId="031A9D3B" w14:textId="77777777" w:rsidTr="009169AB">
        <w:trPr>
          <w:jc w:val="center"/>
        </w:trPr>
        <w:tc>
          <w:tcPr>
            <w:tcW w:w="5040" w:type="dxa"/>
            <w:shd w:val="clear" w:color="auto" w:fill="auto"/>
            <w:vAlign w:val="center"/>
          </w:tcPr>
          <w:p w14:paraId="06C56AF7"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Does</w:t>
            </w:r>
          </w:p>
        </w:tc>
        <w:tc>
          <w:tcPr>
            <w:tcW w:w="5040" w:type="dxa"/>
            <w:shd w:val="clear" w:color="auto" w:fill="auto"/>
            <w:vAlign w:val="center"/>
          </w:tcPr>
          <w:p w14:paraId="5EA53622"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Prepares a spreadsheet, loads it, configures a Transform Map, transforms records, and checks results.</w:t>
            </w:r>
          </w:p>
        </w:tc>
      </w:tr>
      <w:tr w:rsidR="009169AB" w:rsidRPr="009169AB" w14:paraId="0899EED8" w14:textId="77777777" w:rsidTr="009169AB">
        <w:trPr>
          <w:jc w:val="center"/>
        </w:trPr>
        <w:tc>
          <w:tcPr>
            <w:tcW w:w="5040" w:type="dxa"/>
            <w:shd w:val="clear" w:color="auto" w:fill="auto"/>
            <w:vAlign w:val="center"/>
          </w:tcPr>
          <w:p w14:paraId="2F0EA2F9"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Feels</w:t>
            </w:r>
          </w:p>
        </w:tc>
        <w:tc>
          <w:tcPr>
            <w:tcW w:w="5040" w:type="dxa"/>
            <w:shd w:val="clear" w:color="auto" w:fill="auto"/>
            <w:vAlign w:val="center"/>
          </w:tcPr>
          <w:p w14:paraId="5F8EE953"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Needs confidence that imported records are accurate and that the workflow is repeatable.</w:t>
            </w:r>
          </w:p>
        </w:tc>
      </w:tr>
      <w:tr w:rsidR="009169AB" w:rsidRPr="009169AB" w14:paraId="20A6B628" w14:textId="77777777" w:rsidTr="009169AB">
        <w:trPr>
          <w:jc w:val="center"/>
        </w:trPr>
        <w:tc>
          <w:tcPr>
            <w:tcW w:w="5040" w:type="dxa"/>
            <w:shd w:val="clear" w:color="auto" w:fill="auto"/>
            <w:vAlign w:val="center"/>
          </w:tcPr>
          <w:p w14:paraId="146C9835"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Pains</w:t>
            </w:r>
          </w:p>
        </w:tc>
        <w:tc>
          <w:tcPr>
            <w:tcW w:w="5040" w:type="dxa"/>
            <w:shd w:val="clear" w:color="auto" w:fill="auto"/>
            <w:vAlign w:val="center"/>
          </w:tcPr>
          <w:p w14:paraId="2517E486"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Manual entry, incorrect mappings, duplicate records, and lack of clear reporting can make the process harder to manage.</w:t>
            </w:r>
          </w:p>
        </w:tc>
      </w:tr>
      <w:tr w:rsidR="009169AB" w:rsidRPr="009169AB" w14:paraId="30D63EBE" w14:textId="77777777" w:rsidTr="009169AB">
        <w:trPr>
          <w:jc w:val="center"/>
        </w:trPr>
        <w:tc>
          <w:tcPr>
            <w:tcW w:w="5040" w:type="dxa"/>
            <w:shd w:val="clear" w:color="auto" w:fill="auto"/>
            <w:vAlign w:val="center"/>
          </w:tcPr>
          <w:p w14:paraId="36A6EF54"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Gains</w:t>
            </w:r>
          </w:p>
        </w:tc>
        <w:tc>
          <w:tcPr>
            <w:tcW w:w="5040" w:type="dxa"/>
            <w:shd w:val="clear" w:color="auto" w:fill="auto"/>
            <w:vAlign w:val="center"/>
          </w:tcPr>
          <w:p w14:paraId="3D383857" w14:textId="77777777" w:rsidR="00E02123" w:rsidRPr="009169AB" w:rsidRDefault="00A16624">
            <w:pPr>
              <w:rPr>
                <w:rFonts w:ascii="Times New Roman" w:hAnsi="Times New Roman" w:cs="Times New Roman"/>
                <w:color w:val="000000" w:themeColor="text1"/>
                <w:szCs w:val="24"/>
              </w:rPr>
            </w:pPr>
            <w:r w:rsidRPr="009169AB">
              <w:rPr>
                <w:rFonts w:ascii="Times New Roman" w:hAnsi="Times New Roman" w:cs="Times New Roman"/>
                <w:color w:val="000000" w:themeColor="text1"/>
                <w:szCs w:val="24"/>
              </w:rPr>
              <w:t>A staged import workflow, controlled mapping, Coalesce-based matching, reports, and a dashboard provide a clearer process.</w:t>
            </w:r>
          </w:p>
        </w:tc>
      </w:tr>
    </w:tbl>
    <w:p w14:paraId="60149692" w14:textId="77777777" w:rsidR="00E02123" w:rsidRPr="009169AB" w:rsidRDefault="00A16624">
      <w:pPr>
        <w:pStyle w:val="Heading1"/>
        <w:rPr>
          <w:rFonts w:ascii="Times New Roman" w:hAnsi="Times New Roman" w:cs="Times New Roman"/>
        </w:rPr>
      </w:pPr>
      <w:r w:rsidRPr="009169AB">
        <w:rPr>
          <w:rFonts w:ascii="Times New Roman" w:hAnsi="Times New Roman" w:cs="Times New Roman"/>
          <w:sz w:val="24"/>
        </w:rPr>
        <w:t>Key Insight</w:t>
      </w:r>
    </w:p>
    <w:p w14:paraId="10E13DC0" w14:textId="77777777" w:rsidR="00E02123" w:rsidRPr="009169AB" w:rsidRDefault="00A16624">
      <w:pPr>
        <w:rPr>
          <w:rFonts w:ascii="Times New Roman" w:hAnsi="Times New Roman" w:cs="Times New Roman"/>
        </w:rPr>
      </w:pPr>
      <w:r w:rsidRPr="009169AB">
        <w:rPr>
          <w:rFonts w:ascii="Times New Roman" w:hAnsi="Times New Roman" w:cs="Times New Roman"/>
        </w:rPr>
        <w:t>The workflow should reduce manual effort while making the transformation and validation steps visible and repeatable.</w:t>
      </w:r>
    </w:p>
    <w:p w14:paraId="2C0AB901" w14:textId="77777777" w:rsidR="00E02123" w:rsidRPr="009169AB" w:rsidRDefault="00A16624">
      <w:pPr>
        <w:pStyle w:val="Heading1"/>
        <w:rPr>
          <w:rFonts w:ascii="Times New Roman" w:hAnsi="Times New Roman" w:cs="Times New Roman"/>
        </w:rPr>
      </w:pPr>
      <w:r w:rsidRPr="009169AB">
        <w:rPr>
          <w:rFonts w:ascii="Times New Roman" w:hAnsi="Times New Roman" w:cs="Times New Roman"/>
          <w:sz w:val="24"/>
        </w:rPr>
        <w:t>Empathy Interpretation</w:t>
      </w:r>
    </w:p>
    <w:p w14:paraId="3268356E" w14:textId="77777777" w:rsidR="00E02123" w:rsidRPr="009169AB" w:rsidRDefault="00A16624">
      <w:pPr>
        <w:spacing w:after="120"/>
        <w:rPr>
          <w:rFonts w:ascii="Times New Roman" w:hAnsi="Times New Roman" w:cs="Times New Roman"/>
        </w:rPr>
      </w:pPr>
      <w:r w:rsidRPr="009169AB">
        <w:rPr>
          <w:rFonts w:ascii="Times New Roman" w:hAnsi="Times New Roman" w:cs="Times New Roman"/>
        </w:rPr>
        <w:t>The likely user perspective represented by the guide is that of someone who needs a clear and repeatable way to move structured employee information into ServiceNow. The workflow should make important operations visible rather than hiding them inside an unexplained process.</w:t>
      </w:r>
    </w:p>
    <w:p w14:paraId="62D67D2C" w14:textId="77777777" w:rsidR="00E02123" w:rsidRPr="009169AB" w:rsidRDefault="00A16624">
      <w:pPr>
        <w:pStyle w:val="Heading1"/>
        <w:rPr>
          <w:rFonts w:ascii="Times New Roman" w:hAnsi="Times New Roman" w:cs="Times New Roman"/>
        </w:rPr>
      </w:pPr>
      <w:r w:rsidRPr="009169AB">
        <w:rPr>
          <w:rFonts w:ascii="Times New Roman" w:hAnsi="Times New Roman" w:cs="Times New Roman"/>
          <w:sz w:val="24"/>
        </w:rPr>
        <w:t>Operational Needs</w:t>
      </w:r>
    </w:p>
    <w:p w14:paraId="598CF45F" w14:textId="77777777" w:rsidR="00E02123" w:rsidRPr="009169AB" w:rsidRDefault="00A16624">
      <w:pPr>
        <w:spacing w:after="120"/>
        <w:rPr>
          <w:rFonts w:ascii="Times New Roman" w:hAnsi="Times New Roman" w:cs="Times New Roman"/>
        </w:rPr>
      </w:pPr>
      <w:r w:rsidRPr="009169AB">
        <w:rPr>
          <w:rFonts w:ascii="Times New Roman" w:hAnsi="Times New Roman" w:cs="Times New Roman"/>
        </w:rPr>
        <w:t>The user needs to know whether the spreadsheet was accepted, whether the import table was populated, whether the Transform Map is connected to the correct source and target, whether the transform succeeded, and what happened to records during a repeat import. The guide addresses each of these through visible ServiceNow screens and transform history.</w:t>
      </w:r>
    </w:p>
    <w:p w14:paraId="0F87D63A" w14:textId="77777777" w:rsidR="00E02123" w:rsidRPr="009169AB" w:rsidRDefault="00A16624">
      <w:pPr>
        <w:pStyle w:val="Heading1"/>
        <w:rPr>
          <w:rFonts w:ascii="Times New Roman" w:hAnsi="Times New Roman" w:cs="Times New Roman"/>
        </w:rPr>
      </w:pPr>
      <w:r w:rsidRPr="009169AB">
        <w:rPr>
          <w:rFonts w:ascii="Times New Roman" w:hAnsi="Times New Roman" w:cs="Times New Roman"/>
          <w:sz w:val="24"/>
        </w:rPr>
        <w:lastRenderedPageBreak/>
        <w:t>Pain-to-Feature Mapping</w:t>
      </w:r>
    </w:p>
    <w:p w14:paraId="69323041" w14:textId="77777777" w:rsidR="00E02123" w:rsidRPr="009169AB" w:rsidRDefault="00A16624">
      <w:pPr>
        <w:spacing w:after="120"/>
        <w:rPr>
          <w:rFonts w:ascii="Times New Roman" w:hAnsi="Times New Roman" w:cs="Times New Roman"/>
        </w:rPr>
      </w:pPr>
      <w:r w:rsidRPr="009169AB">
        <w:rPr>
          <w:rFonts w:ascii="Times New Roman" w:hAnsi="Times New Roman" w:cs="Times New Roman"/>
        </w:rPr>
        <w:t>Manual data entry is addressed through spreadsheet loading. Mapping uncertainty is addressed through Auto Map Matching Fields and Mapping Assist. Duplicate concerns are addressed through Coalesce. Lack of visibility is addressed through reports and Employee Analytics Dashboards.</w:t>
      </w:r>
    </w:p>
    <w:p w14:paraId="45722EDD" w14:textId="77777777" w:rsidR="00E02123" w:rsidRPr="009169AB" w:rsidRDefault="00A16624">
      <w:pPr>
        <w:pStyle w:val="Heading1"/>
        <w:rPr>
          <w:rFonts w:ascii="Times New Roman" w:hAnsi="Times New Roman" w:cs="Times New Roman"/>
        </w:rPr>
      </w:pPr>
      <w:r w:rsidRPr="009169AB">
        <w:rPr>
          <w:rFonts w:ascii="Times New Roman" w:hAnsi="Times New Roman" w:cs="Times New Roman"/>
          <w:sz w:val="24"/>
        </w:rPr>
        <w:t>Expected Gains</w:t>
      </w:r>
    </w:p>
    <w:p w14:paraId="487CBAC9" w14:textId="40FE42F3" w:rsidR="00E02123" w:rsidRDefault="00A16624">
      <w:pPr>
        <w:spacing w:after="120"/>
        <w:rPr>
          <w:rFonts w:ascii="Times New Roman" w:hAnsi="Times New Roman" w:cs="Times New Roman"/>
        </w:rPr>
      </w:pPr>
      <w:r w:rsidRPr="009169AB">
        <w:rPr>
          <w:rFonts w:ascii="Times New Roman" w:hAnsi="Times New Roman" w:cs="Times New Roman"/>
        </w:rPr>
        <w:t>The completed workflow gives the user a documented sequence that can be repeated with structured employee spreadsheets. It also provides a simple way to inspect the resulting records and understand the effect of subsequent imports.</w:t>
      </w:r>
    </w:p>
    <w:p w14:paraId="755B2F21" w14:textId="462BF06F" w:rsidR="009169AB" w:rsidRPr="009169AB" w:rsidRDefault="009169AB" w:rsidP="009169AB">
      <w:pPr>
        <w:rPr>
          <w:rFonts w:ascii="Times New Roman" w:hAnsi="Times New Roman" w:cs="Times New Roman"/>
        </w:rPr>
      </w:pPr>
    </w:p>
    <w:p w14:paraId="1EB3BE73" w14:textId="709DF95F" w:rsidR="009169AB" w:rsidRPr="009169AB" w:rsidRDefault="009169AB" w:rsidP="009169AB">
      <w:pPr>
        <w:rPr>
          <w:rFonts w:ascii="Times New Roman" w:hAnsi="Times New Roman" w:cs="Times New Roman"/>
        </w:rPr>
      </w:pPr>
    </w:p>
    <w:p w14:paraId="7774A92B" w14:textId="518AD9F8" w:rsidR="009169AB" w:rsidRPr="009169AB" w:rsidRDefault="009169AB" w:rsidP="009169AB">
      <w:pPr>
        <w:rPr>
          <w:rFonts w:ascii="Times New Roman" w:hAnsi="Times New Roman" w:cs="Times New Roman"/>
        </w:rPr>
      </w:pPr>
    </w:p>
    <w:p w14:paraId="56D8E8F7" w14:textId="5A6E3ED2" w:rsidR="009169AB" w:rsidRPr="009169AB" w:rsidRDefault="009169AB" w:rsidP="009169AB">
      <w:pPr>
        <w:rPr>
          <w:rFonts w:ascii="Times New Roman" w:hAnsi="Times New Roman" w:cs="Times New Roman"/>
        </w:rPr>
      </w:pPr>
    </w:p>
    <w:p w14:paraId="526CD821" w14:textId="34AC3BA9" w:rsidR="009169AB" w:rsidRPr="009169AB" w:rsidRDefault="009169AB" w:rsidP="009169AB">
      <w:pPr>
        <w:rPr>
          <w:rFonts w:ascii="Times New Roman" w:hAnsi="Times New Roman" w:cs="Times New Roman"/>
        </w:rPr>
      </w:pPr>
    </w:p>
    <w:p w14:paraId="4E799BC9" w14:textId="2A5A3C3F" w:rsidR="009169AB" w:rsidRPr="009169AB" w:rsidRDefault="009169AB" w:rsidP="009169AB">
      <w:pPr>
        <w:rPr>
          <w:rFonts w:ascii="Times New Roman" w:hAnsi="Times New Roman" w:cs="Times New Roman"/>
        </w:rPr>
      </w:pPr>
    </w:p>
    <w:p w14:paraId="62C608A3" w14:textId="6246478E" w:rsidR="009169AB" w:rsidRPr="009169AB" w:rsidRDefault="009169AB" w:rsidP="009169AB">
      <w:pPr>
        <w:rPr>
          <w:rFonts w:ascii="Times New Roman" w:hAnsi="Times New Roman" w:cs="Times New Roman"/>
        </w:rPr>
      </w:pPr>
    </w:p>
    <w:p w14:paraId="3D33F378" w14:textId="0D10171E" w:rsidR="009169AB" w:rsidRPr="009169AB" w:rsidRDefault="009169AB" w:rsidP="009169AB">
      <w:pPr>
        <w:rPr>
          <w:rFonts w:ascii="Times New Roman" w:hAnsi="Times New Roman" w:cs="Times New Roman"/>
        </w:rPr>
      </w:pPr>
    </w:p>
    <w:p w14:paraId="3D53892E" w14:textId="48C274CA" w:rsidR="009169AB" w:rsidRPr="009169AB" w:rsidRDefault="009169AB" w:rsidP="009169AB">
      <w:pPr>
        <w:rPr>
          <w:rFonts w:ascii="Times New Roman" w:hAnsi="Times New Roman" w:cs="Times New Roman"/>
        </w:rPr>
      </w:pPr>
    </w:p>
    <w:p w14:paraId="6707435F" w14:textId="1CB0731F" w:rsidR="009169AB" w:rsidRPr="009169AB" w:rsidRDefault="009169AB" w:rsidP="009169AB">
      <w:pPr>
        <w:rPr>
          <w:rFonts w:ascii="Times New Roman" w:hAnsi="Times New Roman" w:cs="Times New Roman"/>
        </w:rPr>
      </w:pPr>
    </w:p>
    <w:p w14:paraId="383D3D69" w14:textId="2069B41F" w:rsidR="009169AB" w:rsidRPr="009169AB" w:rsidRDefault="009169AB" w:rsidP="009169AB">
      <w:pPr>
        <w:rPr>
          <w:rFonts w:ascii="Times New Roman" w:hAnsi="Times New Roman" w:cs="Times New Roman"/>
        </w:rPr>
      </w:pPr>
    </w:p>
    <w:p w14:paraId="122FCDF9" w14:textId="4EFD9296" w:rsidR="009169AB" w:rsidRPr="009169AB" w:rsidRDefault="009169AB" w:rsidP="009169AB">
      <w:pPr>
        <w:rPr>
          <w:rFonts w:ascii="Times New Roman" w:hAnsi="Times New Roman" w:cs="Times New Roman"/>
        </w:rPr>
      </w:pPr>
    </w:p>
    <w:p w14:paraId="70ED691E" w14:textId="5EE6A1ED" w:rsidR="009169AB" w:rsidRPr="009169AB" w:rsidRDefault="009169AB" w:rsidP="009169AB">
      <w:pPr>
        <w:rPr>
          <w:rFonts w:ascii="Times New Roman" w:hAnsi="Times New Roman" w:cs="Times New Roman"/>
        </w:rPr>
      </w:pPr>
    </w:p>
    <w:p w14:paraId="50DEEF04" w14:textId="13845834" w:rsidR="009169AB" w:rsidRPr="009169AB" w:rsidRDefault="009169AB" w:rsidP="009169AB">
      <w:pPr>
        <w:rPr>
          <w:rFonts w:ascii="Times New Roman" w:hAnsi="Times New Roman" w:cs="Times New Roman"/>
        </w:rPr>
      </w:pPr>
    </w:p>
    <w:p w14:paraId="57387E02" w14:textId="2D46F8A1" w:rsidR="009169AB" w:rsidRPr="009169AB" w:rsidRDefault="009169AB" w:rsidP="009169AB">
      <w:pPr>
        <w:rPr>
          <w:rFonts w:ascii="Times New Roman" w:hAnsi="Times New Roman" w:cs="Times New Roman"/>
        </w:rPr>
      </w:pPr>
    </w:p>
    <w:p w14:paraId="16BD1387" w14:textId="6EA2F01E" w:rsidR="009169AB" w:rsidRPr="009169AB" w:rsidRDefault="009169AB" w:rsidP="009169AB">
      <w:pPr>
        <w:rPr>
          <w:rFonts w:ascii="Times New Roman" w:hAnsi="Times New Roman" w:cs="Times New Roman"/>
        </w:rPr>
      </w:pPr>
    </w:p>
    <w:p w14:paraId="7BE29313" w14:textId="3E313A8F" w:rsidR="009169AB" w:rsidRPr="009169AB" w:rsidRDefault="009169AB" w:rsidP="009169AB">
      <w:pPr>
        <w:rPr>
          <w:rFonts w:ascii="Times New Roman" w:hAnsi="Times New Roman" w:cs="Times New Roman"/>
        </w:rPr>
      </w:pPr>
    </w:p>
    <w:p w14:paraId="01A06721" w14:textId="01A1150A" w:rsidR="009169AB" w:rsidRPr="009169AB" w:rsidRDefault="009169AB" w:rsidP="009169AB">
      <w:pPr>
        <w:rPr>
          <w:rFonts w:ascii="Times New Roman" w:hAnsi="Times New Roman" w:cs="Times New Roman"/>
        </w:rPr>
      </w:pPr>
    </w:p>
    <w:p w14:paraId="1BB0CF04" w14:textId="69029C23" w:rsidR="009169AB" w:rsidRPr="009169AB" w:rsidRDefault="009169AB" w:rsidP="009169AB">
      <w:pPr>
        <w:rPr>
          <w:rFonts w:ascii="Times New Roman" w:hAnsi="Times New Roman" w:cs="Times New Roman"/>
        </w:rPr>
      </w:pPr>
    </w:p>
    <w:p w14:paraId="242CC771" w14:textId="64EBF83D" w:rsidR="009169AB" w:rsidRDefault="009169AB" w:rsidP="009169AB">
      <w:pPr>
        <w:rPr>
          <w:rFonts w:ascii="Times New Roman" w:hAnsi="Times New Roman" w:cs="Times New Roman"/>
        </w:rPr>
      </w:pPr>
    </w:p>
    <w:p w14:paraId="4B9F3339" w14:textId="357CDD3C" w:rsidR="009169AB" w:rsidRPr="009169AB" w:rsidRDefault="009169AB" w:rsidP="009169AB">
      <w:pPr>
        <w:tabs>
          <w:tab w:val="left" w:pos="5970"/>
        </w:tabs>
        <w:rPr>
          <w:rFonts w:ascii="Times New Roman" w:hAnsi="Times New Roman" w:cs="Times New Roman"/>
        </w:rPr>
      </w:pPr>
      <w:r>
        <w:rPr>
          <w:rFonts w:ascii="Times New Roman" w:hAnsi="Times New Roman" w:cs="Times New Roman"/>
        </w:rPr>
        <w:tab/>
      </w:r>
    </w:p>
    <w:sectPr w:rsidR="009169AB" w:rsidRPr="009169AB" w:rsidSect="009169AB">
      <w:pgSz w:w="12240" w:h="15840"/>
      <w:pgMar w:top="720" w:right="720" w:bottom="720" w:left="720" w:header="720" w:footer="720" w:gutter="0"/>
      <w:pgBorders>
        <w:top w:val="single" w:sz="12" w:space="8" w:color="000000" w:themeColor="text1"/>
        <w:left w:val="single" w:sz="12" w:space="8" w:color="000000" w:themeColor="text1"/>
        <w:bottom w:val="single" w:sz="12" w:space="8" w:color="000000" w:themeColor="text1"/>
        <w:right w:val="single" w:sz="12" w:space="8"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43F2B" w14:textId="77777777" w:rsidR="008B2A46" w:rsidRDefault="008B2A46">
      <w:pPr>
        <w:spacing w:after="0" w:line="240" w:lineRule="auto"/>
        <w:rPr>
          <w:rFonts w:hint="eastAsia"/>
        </w:rPr>
      </w:pPr>
      <w:r>
        <w:separator/>
      </w:r>
    </w:p>
  </w:endnote>
  <w:endnote w:type="continuationSeparator" w:id="0">
    <w:p w14:paraId="304224F4" w14:textId="77777777" w:rsidR="008B2A46" w:rsidRDefault="008B2A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D9360" w14:textId="77777777" w:rsidR="008B2A46" w:rsidRDefault="008B2A46">
      <w:pPr>
        <w:spacing w:after="0" w:line="240" w:lineRule="auto"/>
        <w:rPr>
          <w:rFonts w:hint="eastAsia"/>
        </w:rPr>
      </w:pPr>
      <w:r>
        <w:separator/>
      </w:r>
    </w:p>
  </w:footnote>
  <w:footnote w:type="continuationSeparator" w:id="0">
    <w:p w14:paraId="325036DA" w14:textId="77777777" w:rsidR="008B2A46" w:rsidRDefault="008B2A4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2A46"/>
    <w:rsid w:val="009169AB"/>
    <w:rsid w:val="00A16624"/>
    <w:rsid w:val="00AA1D8D"/>
    <w:rsid w:val="00B47730"/>
    <w:rsid w:val="00B65283"/>
    <w:rsid w:val="00CB0664"/>
    <w:rsid w:val="00E021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6475A"/>
  <w14:defaultImageDpi w14:val="300"/>
  <w15:docId w15:val="{A28D6E1B-4305-49CE-B07F-FF95A37D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3</cp:revision>
  <dcterms:created xsi:type="dcterms:W3CDTF">2013-12-23T23:15:00Z</dcterms:created>
  <dcterms:modified xsi:type="dcterms:W3CDTF">2026-10-01T01:02:00Z</dcterms:modified>
  <cp:category/>
</cp:coreProperties>
</file>