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1F3D0" w14:textId="77777777" w:rsidR="00D8171F" w:rsidRPr="00BC0B63" w:rsidRDefault="00983E4F">
      <w:pPr>
        <w:pStyle w:val="Title"/>
        <w:jc w:val="center"/>
        <w:rPr>
          <w:rFonts w:ascii="Times New Roman" w:hAnsi="Times New Roman" w:cs="Times New Roman"/>
          <w:sz w:val="52"/>
          <w:szCs w:val="72"/>
        </w:rPr>
      </w:pPr>
      <w:r w:rsidRPr="00BC0B63">
        <w:rPr>
          <w:rFonts w:ascii="Times New Roman" w:hAnsi="Times New Roman" w:cs="Times New Roman"/>
          <w:sz w:val="32"/>
          <w:szCs w:val="72"/>
        </w:rPr>
        <w:t>Project Design Phase</w:t>
      </w:r>
    </w:p>
    <w:p w14:paraId="1FC36B46" w14:textId="77777777" w:rsidR="00D8171F" w:rsidRPr="00BC0B63" w:rsidRDefault="00983E4F">
      <w:pPr>
        <w:jc w:val="center"/>
        <w:rPr>
          <w:rFonts w:ascii="Times New Roman" w:hAnsi="Times New Roman" w:cs="Times New Roman"/>
          <w:color w:val="000000" w:themeColor="text1"/>
          <w:sz w:val="28"/>
          <w:szCs w:val="24"/>
        </w:rPr>
      </w:pPr>
      <w:r w:rsidRPr="00BC0B63">
        <w:rPr>
          <w:rFonts w:ascii="Times New Roman" w:hAnsi="Times New Roman" w:cs="Times New Roman"/>
          <w:b/>
          <w:color w:val="000000" w:themeColor="text1"/>
          <w:sz w:val="28"/>
          <w:szCs w:val="24"/>
        </w:rPr>
        <w:t>Solution Architecture</w:t>
      </w:r>
    </w:p>
    <w:tbl>
      <w:tblPr>
        <w:tblStyle w:val="TableGrid"/>
        <w:tblW w:w="0" w:type="auto"/>
        <w:jc w:val="center"/>
        <w:tblLook w:val="04A0" w:firstRow="1" w:lastRow="0" w:firstColumn="1" w:lastColumn="0" w:noHBand="0" w:noVBand="1"/>
      </w:tblPr>
      <w:tblGrid>
        <w:gridCol w:w="5040"/>
        <w:gridCol w:w="5040"/>
      </w:tblGrid>
      <w:tr w:rsidR="00BC0B63" w:rsidRPr="00A84819" w14:paraId="35BDBBD1" w14:textId="77777777" w:rsidTr="00BC0B63">
        <w:trPr>
          <w:jc w:val="center"/>
        </w:trPr>
        <w:tc>
          <w:tcPr>
            <w:tcW w:w="5040" w:type="dxa"/>
            <w:shd w:val="clear" w:color="auto" w:fill="auto"/>
            <w:vAlign w:val="center"/>
          </w:tcPr>
          <w:p w14:paraId="72BEFFB2" w14:textId="77777777" w:rsidR="00D8171F" w:rsidRPr="00A84819" w:rsidRDefault="00983E4F">
            <w:pPr>
              <w:rPr>
                <w:rFonts w:ascii="Times New Roman" w:hAnsi="Times New Roman" w:cs="Times New Roman"/>
                <w:color w:val="000000" w:themeColor="text1"/>
                <w:szCs w:val="24"/>
              </w:rPr>
            </w:pPr>
            <w:r w:rsidRPr="00A84819">
              <w:rPr>
                <w:rFonts w:ascii="Times New Roman" w:hAnsi="Times New Roman" w:cs="Times New Roman"/>
                <w:b/>
                <w:color w:val="000000" w:themeColor="text1"/>
                <w:szCs w:val="24"/>
              </w:rPr>
              <w:t>Team ID</w:t>
            </w:r>
          </w:p>
        </w:tc>
        <w:tc>
          <w:tcPr>
            <w:tcW w:w="5040" w:type="dxa"/>
            <w:shd w:val="clear" w:color="auto" w:fill="auto"/>
            <w:vAlign w:val="center"/>
          </w:tcPr>
          <w:p w14:paraId="24644527" w14:textId="77777777" w:rsidR="00D8171F" w:rsidRPr="00A84819" w:rsidRDefault="00983E4F">
            <w:pPr>
              <w:rPr>
                <w:rFonts w:ascii="Times New Roman" w:hAnsi="Times New Roman" w:cs="Times New Roman"/>
                <w:color w:val="000000" w:themeColor="text1"/>
                <w:szCs w:val="24"/>
              </w:rPr>
            </w:pPr>
            <w:r w:rsidRPr="00A84819">
              <w:rPr>
                <w:rFonts w:ascii="Times New Roman" w:hAnsi="Times New Roman" w:cs="Times New Roman"/>
                <w:color w:val="000000" w:themeColor="text1"/>
                <w:szCs w:val="24"/>
              </w:rPr>
              <w:t>6ab7f27c8c7c66e7067292d1</w:t>
            </w:r>
          </w:p>
        </w:tc>
      </w:tr>
      <w:tr w:rsidR="00BC0B63" w:rsidRPr="00A84819" w14:paraId="3943872D" w14:textId="77777777" w:rsidTr="00BC0B63">
        <w:trPr>
          <w:jc w:val="center"/>
        </w:trPr>
        <w:tc>
          <w:tcPr>
            <w:tcW w:w="5040" w:type="dxa"/>
            <w:shd w:val="clear" w:color="auto" w:fill="auto"/>
            <w:vAlign w:val="center"/>
          </w:tcPr>
          <w:p w14:paraId="4ADB01D0" w14:textId="77777777" w:rsidR="00D8171F" w:rsidRPr="00A84819" w:rsidRDefault="00983E4F">
            <w:pPr>
              <w:rPr>
                <w:rFonts w:ascii="Times New Roman" w:hAnsi="Times New Roman" w:cs="Times New Roman"/>
                <w:color w:val="000000" w:themeColor="text1"/>
                <w:szCs w:val="24"/>
              </w:rPr>
            </w:pPr>
            <w:r w:rsidRPr="00A84819">
              <w:rPr>
                <w:rFonts w:ascii="Times New Roman" w:hAnsi="Times New Roman" w:cs="Times New Roman"/>
                <w:b/>
                <w:color w:val="000000" w:themeColor="text1"/>
                <w:szCs w:val="24"/>
              </w:rPr>
              <w:t>Team Leader</w:t>
            </w:r>
          </w:p>
        </w:tc>
        <w:tc>
          <w:tcPr>
            <w:tcW w:w="5040" w:type="dxa"/>
            <w:shd w:val="clear" w:color="auto" w:fill="auto"/>
            <w:vAlign w:val="center"/>
          </w:tcPr>
          <w:p w14:paraId="4EE16DF1" w14:textId="77777777" w:rsidR="00D8171F" w:rsidRPr="00A84819" w:rsidRDefault="00983E4F">
            <w:pPr>
              <w:rPr>
                <w:rFonts w:ascii="Times New Roman" w:hAnsi="Times New Roman" w:cs="Times New Roman"/>
                <w:color w:val="000000" w:themeColor="text1"/>
                <w:szCs w:val="24"/>
              </w:rPr>
            </w:pPr>
            <w:r w:rsidRPr="00A84819">
              <w:rPr>
                <w:rFonts w:ascii="Times New Roman" w:hAnsi="Times New Roman" w:cs="Times New Roman"/>
                <w:color w:val="000000" w:themeColor="text1"/>
                <w:szCs w:val="24"/>
              </w:rPr>
              <w:t>Gowsik Raja S</w:t>
            </w:r>
          </w:p>
        </w:tc>
      </w:tr>
      <w:tr w:rsidR="00BC0B63" w:rsidRPr="00A84819" w14:paraId="5A0EA4C3" w14:textId="77777777" w:rsidTr="00BC0B63">
        <w:trPr>
          <w:jc w:val="center"/>
        </w:trPr>
        <w:tc>
          <w:tcPr>
            <w:tcW w:w="5040" w:type="dxa"/>
            <w:shd w:val="clear" w:color="auto" w:fill="auto"/>
            <w:vAlign w:val="center"/>
          </w:tcPr>
          <w:p w14:paraId="6EA58DE8" w14:textId="77777777" w:rsidR="00D8171F" w:rsidRPr="00A84819" w:rsidRDefault="00983E4F">
            <w:pPr>
              <w:rPr>
                <w:rFonts w:ascii="Times New Roman" w:hAnsi="Times New Roman" w:cs="Times New Roman"/>
                <w:color w:val="000000" w:themeColor="text1"/>
                <w:szCs w:val="24"/>
              </w:rPr>
            </w:pPr>
            <w:r w:rsidRPr="00A84819">
              <w:rPr>
                <w:rFonts w:ascii="Times New Roman" w:hAnsi="Times New Roman" w:cs="Times New Roman"/>
                <w:b/>
                <w:color w:val="000000" w:themeColor="text1"/>
                <w:szCs w:val="24"/>
              </w:rPr>
              <w:t>Team Members</w:t>
            </w:r>
          </w:p>
        </w:tc>
        <w:tc>
          <w:tcPr>
            <w:tcW w:w="5040" w:type="dxa"/>
            <w:shd w:val="clear" w:color="auto" w:fill="auto"/>
            <w:vAlign w:val="center"/>
          </w:tcPr>
          <w:p w14:paraId="6041DED6" w14:textId="77777777" w:rsidR="00D8171F" w:rsidRPr="00A84819" w:rsidRDefault="00983E4F">
            <w:pPr>
              <w:rPr>
                <w:rFonts w:ascii="Times New Roman" w:hAnsi="Times New Roman" w:cs="Times New Roman"/>
                <w:color w:val="000000" w:themeColor="text1"/>
                <w:szCs w:val="24"/>
              </w:rPr>
            </w:pPr>
            <w:r w:rsidRPr="00A84819">
              <w:rPr>
                <w:rFonts w:ascii="Times New Roman" w:hAnsi="Times New Roman" w:cs="Times New Roman"/>
                <w:color w:val="000000" w:themeColor="text1"/>
                <w:szCs w:val="24"/>
              </w:rPr>
              <w:t>Shrija M; Swetha M; Sivaram A</w:t>
            </w:r>
          </w:p>
        </w:tc>
      </w:tr>
    </w:tbl>
    <w:p w14:paraId="0C9179E4" w14:textId="77777777" w:rsidR="00D8171F" w:rsidRPr="00BC0B63" w:rsidRDefault="00983E4F" w:rsidP="00BC0B63">
      <w:pPr>
        <w:pStyle w:val="Heading1"/>
        <w:spacing w:line="360" w:lineRule="auto"/>
        <w:rPr>
          <w:rFonts w:ascii="Times New Roman" w:hAnsi="Times New Roman" w:cs="Times New Roman"/>
        </w:rPr>
      </w:pPr>
      <w:r w:rsidRPr="00BC0B63">
        <w:rPr>
          <w:rFonts w:ascii="Times New Roman" w:hAnsi="Times New Roman" w:cs="Times New Roman"/>
          <w:sz w:val="24"/>
        </w:rPr>
        <w:t>1. Architecture View</w:t>
      </w:r>
    </w:p>
    <w:tbl>
      <w:tblPr>
        <w:tblStyle w:val="TableGrid"/>
        <w:tblW w:w="0" w:type="auto"/>
        <w:jc w:val="center"/>
        <w:tblLook w:val="04A0" w:firstRow="1" w:lastRow="0" w:firstColumn="1" w:lastColumn="0" w:noHBand="0" w:noVBand="1"/>
      </w:tblPr>
      <w:tblGrid>
        <w:gridCol w:w="3360"/>
        <w:gridCol w:w="3360"/>
        <w:gridCol w:w="3360"/>
      </w:tblGrid>
      <w:tr w:rsidR="00BC0B63" w:rsidRPr="00BC0B63" w14:paraId="42B41C4A" w14:textId="77777777" w:rsidTr="00BC0B63">
        <w:trPr>
          <w:jc w:val="center"/>
        </w:trPr>
        <w:tc>
          <w:tcPr>
            <w:tcW w:w="3360" w:type="dxa"/>
            <w:shd w:val="clear" w:color="auto" w:fill="auto"/>
            <w:vAlign w:val="center"/>
          </w:tcPr>
          <w:p w14:paraId="43FDC78A"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b/>
                <w:color w:val="000000" w:themeColor="text1"/>
                <w:szCs w:val="24"/>
              </w:rPr>
              <w:t>Layer</w:t>
            </w:r>
          </w:p>
        </w:tc>
        <w:tc>
          <w:tcPr>
            <w:tcW w:w="3360" w:type="dxa"/>
            <w:shd w:val="clear" w:color="auto" w:fill="auto"/>
            <w:vAlign w:val="center"/>
          </w:tcPr>
          <w:p w14:paraId="79DCDD4F"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b/>
                <w:color w:val="000000" w:themeColor="text1"/>
                <w:szCs w:val="24"/>
              </w:rPr>
              <w:t>Component</w:t>
            </w:r>
          </w:p>
        </w:tc>
        <w:tc>
          <w:tcPr>
            <w:tcW w:w="3360" w:type="dxa"/>
            <w:shd w:val="clear" w:color="auto" w:fill="auto"/>
            <w:vAlign w:val="center"/>
          </w:tcPr>
          <w:p w14:paraId="29231A49"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b/>
                <w:color w:val="000000" w:themeColor="text1"/>
                <w:szCs w:val="24"/>
              </w:rPr>
              <w:t>Responsibility</w:t>
            </w:r>
          </w:p>
        </w:tc>
      </w:tr>
      <w:tr w:rsidR="00BC0B63" w:rsidRPr="00BC0B63" w14:paraId="5E5A87E0" w14:textId="77777777" w:rsidTr="00BC0B63">
        <w:trPr>
          <w:jc w:val="center"/>
        </w:trPr>
        <w:tc>
          <w:tcPr>
            <w:tcW w:w="3360" w:type="dxa"/>
            <w:shd w:val="clear" w:color="auto" w:fill="auto"/>
            <w:vAlign w:val="center"/>
          </w:tcPr>
          <w:p w14:paraId="12AE1E73"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Source</w:t>
            </w:r>
          </w:p>
        </w:tc>
        <w:tc>
          <w:tcPr>
            <w:tcW w:w="3360" w:type="dxa"/>
            <w:shd w:val="clear" w:color="auto" w:fill="auto"/>
            <w:vAlign w:val="center"/>
          </w:tcPr>
          <w:p w14:paraId="3CD2D3E8"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Spreadsheet</w:t>
            </w:r>
          </w:p>
        </w:tc>
        <w:tc>
          <w:tcPr>
            <w:tcW w:w="3360" w:type="dxa"/>
            <w:shd w:val="clear" w:color="auto" w:fill="auto"/>
            <w:vAlign w:val="center"/>
          </w:tcPr>
          <w:p w14:paraId="7F18329C"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Contains employee data prepared for import.</w:t>
            </w:r>
          </w:p>
        </w:tc>
      </w:tr>
      <w:tr w:rsidR="00BC0B63" w:rsidRPr="00BC0B63" w14:paraId="5C4A7904" w14:textId="77777777" w:rsidTr="00BC0B63">
        <w:trPr>
          <w:jc w:val="center"/>
        </w:trPr>
        <w:tc>
          <w:tcPr>
            <w:tcW w:w="3360" w:type="dxa"/>
            <w:shd w:val="clear" w:color="auto" w:fill="auto"/>
            <w:vAlign w:val="center"/>
          </w:tcPr>
          <w:p w14:paraId="521B8A4B"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Staging</w:t>
            </w:r>
          </w:p>
        </w:tc>
        <w:tc>
          <w:tcPr>
            <w:tcW w:w="3360" w:type="dxa"/>
            <w:shd w:val="clear" w:color="auto" w:fill="auto"/>
            <w:vAlign w:val="center"/>
          </w:tcPr>
          <w:p w14:paraId="05954AFF"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Employee Import (u_employee_import)</w:t>
            </w:r>
          </w:p>
        </w:tc>
        <w:tc>
          <w:tcPr>
            <w:tcW w:w="3360" w:type="dxa"/>
            <w:shd w:val="clear" w:color="auto" w:fill="auto"/>
            <w:vAlign w:val="center"/>
          </w:tcPr>
          <w:p w14:paraId="4B6AD3C1"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Holds loaded source rows before transformation.</w:t>
            </w:r>
          </w:p>
        </w:tc>
      </w:tr>
      <w:tr w:rsidR="00BC0B63" w:rsidRPr="00BC0B63" w14:paraId="0E94E050" w14:textId="77777777" w:rsidTr="00BC0B63">
        <w:trPr>
          <w:jc w:val="center"/>
        </w:trPr>
        <w:tc>
          <w:tcPr>
            <w:tcW w:w="3360" w:type="dxa"/>
            <w:shd w:val="clear" w:color="auto" w:fill="auto"/>
            <w:vAlign w:val="center"/>
          </w:tcPr>
          <w:p w14:paraId="3011697E"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Transformation</w:t>
            </w:r>
          </w:p>
        </w:tc>
        <w:tc>
          <w:tcPr>
            <w:tcW w:w="3360" w:type="dxa"/>
            <w:shd w:val="clear" w:color="auto" w:fill="auto"/>
            <w:vAlign w:val="center"/>
          </w:tcPr>
          <w:p w14:paraId="2708D4DA"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Sample Spreadsheet Import</w:t>
            </w:r>
          </w:p>
        </w:tc>
        <w:tc>
          <w:tcPr>
            <w:tcW w:w="3360" w:type="dxa"/>
            <w:shd w:val="clear" w:color="auto" w:fill="auto"/>
            <w:vAlign w:val="center"/>
          </w:tcPr>
          <w:p w14:paraId="18DA6D04"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Maps source fields to Employee Test and applies matching behavior.</w:t>
            </w:r>
          </w:p>
        </w:tc>
      </w:tr>
      <w:tr w:rsidR="00BC0B63" w:rsidRPr="00BC0B63" w14:paraId="0407BAD5" w14:textId="77777777" w:rsidTr="00BC0B63">
        <w:trPr>
          <w:jc w:val="center"/>
        </w:trPr>
        <w:tc>
          <w:tcPr>
            <w:tcW w:w="3360" w:type="dxa"/>
            <w:shd w:val="clear" w:color="auto" w:fill="auto"/>
            <w:vAlign w:val="center"/>
          </w:tcPr>
          <w:p w14:paraId="006E16D6"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Target</w:t>
            </w:r>
          </w:p>
        </w:tc>
        <w:tc>
          <w:tcPr>
            <w:tcW w:w="3360" w:type="dxa"/>
            <w:shd w:val="clear" w:color="auto" w:fill="auto"/>
            <w:vAlign w:val="center"/>
          </w:tcPr>
          <w:p w14:paraId="1A6EC4F2"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Employee Test (u_employee_test)</w:t>
            </w:r>
          </w:p>
        </w:tc>
        <w:tc>
          <w:tcPr>
            <w:tcW w:w="3360" w:type="dxa"/>
            <w:shd w:val="clear" w:color="auto" w:fill="auto"/>
            <w:vAlign w:val="center"/>
          </w:tcPr>
          <w:p w14:paraId="26862A0B"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Stores transformed employee records.</w:t>
            </w:r>
          </w:p>
        </w:tc>
      </w:tr>
      <w:tr w:rsidR="00BC0B63" w:rsidRPr="00BC0B63" w14:paraId="53A68F79" w14:textId="77777777" w:rsidTr="00BC0B63">
        <w:trPr>
          <w:jc w:val="center"/>
        </w:trPr>
        <w:tc>
          <w:tcPr>
            <w:tcW w:w="3360" w:type="dxa"/>
            <w:shd w:val="clear" w:color="auto" w:fill="auto"/>
            <w:vAlign w:val="center"/>
          </w:tcPr>
          <w:p w14:paraId="37973C82"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Reporting</w:t>
            </w:r>
          </w:p>
        </w:tc>
        <w:tc>
          <w:tcPr>
            <w:tcW w:w="3360" w:type="dxa"/>
            <w:shd w:val="clear" w:color="auto" w:fill="auto"/>
            <w:vAlign w:val="center"/>
          </w:tcPr>
          <w:p w14:paraId="3FF90F1F"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Three ServiceNow reports</w:t>
            </w:r>
          </w:p>
        </w:tc>
        <w:tc>
          <w:tcPr>
            <w:tcW w:w="3360" w:type="dxa"/>
            <w:shd w:val="clear" w:color="auto" w:fill="auto"/>
            <w:vAlign w:val="center"/>
          </w:tcPr>
          <w:p w14:paraId="50C5E9C8"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Summarizes records by department, location, or list.</w:t>
            </w:r>
          </w:p>
        </w:tc>
      </w:tr>
      <w:tr w:rsidR="00BC0B63" w:rsidRPr="00BC0B63" w14:paraId="45BD2C76" w14:textId="77777777" w:rsidTr="00BC0B63">
        <w:trPr>
          <w:jc w:val="center"/>
        </w:trPr>
        <w:tc>
          <w:tcPr>
            <w:tcW w:w="3360" w:type="dxa"/>
            <w:shd w:val="clear" w:color="auto" w:fill="auto"/>
            <w:vAlign w:val="center"/>
          </w:tcPr>
          <w:p w14:paraId="37DAEB6D"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Presentation</w:t>
            </w:r>
          </w:p>
        </w:tc>
        <w:tc>
          <w:tcPr>
            <w:tcW w:w="3360" w:type="dxa"/>
            <w:shd w:val="clear" w:color="auto" w:fill="auto"/>
            <w:vAlign w:val="center"/>
          </w:tcPr>
          <w:p w14:paraId="64867F99"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Employee Analytics Dashboards</w:t>
            </w:r>
          </w:p>
        </w:tc>
        <w:tc>
          <w:tcPr>
            <w:tcW w:w="3360" w:type="dxa"/>
            <w:shd w:val="clear" w:color="auto" w:fill="auto"/>
            <w:vAlign w:val="center"/>
          </w:tcPr>
          <w:p w14:paraId="16DA09F8"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Combines the reports into a consolidated dashboard.</w:t>
            </w:r>
          </w:p>
        </w:tc>
      </w:tr>
    </w:tbl>
    <w:p w14:paraId="3B171513" w14:textId="77777777" w:rsidR="00D8171F" w:rsidRPr="00BC0B63" w:rsidRDefault="00983E4F" w:rsidP="00BC0B63">
      <w:pPr>
        <w:pStyle w:val="Heading1"/>
        <w:spacing w:line="360" w:lineRule="auto"/>
        <w:rPr>
          <w:rFonts w:ascii="Times New Roman" w:hAnsi="Times New Roman" w:cs="Times New Roman"/>
        </w:rPr>
      </w:pPr>
      <w:r w:rsidRPr="00BC0B63">
        <w:rPr>
          <w:rFonts w:ascii="Times New Roman" w:hAnsi="Times New Roman" w:cs="Times New Roman"/>
          <w:sz w:val="24"/>
        </w:rPr>
        <w:t>2. Logical Flow</w:t>
      </w:r>
    </w:p>
    <w:p w14:paraId="7F905337" w14:textId="77777777" w:rsidR="00D8171F" w:rsidRPr="00BC0B63" w:rsidRDefault="00983E4F">
      <w:pPr>
        <w:rPr>
          <w:rFonts w:ascii="Times New Roman" w:hAnsi="Times New Roman" w:cs="Times New Roman"/>
        </w:rPr>
      </w:pPr>
      <w:r w:rsidRPr="00BC0B63">
        <w:rPr>
          <w:rFonts w:ascii="Times New Roman" w:hAnsi="Times New Roman" w:cs="Times New Roman"/>
        </w:rPr>
        <w:t>[Spreadsheet] → [Import Set / Employee Import] → [Transform Map] → [Coalesce Matching] → [Employee Test] → [Reports] → [Dashboard]</w:t>
      </w:r>
    </w:p>
    <w:p w14:paraId="5ED55299" w14:textId="77777777" w:rsidR="00D8171F" w:rsidRPr="00BC0B63" w:rsidRDefault="00983E4F" w:rsidP="00BC0B63">
      <w:pPr>
        <w:pStyle w:val="Heading1"/>
        <w:spacing w:line="360" w:lineRule="auto"/>
        <w:rPr>
          <w:rFonts w:ascii="Times New Roman" w:hAnsi="Times New Roman" w:cs="Times New Roman"/>
        </w:rPr>
      </w:pPr>
      <w:r w:rsidRPr="00BC0B63">
        <w:rPr>
          <w:rFonts w:ascii="Times New Roman" w:hAnsi="Times New Roman" w:cs="Times New Roman"/>
          <w:sz w:val="24"/>
        </w:rPr>
        <w:t>3. Data Fields</w:t>
      </w:r>
    </w:p>
    <w:tbl>
      <w:tblPr>
        <w:tblStyle w:val="TableGrid"/>
        <w:tblW w:w="0" w:type="auto"/>
        <w:jc w:val="center"/>
        <w:tblLook w:val="04A0" w:firstRow="1" w:lastRow="0" w:firstColumn="1" w:lastColumn="0" w:noHBand="0" w:noVBand="1"/>
      </w:tblPr>
      <w:tblGrid>
        <w:gridCol w:w="5040"/>
        <w:gridCol w:w="5040"/>
      </w:tblGrid>
      <w:tr w:rsidR="00BC0B63" w:rsidRPr="00BC0B63" w14:paraId="3D7AA520" w14:textId="77777777" w:rsidTr="00BC0B63">
        <w:trPr>
          <w:jc w:val="center"/>
        </w:trPr>
        <w:tc>
          <w:tcPr>
            <w:tcW w:w="5040" w:type="dxa"/>
            <w:shd w:val="clear" w:color="auto" w:fill="auto"/>
            <w:vAlign w:val="center"/>
          </w:tcPr>
          <w:p w14:paraId="38CEADE5"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b/>
                <w:color w:val="000000" w:themeColor="text1"/>
                <w:szCs w:val="24"/>
              </w:rPr>
              <w:t>Source/Target Field</w:t>
            </w:r>
          </w:p>
        </w:tc>
        <w:tc>
          <w:tcPr>
            <w:tcW w:w="5040" w:type="dxa"/>
            <w:shd w:val="clear" w:color="auto" w:fill="auto"/>
            <w:vAlign w:val="center"/>
          </w:tcPr>
          <w:p w14:paraId="6BF1FCC3"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b/>
                <w:color w:val="000000" w:themeColor="text1"/>
                <w:szCs w:val="24"/>
              </w:rPr>
              <w:t>Type in Employee Test</w:t>
            </w:r>
          </w:p>
        </w:tc>
      </w:tr>
      <w:tr w:rsidR="00BC0B63" w:rsidRPr="00BC0B63" w14:paraId="50DDA054" w14:textId="77777777" w:rsidTr="00BC0B63">
        <w:trPr>
          <w:jc w:val="center"/>
        </w:trPr>
        <w:tc>
          <w:tcPr>
            <w:tcW w:w="5040" w:type="dxa"/>
            <w:shd w:val="clear" w:color="auto" w:fill="auto"/>
            <w:vAlign w:val="center"/>
          </w:tcPr>
          <w:p w14:paraId="251D7FD6"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Employee ID</w:t>
            </w:r>
          </w:p>
        </w:tc>
        <w:tc>
          <w:tcPr>
            <w:tcW w:w="5040" w:type="dxa"/>
            <w:shd w:val="clear" w:color="auto" w:fill="auto"/>
            <w:vAlign w:val="center"/>
          </w:tcPr>
          <w:p w14:paraId="77BE0BF5"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String</w:t>
            </w:r>
          </w:p>
        </w:tc>
      </w:tr>
      <w:tr w:rsidR="00BC0B63" w:rsidRPr="00BC0B63" w14:paraId="75C52151" w14:textId="77777777" w:rsidTr="00BC0B63">
        <w:trPr>
          <w:jc w:val="center"/>
        </w:trPr>
        <w:tc>
          <w:tcPr>
            <w:tcW w:w="5040" w:type="dxa"/>
            <w:shd w:val="clear" w:color="auto" w:fill="auto"/>
            <w:vAlign w:val="center"/>
          </w:tcPr>
          <w:p w14:paraId="615C86C3"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Employee Name</w:t>
            </w:r>
          </w:p>
        </w:tc>
        <w:tc>
          <w:tcPr>
            <w:tcW w:w="5040" w:type="dxa"/>
            <w:shd w:val="clear" w:color="auto" w:fill="auto"/>
            <w:vAlign w:val="center"/>
          </w:tcPr>
          <w:p w14:paraId="35AAD549"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String</w:t>
            </w:r>
          </w:p>
        </w:tc>
      </w:tr>
      <w:tr w:rsidR="00BC0B63" w:rsidRPr="00BC0B63" w14:paraId="7FC8F939" w14:textId="77777777" w:rsidTr="00BC0B63">
        <w:trPr>
          <w:jc w:val="center"/>
        </w:trPr>
        <w:tc>
          <w:tcPr>
            <w:tcW w:w="5040" w:type="dxa"/>
            <w:shd w:val="clear" w:color="auto" w:fill="auto"/>
            <w:vAlign w:val="center"/>
          </w:tcPr>
          <w:p w14:paraId="269C0B6D"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Email</w:t>
            </w:r>
          </w:p>
        </w:tc>
        <w:tc>
          <w:tcPr>
            <w:tcW w:w="5040" w:type="dxa"/>
            <w:shd w:val="clear" w:color="auto" w:fill="auto"/>
            <w:vAlign w:val="center"/>
          </w:tcPr>
          <w:p w14:paraId="4B6F16C2"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String</w:t>
            </w:r>
          </w:p>
        </w:tc>
      </w:tr>
      <w:tr w:rsidR="00BC0B63" w:rsidRPr="00BC0B63" w14:paraId="49414F67" w14:textId="77777777" w:rsidTr="00BC0B63">
        <w:trPr>
          <w:jc w:val="center"/>
        </w:trPr>
        <w:tc>
          <w:tcPr>
            <w:tcW w:w="5040" w:type="dxa"/>
            <w:shd w:val="clear" w:color="auto" w:fill="auto"/>
            <w:vAlign w:val="center"/>
          </w:tcPr>
          <w:p w14:paraId="5C0DFD5C"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Department</w:t>
            </w:r>
          </w:p>
        </w:tc>
        <w:tc>
          <w:tcPr>
            <w:tcW w:w="5040" w:type="dxa"/>
            <w:shd w:val="clear" w:color="auto" w:fill="auto"/>
            <w:vAlign w:val="center"/>
          </w:tcPr>
          <w:p w14:paraId="1FBDA3CA"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String</w:t>
            </w:r>
          </w:p>
        </w:tc>
      </w:tr>
      <w:tr w:rsidR="00BC0B63" w:rsidRPr="00BC0B63" w14:paraId="60AAF043" w14:textId="77777777" w:rsidTr="00BC0B63">
        <w:trPr>
          <w:jc w:val="center"/>
        </w:trPr>
        <w:tc>
          <w:tcPr>
            <w:tcW w:w="5040" w:type="dxa"/>
            <w:shd w:val="clear" w:color="auto" w:fill="auto"/>
            <w:vAlign w:val="center"/>
          </w:tcPr>
          <w:p w14:paraId="69900625"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Location</w:t>
            </w:r>
          </w:p>
        </w:tc>
        <w:tc>
          <w:tcPr>
            <w:tcW w:w="5040" w:type="dxa"/>
            <w:shd w:val="clear" w:color="auto" w:fill="auto"/>
            <w:vAlign w:val="center"/>
          </w:tcPr>
          <w:p w14:paraId="5548B094" w14:textId="77777777" w:rsidR="00D8171F" w:rsidRPr="00BC0B63" w:rsidRDefault="00983E4F">
            <w:pPr>
              <w:rPr>
                <w:rFonts w:ascii="Times New Roman" w:hAnsi="Times New Roman" w:cs="Times New Roman"/>
                <w:color w:val="000000" w:themeColor="text1"/>
                <w:szCs w:val="24"/>
              </w:rPr>
            </w:pPr>
            <w:r w:rsidRPr="00BC0B63">
              <w:rPr>
                <w:rFonts w:ascii="Times New Roman" w:hAnsi="Times New Roman" w:cs="Times New Roman"/>
                <w:color w:val="000000" w:themeColor="text1"/>
                <w:szCs w:val="24"/>
              </w:rPr>
              <w:t>String</w:t>
            </w:r>
          </w:p>
        </w:tc>
      </w:tr>
    </w:tbl>
    <w:p w14:paraId="018EDB4B" w14:textId="77777777" w:rsidR="00D8171F" w:rsidRPr="00BC0B63" w:rsidRDefault="00983E4F" w:rsidP="00BC0B63">
      <w:pPr>
        <w:pStyle w:val="Heading1"/>
        <w:spacing w:line="360" w:lineRule="auto"/>
        <w:rPr>
          <w:rFonts w:ascii="Times New Roman" w:hAnsi="Times New Roman" w:cs="Times New Roman"/>
        </w:rPr>
      </w:pPr>
      <w:r w:rsidRPr="00BC0B63">
        <w:rPr>
          <w:rFonts w:ascii="Times New Roman" w:hAnsi="Times New Roman" w:cs="Times New Roman"/>
          <w:sz w:val="24"/>
        </w:rPr>
        <w:t>4. Design Principle</w:t>
      </w:r>
    </w:p>
    <w:p w14:paraId="607F75C1" w14:textId="04ED8F49" w:rsidR="00D8171F" w:rsidRDefault="00983E4F">
      <w:pPr>
        <w:rPr>
          <w:rFonts w:ascii="Times New Roman" w:hAnsi="Times New Roman" w:cs="Times New Roman"/>
        </w:rPr>
      </w:pPr>
      <w:r w:rsidRPr="00BC0B63">
        <w:rPr>
          <w:rFonts w:ascii="Times New Roman" w:hAnsi="Times New Roman" w:cs="Times New Roman"/>
        </w:rPr>
        <w:t>The architecture separates data intake, staging, transformation, target storage, and reporting so each step can be checked independently.</w:t>
      </w:r>
    </w:p>
    <w:p w14:paraId="14D55F15" w14:textId="77777777" w:rsidR="00D8171F" w:rsidRPr="00BC0B63" w:rsidRDefault="00983E4F" w:rsidP="00BC0B63">
      <w:pPr>
        <w:pStyle w:val="Heading1"/>
        <w:spacing w:line="360" w:lineRule="auto"/>
        <w:rPr>
          <w:rFonts w:ascii="Times New Roman" w:hAnsi="Times New Roman" w:cs="Times New Roman"/>
        </w:rPr>
      </w:pPr>
      <w:r w:rsidRPr="00BC0B63">
        <w:rPr>
          <w:rFonts w:ascii="Times New Roman" w:hAnsi="Times New Roman" w:cs="Times New Roman"/>
          <w:sz w:val="24"/>
        </w:rPr>
        <w:t>5. Architecture Sequence</w:t>
      </w:r>
    </w:p>
    <w:p w14:paraId="58AD7222" w14:textId="77777777" w:rsidR="00D8171F" w:rsidRPr="00BC0B63" w:rsidRDefault="00983E4F">
      <w:pPr>
        <w:spacing w:after="120"/>
        <w:rPr>
          <w:rFonts w:ascii="Times New Roman" w:hAnsi="Times New Roman" w:cs="Times New Roman"/>
        </w:rPr>
      </w:pPr>
      <w:r w:rsidRPr="00BC0B63">
        <w:rPr>
          <w:rFonts w:ascii="Times New Roman" w:hAnsi="Times New Roman" w:cs="Times New Roman"/>
        </w:rPr>
        <w:t xml:space="preserve">The architecture begins outside ServiceNow with the prepared spreadsheet. The Load Data operation moves source rows into the Employee Import staging layer. The Transform Map reads that staging data and applies </w:t>
      </w:r>
      <w:r w:rsidRPr="00BC0B63">
        <w:rPr>
          <w:rFonts w:ascii="Times New Roman" w:hAnsi="Times New Roman" w:cs="Times New Roman"/>
        </w:rPr>
        <w:lastRenderedPageBreak/>
        <w:t>source-to-target mapping. Coalesce matching is considered during transformation. The target records are stored in Employee Test. Reporting components query the target data, and the dashboard presents the saved reports together.</w:t>
      </w:r>
    </w:p>
    <w:p w14:paraId="11006376" w14:textId="77777777" w:rsidR="00D8171F" w:rsidRPr="00BC0B63" w:rsidRDefault="00983E4F" w:rsidP="00BC0B63">
      <w:pPr>
        <w:pStyle w:val="Heading1"/>
        <w:spacing w:line="360" w:lineRule="auto"/>
        <w:rPr>
          <w:rFonts w:ascii="Times New Roman" w:hAnsi="Times New Roman" w:cs="Times New Roman"/>
        </w:rPr>
      </w:pPr>
      <w:r w:rsidRPr="00BC0B63">
        <w:rPr>
          <w:rFonts w:ascii="Times New Roman" w:hAnsi="Times New Roman" w:cs="Times New Roman"/>
          <w:sz w:val="24"/>
        </w:rPr>
        <w:t>6. Separation of Responsibilities</w:t>
      </w:r>
    </w:p>
    <w:p w14:paraId="56F468ED" w14:textId="77777777" w:rsidR="00D8171F" w:rsidRPr="00BC0B63" w:rsidRDefault="00983E4F">
      <w:pPr>
        <w:spacing w:after="120"/>
        <w:rPr>
          <w:rFonts w:ascii="Times New Roman" w:hAnsi="Times New Roman" w:cs="Times New Roman"/>
        </w:rPr>
      </w:pPr>
      <w:r w:rsidRPr="00BC0B63">
        <w:rPr>
          <w:rFonts w:ascii="Times New Roman" w:hAnsi="Times New Roman" w:cs="Times New Roman"/>
        </w:rPr>
        <w:t>Separating staging from target storage makes it possible to inspect the imported data before it becomes the final employee record set. Separating transformation from reporting also ensures that the reporting layer works from the target data rather than directly from the raw spreadsheet.</w:t>
      </w:r>
    </w:p>
    <w:p w14:paraId="796A3BBD" w14:textId="77777777" w:rsidR="00D8171F" w:rsidRPr="00BC0B63" w:rsidRDefault="00983E4F" w:rsidP="00BC0B63">
      <w:pPr>
        <w:pStyle w:val="Heading1"/>
        <w:spacing w:line="360" w:lineRule="auto"/>
        <w:rPr>
          <w:rFonts w:ascii="Times New Roman" w:hAnsi="Times New Roman" w:cs="Times New Roman"/>
        </w:rPr>
      </w:pPr>
      <w:r w:rsidRPr="00BC0B63">
        <w:rPr>
          <w:rFonts w:ascii="Times New Roman" w:hAnsi="Times New Roman" w:cs="Times New Roman"/>
          <w:sz w:val="24"/>
        </w:rPr>
        <w:t>7. Architecture Validation Points</w:t>
      </w:r>
    </w:p>
    <w:p w14:paraId="7B82B439" w14:textId="77777777" w:rsidR="00D8171F" w:rsidRPr="00BC0B63" w:rsidRDefault="00983E4F">
      <w:pPr>
        <w:spacing w:after="120"/>
        <w:rPr>
          <w:rFonts w:ascii="Times New Roman" w:hAnsi="Times New Roman" w:cs="Times New Roman"/>
        </w:rPr>
      </w:pPr>
      <w:r w:rsidRPr="00BC0B63">
        <w:rPr>
          <w:rFonts w:ascii="Times New Roman" w:hAnsi="Times New Roman" w:cs="Times New Roman"/>
        </w:rPr>
        <w:t>There are validation points at every major boundary: spreadsheet preparation, import completion, Transform Map configuration, transformation success, target-table verification, repeat-import history, report execution, and dashboard presentation.</w:t>
      </w:r>
    </w:p>
    <w:p w14:paraId="6048E491" w14:textId="77777777" w:rsidR="00D8171F" w:rsidRPr="00BC0B63" w:rsidRDefault="00983E4F" w:rsidP="00BC0B63">
      <w:pPr>
        <w:pStyle w:val="Heading1"/>
        <w:spacing w:line="360" w:lineRule="auto"/>
        <w:rPr>
          <w:rFonts w:ascii="Times New Roman" w:hAnsi="Times New Roman" w:cs="Times New Roman"/>
        </w:rPr>
      </w:pPr>
      <w:r w:rsidRPr="00BC0B63">
        <w:rPr>
          <w:rFonts w:ascii="Times New Roman" w:hAnsi="Times New Roman" w:cs="Times New Roman"/>
          <w:sz w:val="24"/>
        </w:rPr>
        <w:t>8. Architecture Limitations</w:t>
      </w:r>
    </w:p>
    <w:p w14:paraId="6775843C" w14:textId="77777777" w:rsidR="00D8171F" w:rsidRPr="00BC0B63" w:rsidRDefault="00983E4F">
      <w:pPr>
        <w:spacing w:after="120"/>
        <w:rPr>
          <w:rFonts w:ascii="Times New Roman" w:hAnsi="Times New Roman" w:cs="Times New Roman"/>
        </w:rPr>
      </w:pPr>
      <w:r w:rsidRPr="00BC0B63">
        <w:rPr>
          <w:rFonts w:ascii="Times New Roman" w:hAnsi="Times New Roman" w:cs="Times New Roman"/>
        </w:rPr>
        <w:t>This architecture reflects the scope of the supplied guide. It does not claim to include external enterprise systems, automated scheduling, API integration, production deployment, or high-volume scalability design because those elements are not documented in the source.</w:t>
      </w:r>
    </w:p>
    <w:sectPr w:rsidR="00D8171F" w:rsidRPr="00BC0B63" w:rsidSect="00BC0B63">
      <w:pgSz w:w="12240" w:h="15840"/>
      <w:pgMar w:top="720" w:right="720" w:bottom="720" w:left="720" w:header="720" w:footer="720" w:gutter="0"/>
      <w:pgBorders>
        <w:top w:val="single" w:sz="12" w:space="8" w:color="auto"/>
        <w:left w:val="single" w:sz="12" w:space="8" w:color="auto"/>
        <w:bottom w:val="single" w:sz="12" w:space="8" w:color="auto"/>
        <w:right w:val="single" w:sz="12" w:space="8"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8D53B" w14:textId="77777777" w:rsidR="0055632B" w:rsidRDefault="0055632B">
      <w:pPr>
        <w:spacing w:after="0" w:line="240" w:lineRule="auto"/>
        <w:rPr>
          <w:rFonts w:hint="eastAsia"/>
        </w:rPr>
      </w:pPr>
      <w:r>
        <w:separator/>
      </w:r>
    </w:p>
  </w:endnote>
  <w:endnote w:type="continuationSeparator" w:id="0">
    <w:p w14:paraId="1E169AEA" w14:textId="77777777" w:rsidR="0055632B" w:rsidRDefault="0055632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D63A6" w14:textId="77777777" w:rsidR="0055632B" w:rsidRDefault="0055632B">
      <w:pPr>
        <w:spacing w:after="0" w:line="240" w:lineRule="auto"/>
        <w:rPr>
          <w:rFonts w:hint="eastAsia"/>
        </w:rPr>
      </w:pPr>
      <w:r>
        <w:separator/>
      </w:r>
    </w:p>
  </w:footnote>
  <w:footnote w:type="continuationSeparator" w:id="0">
    <w:p w14:paraId="5E4D0122" w14:textId="77777777" w:rsidR="0055632B" w:rsidRDefault="0055632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6F2"/>
    <w:rsid w:val="0029639D"/>
    <w:rsid w:val="00326F90"/>
    <w:rsid w:val="0055632B"/>
    <w:rsid w:val="00923212"/>
    <w:rsid w:val="00983E4F"/>
    <w:rsid w:val="00A84819"/>
    <w:rsid w:val="00AA1D8D"/>
    <w:rsid w:val="00B47730"/>
    <w:rsid w:val="00BC0B63"/>
    <w:rsid w:val="00CB0664"/>
    <w:rsid w:val="00D817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40DFBF"/>
  <w14:defaultImageDpi w14:val="300"/>
  <w15:docId w15:val="{00CFC625-7B6E-4D64-854F-093392D06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gowsik raja</cp:lastModifiedBy>
  <cp:revision>5</cp:revision>
  <dcterms:created xsi:type="dcterms:W3CDTF">2013-12-23T23:15:00Z</dcterms:created>
  <dcterms:modified xsi:type="dcterms:W3CDTF">2026-10-01T01:09:00Z</dcterms:modified>
  <cp:category/>
</cp:coreProperties>
</file>