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BD034" w14:textId="77777777" w:rsidR="00BA152E" w:rsidRPr="00E967EB" w:rsidRDefault="00A059D4">
      <w:pPr>
        <w:pStyle w:val="Title"/>
        <w:jc w:val="center"/>
        <w:rPr>
          <w:rFonts w:ascii="Times New Roman" w:hAnsi="Times New Roman" w:cs="Times New Roman"/>
          <w:sz w:val="52"/>
          <w:szCs w:val="72"/>
        </w:rPr>
      </w:pPr>
      <w:r w:rsidRPr="00E967EB">
        <w:rPr>
          <w:rFonts w:ascii="Times New Roman" w:hAnsi="Times New Roman" w:cs="Times New Roman"/>
          <w:sz w:val="32"/>
          <w:szCs w:val="72"/>
        </w:rPr>
        <w:t>Project Planning Phase</w:t>
      </w:r>
    </w:p>
    <w:p w14:paraId="2AD20981" w14:textId="7AD63686" w:rsidR="00BA152E" w:rsidRPr="00E967EB" w:rsidRDefault="00A059D4" w:rsidP="00E967EB">
      <w:pPr>
        <w:jc w:val="center"/>
        <w:rPr>
          <w:rFonts w:ascii="Times New Roman" w:hAnsi="Times New Roman" w:cs="Times New Roman"/>
          <w:color w:val="000000" w:themeColor="text1"/>
          <w:sz w:val="28"/>
          <w:szCs w:val="24"/>
        </w:rPr>
      </w:pPr>
      <w:r w:rsidRPr="00E967EB">
        <w:rPr>
          <w:rFonts w:ascii="Times New Roman" w:hAnsi="Times New Roman" w:cs="Times New Roman"/>
          <w:b/>
          <w:color w:val="000000" w:themeColor="text1"/>
          <w:sz w:val="28"/>
          <w:szCs w:val="24"/>
        </w:rPr>
        <w:t>Planning Logic</w:t>
      </w:r>
    </w:p>
    <w:tbl>
      <w:tblPr>
        <w:tblStyle w:val="TableGrid"/>
        <w:tblW w:w="0" w:type="auto"/>
        <w:jc w:val="center"/>
        <w:tblLook w:val="04A0" w:firstRow="1" w:lastRow="0" w:firstColumn="1" w:lastColumn="0" w:noHBand="0" w:noVBand="1"/>
      </w:tblPr>
      <w:tblGrid>
        <w:gridCol w:w="5040"/>
        <w:gridCol w:w="5040"/>
      </w:tblGrid>
      <w:tr w:rsidR="00E967EB" w:rsidRPr="00E967EB" w14:paraId="197EBDA2" w14:textId="77777777" w:rsidTr="00E967EB">
        <w:trPr>
          <w:jc w:val="center"/>
        </w:trPr>
        <w:tc>
          <w:tcPr>
            <w:tcW w:w="5040" w:type="dxa"/>
            <w:shd w:val="clear" w:color="auto" w:fill="auto"/>
            <w:vAlign w:val="center"/>
          </w:tcPr>
          <w:p w14:paraId="56C36038" w14:textId="77777777" w:rsidR="00BA152E" w:rsidRPr="00E967EB" w:rsidRDefault="00A059D4">
            <w:pPr>
              <w:rPr>
                <w:rFonts w:ascii="Times New Roman" w:hAnsi="Times New Roman" w:cs="Times New Roman"/>
                <w:color w:val="000000" w:themeColor="text1"/>
              </w:rPr>
            </w:pPr>
            <w:r w:rsidRPr="00E967EB">
              <w:rPr>
                <w:rFonts w:ascii="Times New Roman" w:hAnsi="Times New Roman" w:cs="Times New Roman"/>
                <w:b/>
                <w:color w:val="000000" w:themeColor="text1"/>
                <w:sz w:val="22"/>
              </w:rPr>
              <w:t>Team ID</w:t>
            </w:r>
          </w:p>
        </w:tc>
        <w:tc>
          <w:tcPr>
            <w:tcW w:w="5040" w:type="dxa"/>
            <w:shd w:val="clear" w:color="auto" w:fill="auto"/>
            <w:vAlign w:val="center"/>
          </w:tcPr>
          <w:p w14:paraId="204F33B0" w14:textId="77777777" w:rsidR="00BA152E" w:rsidRPr="00E967EB" w:rsidRDefault="00A059D4">
            <w:pPr>
              <w:rPr>
                <w:rFonts w:ascii="Times New Roman" w:hAnsi="Times New Roman" w:cs="Times New Roman"/>
                <w:color w:val="000000" w:themeColor="text1"/>
              </w:rPr>
            </w:pPr>
            <w:r w:rsidRPr="00E967EB">
              <w:rPr>
                <w:rFonts w:ascii="Times New Roman" w:hAnsi="Times New Roman" w:cs="Times New Roman"/>
                <w:color w:val="000000" w:themeColor="text1"/>
                <w:sz w:val="22"/>
              </w:rPr>
              <w:t>6ab7f27c8c7c66e7067292d1</w:t>
            </w:r>
          </w:p>
        </w:tc>
      </w:tr>
      <w:tr w:rsidR="00E967EB" w:rsidRPr="00E967EB" w14:paraId="09C24EF9" w14:textId="77777777" w:rsidTr="00E967EB">
        <w:trPr>
          <w:jc w:val="center"/>
        </w:trPr>
        <w:tc>
          <w:tcPr>
            <w:tcW w:w="5040" w:type="dxa"/>
            <w:shd w:val="clear" w:color="auto" w:fill="auto"/>
            <w:vAlign w:val="center"/>
          </w:tcPr>
          <w:p w14:paraId="2E3DA966" w14:textId="77777777" w:rsidR="00BA152E" w:rsidRPr="00E967EB" w:rsidRDefault="00A059D4">
            <w:pPr>
              <w:rPr>
                <w:rFonts w:ascii="Times New Roman" w:hAnsi="Times New Roman" w:cs="Times New Roman"/>
                <w:color w:val="000000" w:themeColor="text1"/>
              </w:rPr>
            </w:pPr>
            <w:r w:rsidRPr="00E967EB">
              <w:rPr>
                <w:rFonts w:ascii="Times New Roman" w:hAnsi="Times New Roman" w:cs="Times New Roman"/>
                <w:b/>
                <w:color w:val="000000" w:themeColor="text1"/>
                <w:sz w:val="22"/>
              </w:rPr>
              <w:t>Team Leader</w:t>
            </w:r>
          </w:p>
        </w:tc>
        <w:tc>
          <w:tcPr>
            <w:tcW w:w="5040" w:type="dxa"/>
            <w:shd w:val="clear" w:color="auto" w:fill="auto"/>
            <w:vAlign w:val="center"/>
          </w:tcPr>
          <w:p w14:paraId="0E9874B7" w14:textId="77777777" w:rsidR="00BA152E" w:rsidRPr="00E967EB" w:rsidRDefault="00A059D4">
            <w:pPr>
              <w:rPr>
                <w:rFonts w:ascii="Times New Roman" w:hAnsi="Times New Roman" w:cs="Times New Roman"/>
                <w:color w:val="000000" w:themeColor="text1"/>
              </w:rPr>
            </w:pPr>
            <w:r w:rsidRPr="00E967EB">
              <w:rPr>
                <w:rFonts w:ascii="Times New Roman" w:hAnsi="Times New Roman" w:cs="Times New Roman"/>
                <w:color w:val="000000" w:themeColor="text1"/>
                <w:sz w:val="22"/>
              </w:rPr>
              <w:t>Gowsik Raja S</w:t>
            </w:r>
          </w:p>
        </w:tc>
      </w:tr>
      <w:tr w:rsidR="00E967EB" w:rsidRPr="00E967EB" w14:paraId="2FD10531" w14:textId="77777777" w:rsidTr="00E967EB">
        <w:trPr>
          <w:jc w:val="center"/>
        </w:trPr>
        <w:tc>
          <w:tcPr>
            <w:tcW w:w="5040" w:type="dxa"/>
            <w:shd w:val="clear" w:color="auto" w:fill="auto"/>
            <w:vAlign w:val="center"/>
          </w:tcPr>
          <w:p w14:paraId="7E5C6CA9" w14:textId="77777777" w:rsidR="00BA152E" w:rsidRPr="00E967EB" w:rsidRDefault="00A059D4">
            <w:pPr>
              <w:rPr>
                <w:rFonts w:ascii="Times New Roman" w:hAnsi="Times New Roman" w:cs="Times New Roman"/>
                <w:color w:val="000000" w:themeColor="text1"/>
              </w:rPr>
            </w:pPr>
            <w:r w:rsidRPr="00E967EB">
              <w:rPr>
                <w:rFonts w:ascii="Times New Roman" w:hAnsi="Times New Roman" w:cs="Times New Roman"/>
                <w:b/>
                <w:color w:val="000000" w:themeColor="text1"/>
                <w:sz w:val="22"/>
              </w:rPr>
              <w:t>Team Members</w:t>
            </w:r>
          </w:p>
        </w:tc>
        <w:tc>
          <w:tcPr>
            <w:tcW w:w="5040" w:type="dxa"/>
            <w:shd w:val="clear" w:color="auto" w:fill="auto"/>
            <w:vAlign w:val="center"/>
          </w:tcPr>
          <w:p w14:paraId="3AC1972A" w14:textId="77777777" w:rsidR="00BA152E" w:rsidRPr="00E967EB" w:rsidRDefault="00A059D4">
            <w:pPr>
              <w:rPr>
                <w:rFonts w:ascii="Times New Roman" w:hAnsi="Times New Roman" w:cs="Times New Roman"/>
                <w:color w:val="000000" w:themeColor="text1"/>
              </w:rPr>
            </w:pPr>
            <w:r w:rsidRPr="00E967EB">
              <w:rPr>
                <w:rFonts w:ascii="Times New Roman" w:hAnsi="Times New Roman" w:cs="Times New Roman"/>
                <w:color w:val="000000" w:themeColor="text1"/>
                <w:sz w:val="22"/>
              </w:rPr>
              <w:t>Shrija M; Swetha M; Sivaram A</w:t>
            </w:r>
          </w:p>
        </w:tc>
      </w:tr>
    </w:tbl>
    <w:p w14:paraId="44CC69F0" w14:textId="77777777" w:rsidR="00BA152E" w:rsidRPr="00E967EB" w:rsidRDefault="00A059D4">
      <w:pPr>
        <w:pStyle w:val="Heading1"/>
        <w:rPr>
          <w:rFonts w:ascii="Times New Roman" w:hAnsi="Times New Roman" w:cs="Times New Roman"/>
        </w:rPr>
      </w:pPr>
      <w:r w:rsidRPr="00E967EB">
        <w:rPr>
          <w:rFonts w:ascii="Times New Roman" w:hAnsi="Times New Roman" w:cs="Times New Roman"/>
          <w:sz w:val="24"/>
        </w:rPr>
        <w:t>1. Planning Approach</w:t>
      </w:r>
    </w:p>
    <w:p w14:paraId="7108E371" w14:textId="77777777" w:rsidR="00BA152E" w:rsidRPr="00E967EB" w:rsidRDefault="00A059D4">
      <w:pPr>
        <w:rPr>
          <w:rFonts w:ascii="Times New Roman" w:hAnsi="Times New Roman" w:cs="Times New Roman"/>
        </w:rPr>
      </w:pPr>
      <w:r w:rsidRPr="00E967EB">
        <w:rPr>
          <w:rFonts w:ascii="Times New Roman" w:hAnsi="Times New Roman" w:cs="Times New Roman"/>
        </w:rPr>
        <w:t>The planning logic follows the sequence of the source guide rather than assigning unsupported calendar dates or effort estimates.</w:t>
      </w:r>
    </w:p>
    <w:tbl>
      <w:tblPr>
        <w:tblStyle w:val="TableGrid"/>
        <w:tblW w:w="0" w:type="auto"/>
        <w:jc w:val="center"/>
        <w:tblLook w:val="04A0" w:firstRow="1" w:lastRow="0" w:firstColumn="1" w:lastColumn="0" w:noHBand="0" w:noVBand="1"/>
      </w:tblPr>
      <w:tblGrid>
        <w:gridCol w:w="3360"/>
        <w:gridCol w:w="3360"/>
        <w:gridCol w:w="3360"/>
      </w:tblGrid>
      <w:tr w:rsidR="00E967EB" w:rsidRPr="00E967EB" w14:paraId="60C10B8D" w14:textId="77777777" w:rsidTr="00E967EB">
        <w:trPr>
          <w:jc w:val="center"/>
        </w:trPr>
        <w:tc>
          <w:tcPr>
            <w:tcW w:w="3360" w:type="dxa"/>
            <w:shd w:val="clear" w:color="auto" w:fill="auto"/>
            <w:vAlign w:val="center"/>
          </w:tcPr>
          <w:p w14:paraId="7D0A5C49"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b/>
                <w:color w:val="000000" w:themeColor="text1"/>
                <w:szCs w:val="24"/>
              </w:rPr>
              <w:t>Workstream</w:t>
            </w:r>
          </w:p>
        </w:tc>
        <w:tc>
          <w:tcPr>
            <w:tcW w:w="3360" w:type="dxa"/>
            <w:shd w:val="clear" w:color="auto" w:fill="auto"/>
            <w:vAlign w:val="center"/>
          </w:tcPr>
          <w:p w14:paraId="11834EA3"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b/>
                <w:color w:val="000000" w:themeColor="text1"/>
                <w:szCs w:val="24"/>
              </w:rPr>
              <w:t>Dependency</w:t>
            </w:r>
          </w:p>
        </w:tc>
        <w:tc>
          <w:tcPr>
            <w:tcW w:w="3360" w:type="dxa"/>
            <w:shd w:val="clear" w:color="auto" w:fill="auto"/>
            <w:vAlign w:val="center"/>
          </w:tcPr>
          <w:p w14:paraId="756C8F44"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b/>
                <w:color w:val="000000" w:themeColor="text1"/>
                <w:szCs w:val="24"/>
              </w:rPr>
              <w:t>Completion Evidence</w:t>
            </w:r>
          </w:p>
        </w:tc>
      </w:tr>
      <w:tr w:rsidR="00E967EB" w:rsidRPr="00E967EB" w14:paraId="20DC2C97" w14:textId="77777777" w:rsidTr="00E967EB">
        <w:trPr>
          <w:jc w:val="center"/>
        </w:trPr>
        <w:tc>
          <w:tcPr>
            <w:tcW w:w="3360" w:type="dxa"/>
            <w:shd w:val="clear" w:color="auto" w:fill="auto"/>
            <w:vAlign w:val="center"/>
          </w:tcPr>
          <w:p w14:paraId="68E51722"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Spreadsheet preparation</w:t>
            </w:r>
          </w:p>
        </w:tc>
        <w:tc>
          <w:tcPr>
            <w:tcW w:w="3360" w:type="dxa"/>
            <w:shd w:val="clear" w:color="auto" w:fill="auto"/>
            <w:vAlign w:val="center"/>
          </w:tcPr>
          <w:p w14:paraId="37B5574F"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None</w:t>
            </w:r>
          </w:p>
        </w:tc>
        <w:tc>
          <w:tcPr>
            <w:tcW w:w="3360" w:type="dxa"/>
            <w:shd w:val="clear" w:color="auto" w:fill="auto"/>
            <w:vAlign w:val="center"/>
          </w:tcPr>
          <w:p w14:paraId="42E33104"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Sample Spreadsheet.xlsx prepared.</w:t>
            </w:r>
          </w:p>
        </w:tc>
      </w:tr>
      <w:tr w:rsidR="00E967EB" w:rsidRPr="00E967EB" w14:paraId="79A5B6E1" w14:textId="77777777" w:rsidTr="00E967EB">
        <w:trPr>
          <w:jc w:val="center"/>
        </w:trPr>
        <w:tc>
          <w:tcPr>
            <w:tcW w:w="3360" w:type="dxa"/>
            <w:shd w:val="clear" w:color="auto" w:fill="auto"/>
            <w:vAlign w:val="center"/>
          </w:tcPr>
          <w:p w14:paraId="39A750EE"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Target table</w:t>
            </w:r>
          </w:p>
        </w:tc>
        <w:tc>
          <w:tcPr>
            <w:tcW w:w="3360" w:type="dxa"/>
            <w:shd w:val="clear" w:color="auto" w:fill="auto"/>
            <w:vAlign w:val="center"/>
          </w:tcPr>
          <w:p w14:paraId="62D89D84"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Spreadsheet preparation</w:t>
            </w:r>
          </w:p>
        </w:tc>
        <w:tc>
          <w:tcPr>
            <w:tcW w:w="3360" w:type="dxa"/>
            <w:shd w:val="clear" w:color="auto" w:fill="auto"/>
            <w:vAlign w:val="center"/>
          </w:tcPr>
          <w:p w14:paraId="2B1FAFBD"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Employee Test and required fields created.</w:t>
            </w:r>
          </w:p>
        </w:tc>
      </w:tr>
      <w:tr w:rsidR="00E967EB" w:rsidRPr="00E967EB" w14:paraId="44B7D0A7" w14:textId="77777777" w:rsidTr="00E967EB">
        <w:trPr>
          <w:jc w:val="center"/>
        </w:trPr>
        <w:tc>
          <w:tcPr>
            <w:tcW w:w="3360" w:type="dxa"/>
            <w:shd w:val="clear" w:color="auto" w:fill="auto"/>
            <w:vAlign w:val="center"/>
          </w:tcPr>
          <w:p w14:paraId="6565D20B"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Import Set</w:t>
            </w:r>
          </w:p>
        </w:tc>
        <w:tc>
          <w:tcPr>
            <w:tcW w:w="3360" w:type="dxa"/>
            <w:shd w:val="clear" w:color="auto" w:fill="auto"/>
            <w:vAlign w:val="center"/>
          </w:tcPr>
          <w:p w14:paraId="0E37D707"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Target table</w:t>
            </w:r>
          </w:p>
        </w:tc>
        <w:tc>
          <w:tcPr>
            <w:tcW w:w="3360" w:type="dxa"/>
            <w:shd w:val="clear" w:color="auto" w:fill="auto"/>
            <w:vAlign w:val="center"/>
          </w:tcPr>
          <w:p w14:paraId="0F40D1A8"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Employee Import staging table created and data loaded.</w:t>
            </w:r>
          </w:p>
        </w:tc>
      </w:tr>
      <w:tr w:rsidR="00E967EB" w:rsidRPr="00E967EB" w14:paraId="65B5B97A" w14:textId="77777777" w:rsidTr="00E967EB">
        <w:trPr>
          <w:jc w:val="center"/>
        </w:trPr>
        <w:tc>
          <w:tcPr>
            <w:tcW w:w="3360" w:type="dxa"/>
            <w:shd w:val="clear" w:color="auto" w:fill="auto"/>
            <w:vAlign w:val="center"/>
          </w:tcPr>
          <w:p w14:paraId="5ACC8077"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Transform Map</w:t>
            </w:r>
          </w:p>
        </w:tc>
        <w:tc>
          <w:tcPr>
            <w:tcW w:w="3360" w:type="dxa"/>
            <w:shd w:val="clear" w:color="auto" w:fill="auto"/>
            <w:vAlign w:val="center"/>
          </w:tcPr>
          <w:p w14:paraId="72694159"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Import Set + target table</w:t>
            </w:r>
          </w:p>
        </w:tc>
        <w:tc>
          <w:tcPr>
            <w:tcW w:w="3360" w:type="dxa"/>
            <w:shd w:val="clear" w:color="auto" w:fill="auto"/>
            <w:vAlign w:val="center"/>
          </w:tcPr>
          <w:p w14:paraId="4AFCF7A8"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Sample Spreadsheet I</w:t>
            </w:r>
            <w:r w:rsidRPr="00E967EB">
              <w:rPr>
                <w:rFonts w:ascii="Times New Roman" w:hAnsi="Times New Roman" w:cs="Times New Roman"/>
                <w:color w:val="000000" w:themeColor="text1"/>
                <w:szCs w:val="24"/>
              </w:rPr>
              <w:t>mport configured and mappings saved.</w:t>
            </w:r>
          </w:p>
        </w:tc>
      </w:tr>
      <w:tr w:rsidR="00E967EB" w:rsidRPr="00E967EB" w14:paraId="77BA156D" w14:textId="77777777" w:rsidTr="00E967EB">
        <w:trPr>
          <w:jc w:val="center"/>
        </w:trPr>
        <w:tc>
          <w:tcPr>
            <w:tcW w:w="3360" w:type="dxa"/>
            <w:shd w:val="clear" w:color="auto" w:fill="auto"/>
            <w:vAlign w:val="center"/>
          </w:tcPr>
          <w:p w14:paraId="0799682C"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Validation</w:t>
            </w:r>
          </w:p>
        </w:tc>
        <w:tc>
          <w:tcPr>
            <w:tcW w:w="3360" w:type="dxa"/>
            <w:shd w:val="clear" w:color="auto" w:fill="auto"/>
            <w:vAlign w:val="center"/>
          </w:tcPr>
          <w:p w14:paraId="233E1436"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Transform execution</w:t>
            </w:r>
          </w:p>
        </w:tc>
        <w:tc>
          <w:tcPr>
            <w:tcW w:w="3360" w:type="dxa"/>
            <w:shd w:val="clear" w:color="auto" w:fill="auto"/>
            <w:vAlign w:val="center"/>
          </w:tcPr>
          <w:p w14:paraId="1F9A2640"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Employee Test contains imported records.</w:t>
            </w:r>
          </w:p>
        </w:tc>
      </w:tr>
      <w:tr w:rsidR="00E967EB" w:rsidRPr="00E967EB" w14:paraId="5C5D2418" w14:textId="77777777" w:rsidTr="00E967EB">
        <w:trPr>
          <w:jc w:val="center"/>
        </w:trPr>
        <w:tc>
          <w:tcPr>
            <w:tcW w:w="3360" w:type="dxa"/>
            <w:shd w:val="clear" w:color="auto" w:fill="auto"/>
            <w:vAlign w:val="center"/>
          </w:tcPr>
          <w:p w14:paraId="38D4EEEF"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Coalesce</w:t>
            </w:r>
          </w:p>
        </w:tc>
        <w:tc>
          <w:tcPr>
            <w:tcW w:w="3360" w:type="dxa"/>
            <w:shd w:val="clear" w:color="auto" w:fill="auto"/>
            <w:vAlign w:val="center"/>
          </w:tcPr>
          <w:p w14:paraId="5BDF15DF"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Initial transformation</w:t>
            </w:r>
          </w:p>
        </w:tc>
        <w:tc>
          <w:tcPr>
            <w:tcW w:w="3360" w:type="dxa"/>
            <w:shd w:val="clear" w:color="auto" w:fill="auto"/>
            <w:vAlign w:val="center"/>
          </w:tcPr>
          <w:p w14:paraId="1856FE0E"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Field map configured with Coalesce enabled.</w:t>
            </w:r>
          </w:p>
        </w:tc>
      </w:tr>
      <w:tr w:rsidR="00E967EB" w:rsidRPr="00E967EB" w14:paraId="23D0227A" w14:textId="77777777" w:rsidTr="00E967EB">
        <w:trPr>
          <w:jc w:val="center"/>
        </w:trPr>
        <w:tc>
          <w:tcPr>
            <w:tcW w:w="3360" w:type="dxa"/>
            <w:shd w:val="clear" w:color="auto" w:fill="auto"/>
            <w:vAlign w:val="center"/>
          </w:tcPr>
          <w:p w14:paraId="7C3E91B8"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Repeat import</w:t>
            </w:r>
          </w:p>
        </w:tc>
        <w:tc>
          <w:tcPr>
            <w:tcW w:w="3360" w:type="dxa"/>
            <w:shd w:val="clear" w:color="auto" w:fill="auto"/>
            <w:vAlign w:val="center"/>
          </w:tcPr>
          <w:p w14:paraId="07693A5B"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Coalesce</w:t>
            </w:r>
          </w:p>
        </w:tc>
        <w:tc>
          <w:tcPr>
            <w:tcW w:w="3360" w:type="dxa"/>
            <w:shd w:val="clear" w:color="auto" w:fill="auto"/>
            <w:vAlign w:val="center"/>
          </w:tcPr>
          <w:p w14:paraId="6AF067EF"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 xml:space="preserve">Insert/update/ignore behavior visible in </w:t>
            </w:r>
            <w:r w:rsidRPr="00E967EB">
              <w:rPr>
                <w:rFonts w:ascii="Times New Roman" w:hAnsi="Times New Roman" w:cs="Times New Roman"/>
                <w:color w:val="000000" w:themeColor="text1"/>
                <w:szCs w:val="24"/>
              </w:rPr>
              <w:t>transform history.</w:t>
            </w:r>
          </w:p>
        </w:tc>
      </w:tr>
      <w:tr w:rsidR="00E967EB" w:rsidRPr="00E967EB" w14:paraId="0435F7FF" w14:textId="77777777" w:rsidTr="00E967EB">
        <w:trPr>
          <w:jc w:val="center"/>
        </w:trPr>
        <w:tc>
          <w:tcPr>
            <w:tcW w:w="3360" w:type="dxa"/>
            <w:shd w:val="clear" w:color="auto" w:fill="auto"/>
            <w:vAlign w:val="center"/>
          </w:tcPr>
          <w:p w14:paraId="02C77678"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Reporting</w:t>
            </w:r>
          </w:p>
        </w:tc>
        <w:tc>
          <w:tcPr>
            <w:tcW w:w="3360" w:type="dxa"/>
            <w:shd w:val="clear" w:color="auto" w:fill="auto"/>
            <w:vAlign w:val="center"/>
          </w:tcPr>
          <w:p w14:paraId="39188C65"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Validated target data</w:t>
            </w:r>
          </w:p>
        </w:tc>
        <w:tc>
          <w:tcPr>
            <w:tcW w:w="3360" w:type="dxa"/>
            <w:shd w:val="clear" w:color="auto" w:fill="auto"/>
            <w:vAlign w:val="center"/>
          </w:tcPr>
          <w:p w14:paraId="7DCEDE60"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Three reports saved.</w:t>
            </w:r>
          </w:p>
        </w:tc>
      </w:tr>
      <w:tr w:rsidR="00E967EB" w:rsidRPr="00E967EB" w14:paraId="76A5442B" w14:textId="77777777" w:rsidTr="00E967EB">
        <w:trPr>
          <w:jc w:val="center"/>
        </w:trPr>
        <w:tc>
          <w:tcPr>
            <w:tcW w:w="3360" w:type="dxa"/>
            <w:shd w:val="clear" w:color="auto" w:fill="auto"/>
            <w:vAlign w:val="center"/>
          </w:tcPr>
          <w:p w14:paraId="2577B380"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Dashboard</w:t>
            </w:r>
          </w:p>
        </w:tc>
        <w:tc>
          <w:tcPr>
            <w:tcW w:w="3360" w:type="dxa"/>
            <w:shd w:val="clear" w:color="auto" w:fill="auto"/>
            <w:vAlign w:val="center"/>
          </w:tcPr>
          <w:p w14:paraId="7C2E0260"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Saved reports</w:t>
            </w:r>
          </w:p>
        </w:tc>
        <w:tc>
          <w:tcPr>
            <w:tcW w:w="3360" w:type="dxa"/>
            <w:shd w:val="clear" w:color="auto" w:fill="auto"/>
            <w:vAlign w:val="center"/>
          </w:tcPr>
          <w:p w14:paraId="0C1E04A7" w14:textId="77777777" w:rsidR="00BA152E" w:rsidRPr="00E967EB" w:rsidRDefault="00A059D4">
            <w:pPr>
              <w:rPr>
                <w:rFonts w:ascii="Times New Roman" w:hAnsi="Times New Roman" w:cs="Times New Roman"/>
                <w:color w:val="000000" w:themeColor="text1"/>
                <w:szCs w:val="24"/>
              </w:rPr>
            </w:pPr>
            <w:r w:rsidRPr="00E967EB">
              <w:rPr>
                <w:rFonts w:ascii="Times New Roman" w:hAnsi="Times New Roman" w:cs="Times New Roman"/>
                <w:color w:val="000000" w:themeColor="text1"/>
                <w:szCs w:val="24"/>
              </w:rPr>
              <w:t>All reports added to Employee Analytics Dashboards.</w:t>
            </w:r>
          </w:p>
        </w:tc>
      </w:tr>
    </w:tbl>
    <w:p w14:paraId="3C0FB4C8" w14:textId="77777777" w:rsidR="00BA152E" w:rsidRPr="00E967EB" w:rsidRDefault="00A059D4" w:rsidP="00E967EB">
      <w:pPr>
        <w:pStyle w:val="Heading1"/>
        <w:spacing w:line="360" w:lineRule="auto"/>
        <w:rPr>
          <w:rFonts w:ascii="Times New Roman" w:hAnsi="Times New Roman" w:cs="Times New Roman"/>
        </w:rPr>
      </w:pPr>
      <w:r w:rsidRPr="00E967EB">
        <w:rPr>
          <w:rFonts w:ascii="Times New Roman" w:hAnsi="Times New Roman" w:cs="Times New Roman"/>
          <w:sz w:val="24"/>
        </w:rPr>
        <w:t>2. Planning Logic</w:t>
      </w:r>
    </w:p>
    <w:p w14:paraId="419725F0" w14:textId="77777777" w:rsidR="00BA152E" w:rsidRPr="00E967EB" w:rsidRDefault="00A059D4">
      <w:pPr>
        <w:rPr>
          <w:rFonts w:ascii="Times New Roman" w:hAnsi="Times New Roman" w:cs="Times New Roman"/>
        </w:rPr>
      </w:pPr>
      <w:r w:rsidRPr="00E967EB">
        <w:rPr>
          <w:rFonts w:ascii="Times New Roman" w:hAnsi="Times New Roman" w:cs="Times New Roman"/>
        </w:rPr>
        <w:t xml:space="preserve">Prepare → Configure → Import → Map → Transform → Validate → Match → Re-import → </w:t>
      </w:r>
      <w:r w:rsidRPr="00E967EB">
        <w:rPr>
          <w:rFonts w:ascii="Times New Roman" w:hAnsi="Times New Roman" w:cs="Times New Roman"/>
        </w:rPr>
        <w:t>Report → Dashboard</w:t>
      </w:r>
    </w:p>
    <w:p w14:paraId="5E973463" w14:textId="77777777" w:rsidR="00BA152E" w:rsidRPr="00E967EB" w:rsidRDefault="00A059D4" w:rsidP="00E967EB">
      <w:pPr>
        <w:pStyle w:val="Heading1"/>
        <w:spacing w:line="360" w:lineRule="auto"/>
        <w:rPr>
          <w:rFonts w:ascii="Times New Roman" w:hAnsi="Times New Roman" w:cs="Times New Roman"/>
        </w:rPr>
      </w:pPr>
      <w:r w:rsidRPr="00E967EB">
        <w:rPr>
          <w:rFonts w:ascii="Times New Roman" w:hAnsi="Times New Roman" w:cs="Times New Roman"/>
          <w:sz w:val="24"/>
        </w:rPr>
        <w:t>3. Dependency Logic</w:t>
      </w:r>
    </w:p>
    <w:p w14:paraId="69C1AFC0" w14:textId="77777777" w:rsidR="00BA152E" w:rsidRPr="00E967EB" w:rsidRDefault="00A059D4">
      <w:pPr>
        <w:spacing w:after="120"/>
        <w:rPr>
          <w:rFonts w:ascii="Times New Roman" w:hAnsi="Times New Roman" w:cs="Times New Roman"/>
        </w:rPr>
      </w:pPr>
      <w:r w:rsidRPr="00E967EB">
        <w:rPr>
          <w:rFonts w:ascii="Times New Roman" w:hAnsi="Times New Roman" w:cs="Times New Roman"/>
        </w:rPr>
        <w:t xml:space="preserve">The target table must exist before the Transform Map can target it. The Import Set must be available before source data can be staged. The mapping must be saved before the transform is executed. Coalesce is </w:t>
      </w:r>
      <w:r w:rsidRPr="00E967EB">
        <w:rPr>
          <w:rFonts w:ascii="Times New Roman" w:hAnsi="Times New Roman" w:cs="Times New Roman"/>
        </w:rPr>
        <w:t>demonstrated after the basic import has been validated. Reports depend on the target data, and the dashboard depends on the saved reports.</w:t>
      </w:r>
    </w:p>
    <w:p w14:paraId="46804745" w14:textId="77777777" w:rsidR="00BA152E" w:rsidRPr="00E967EB" w:rsidRDefault="00A059D4" w:rsidP="00E967EB">
      <w:pPr>
        <w:pStyle w:val="Heading1"/>
        <w:spacing w:line="360" w:lineRule="auto"/>
        <w:rPr>
          <w:rFonts w:ascii="Times New Roman" w:hAnsi="Times New Roman" w:cs="Times New Roman"/>
        </w:rPr>
      </w:pPr>
      <w:r w:rsidRPr="00E967EB">
        <w:rPr>
          <w:rFonts w:ascii="Times New Roman" w:hAnsi="Times New Roman" w:cs="Times New Roman"/>
          <w:sz w:val="24"/>
        </w:rPr>
        <w:t>4. Milestone Completion Logic</w:t>
      </w:r>
    </w:p>
    <w:p w14:paraId="423AF8D5" w14:textId="77777777" w:rsidR="00BA152E" w:rsidRPr="00E967EB" w:rsidRDefault="00A059D4">
      <w:pPr>
        <w:spacing w:after="120"/>
        <w:rPr>
          <w:rFonts w:ascii="Times New Roman" w:hAnsi="Times New Roman" w:cs="Times New Roman"/>
        </w:rPr>
      </w:pPr>
      <w:r w:rsidRPr="00E967EB">
        <w:rPr>
          <w:rFonts w:ascii="Times New Roman" w:hAnsi="Times New Roman" w:cs="Times New Roman"/>
        </w:rPr>
        <w:t>Milestone completion is based on observable configuration or result evidence rather tha</w:t>
      </w:r>
      <w:r w:rsidRPr="00E967EB">
        <w:rPr>
          <w:rFonts w:ascii="Times New Roman" w:hAnsi="Times New Roman" w:cs="Times New Roman"/>
        </w:rPr>
        <w:t xml:space="preserve">n calendar dates. For example, the import milestone is complete when the import state shows successful completion; transformation </w:t>
      </w:r>
      <w:r w:rsidRPr="00E967EB">
        <w:rPr>
          <w:rFonts w:ascii="Times New Roman" w:hAnsi="Times New Roman" w:cs="Times New Roman"/>
        </w:rPr>
        <w:lastRenderedPageBreak/>
        <w:t>is complete when target records are available; repeat-import validation is complete when transform history reflects the expect</w:t>
      </w:r>
      <w:r w:rsidRPr="00E967EB">
        <w:rPr>
          <w:rFonts w:ascii="Times New Roman" w:hAnsi="Times New Roman" w:cs="Times New Roman"/>
        </w:rPr>
        <w:t>ed insert/update/ignore behavior.</w:t>
      </w:r>
    </w:p>
    <w:p w14:paraId="6B68EA41" w14:textId="77777777" w:rsidR="00BA152E" w:rsidRPr="00E967EB" w:rsidRDefault="00A059D4" w:rsidP="00E967EB">
      <w:pPr>
        <w:pStyle w:val="Heading1"/>
        <w:spacing w:line="360" w:lineRule="auto"/>
        <w:rPr>
          <w:rFonts w:ascii="Times New Roman" w:hAnsi="Times New Roman" w:cs="Times New Roman"/>
        </w:rPr>
      </w:pPr>
      <w:r w:rsidRPr="00E967EB">
        <w:rPr>
          <w:rFonts w:ascii="Times New Roman" w:hAnsi="Times New Roman" w:cs="Times New Roman"/>
          <w:sz w:val="24"/>
        </w:rPr>
        <w:t>5. Change-Control Consideration</w:t>
      </w:r>
    </w:p>
    <w:p w14:paraId="32EFA884" w14:textId="77777777" w:rsidR="00BA152E" w:rsidRPr="00E967EB" w:rsidRDefault="00A059D4">
      <w:pPr>
        <w:spacing w:after="120"/>
        <w:rPr>
          <w:rFonts w:ascii="Times New Roman" w:hAnsi="Times New Roman" w:cs="Times New Roman"/>
        </w:rPr>
      </w:pPr>
      <w:r w:rsidRPr="00E967EB">
        <w:rPr>
          <w:rFonts w:ascii="Times New Roman" w:hAnsi="Times New Roman" w:cs="Times New Roman"/>
        </w:rPr>
        <w:t>If a source field or target field changes, the mapping should be reviewed before another transformation is executed. Similarly, changing the Coalesce field can change how repeated data is ma</w:t>
      </w:r>
      <w:r w:rsidRPr="00E967EB">
        <w:rPr>
          <w:rFonts w:ascii="Times New Roman" w:hAnsi="Times New Roman" w:cs="Times New Roman"/>
        </w:rPr>
        <w:t>tched. Reports should be reviewed if target fields are renamed or removed.</w:t>
      </w:r>
    </w:p>
    <w:p w14:paraId="2F208ED2" w14:textId="77777777" w:rsidR="00BA152E" w:rsidRPr="00E967EB" w:rsidRDefault="00A059D4" w:rsidP="00E967EB">
      <w:pPr>
        <w:pStyle w:val="Heading1"/>
        <w:spacing w:line="360" w:lineRule="auto"/>
        <w:rPr>
          <w:rFonts w:ascii="Times New Roman" w:hAnsi="Times New Roman" w:cs="Times New Roman"/>
        </w:rPr>
      </w:pPr>
      <w:r w:rsidRPr="00E967EB">
        <w:rPr>
          <w:rFonts w:ascii="Times New Roman" w:hAnsi="Times New Roman" w:cs="Times New Roman"/>
          <w:sz w:val="24"/>
        </w:rPr>
        <w:t>6. Planning Outcome</w:t>
      </w:r>
    </w:p>
    <w:p w14:paraId="0F13D0FB" w14:textId="77777777" w:rsidR="00BA152E" w:rsidRPr="00E967EB" w:rsidRDefault="00A059D4">
      <w:pPr>
        <w:spacing w:after="120"/>
        <w:rPr>
          <w:rFonts w:ascii="Times New Roman" w:hAnsi="Times New Roman" w:cs="Times New Roman"/>
        </w:rPr>
      </w:pPr>
      <w:r w:rsidRPr="00E967EB">
        <w:rPr>
          <w:rFonts w:ascii="Times New Roman" w:hAnsi="Times New Roman" w:cs="Times New Roman"/>
        </w:rPr>
        <w:t>The planning logic creates a linear but verifiable sequence. Each phase produces an output that becomes an input to the next phase, reducing ambiguity during imp</w:t>
      </w:r>
      <w:r w:rsidRPr="00E967EB">
        <w:rPr>
          <w:rFonts w:ascii="Times New Roman" w:hAnsi="Times New Roman" w:cs="Times New Roman"/>
        </w:rPr>
        <w:t>lementation and demonstration.</w:t>
      </w:r>
    </w:p>
    <w:sectPr w:rsidR="00BA152E" w:rsidRPr="00E967EB" w:rsidSect="00E967EB">
      <w:pgSz w:w="12240" w:h="15840"/>
      <w:pgMar w:top="720" w:right="720" w:bottom="720" w:left="720" w:header="720" w:footer="720" w:gutter="0"/>
      <w:pgBorders>
        <w:top w:val="single" w:sz="12" w:space="8" w:color="auto"/>
        <w:left w:val="single" w:sz="12" w:space="8" w:color="auto"/>
        <w:bottom w:val="single" w:sz="12" w:space="8" w:color="auto"/>
        <w:right w:val="single" w:sz="12" w:space="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99108" w14:textId="77777777" w:rsidR="00A059D4" w:rsidRDefault="00A059D4">
      <w:pPr>
        <w:spacing w:after="0" w:line="240" w:lineRule="auto"/>
        <w:rPr>
          <w:rFonts w:hint="eastAsia"/>
        </w:rPr>
      </w:pPr>
      <w:r>
        <w:separator/>
      </w:r>
    </w:p>
  </w:endnote>
  <w:endnote w:type="continuationSeparator" w:id="0">
    <w:p w14:paraId="2350EDAD" w14:textId="77777777" w:rsidR="00A059D4" w:rsidRDefault="00A059D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168E2" w14:textId="77777777" w:rsidR="00A059D4" w:rsidRDefault="00A059D4">
      <w:pPr>
        <w:spacing w:after="0" w:line="240" w:lineRule="auto"/>
        <w:rPr>
          <w:rFonts w:hint="eastAsia"/>
        </w:rPr>
      </w:pPr>
      <w:r>
        <w:separator/>
      </w:r>
    </w:p>
  </w:footnote>
  <w:footnote w:type="continuationSeparator" w:id="0">
    <w:p w14:paraId="6FDFFB89" w14:textId="77777777" w:rsidR="00A059D4" w:rsidRDefault="00A059D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59D4"/>
    <w:rsid w:val="00AA1D8D"/>
    <w:rsid w:val="00B47730"/>
    <w:rsid w:val="00BA152E"/>
    <w:rsid w:val="00CB0664"/>
    <w:rsid w:val="00E96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E0EF1"/>
  <w14:defaultImageDpi w14:val="300"/>
  <w15:docId w15:val="{D722008B-4D90-42AB-8D2C-3E1F90628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2</cp:revision>
  <dcterms:created xsi:type="dcterms:W3CDTF">2013-12-23T23:15:00Z</dcterms:created>
  <dcterms:modified xsi:type="dcterms:W3CDTF">2026-10-01T01:12:00Z</dcterms:modified>
  <cp:category/>
</cp:coreProperties>
</file>