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61EB6" w14:textId="77777777" w:rsidR="00872EC6" w:rsidRPr="00E26AF9" w:rsidRDefault="00BD46D4">
      <w:pPr>
        <w:pStyle w:val="Title"/>
        <w:jc w:val="center"/>
        <w:rPr>
          <w:rFonts w:ascii="Times New Roman" w:hAnsi="Times New Roman" w:cs="Times New Roman"/>
          <w:sz w:val="52"/>
          <w:szCs w:val="72"/>
        </w:rPr>
      </w:pPr>
      <w:r w:rsidRPr="00E26AF9">
        <w:rPr>
          <w:rFonts w:ascii="Times New Roman" w:hAnsi="Times New Roman" w:cs="Times New Roman"/>
          <w:sz w:val="32"/>
          <w:szCs w:val="72"/>
        </w:rPr>
        <w:t>Project Development Phase</w:t>
      </w:r>
    </w:p>
    <w:p w14:paraId="6FEF0C27" w14:textId="61AD9942" w:rsidR="00872EC6" w:rsidRPr="00E26AF9" w:rsidRDefault="00BD46D4" w:rsidP="00E26AF9">
      <w:pPr>
        <w:jc w:val="center"/>
        <w:rPr>
          <w:rFonts w:ascii="Times New Roman" w:hAnsi="Times New Roman" w:cs="Times New Roman"/>
          <w:sz w:val="28"/>
          <w:szCs w:val="24"/>
        </w:rPr>
      </w:pPr>
      <w:r w:rsidRPr="00E26AF9">
        <w:rPr>
          <w:rFonts w:ascii="Times New Roman" w:hAnsi="Times New Roman" w:cs="Times New Roman"/>
          <w:b/>
          <w:sz w:val="28"/>
          <w:szCs w:val="24"/>
        </w:rPr>
        <w:t>Performance Testing</w:t>
      </w:r>
    </w:p>
    <w:tbl>
      <w:tblPr>
        <w:tblStyle w:val="TableGrid"/>
        <w:tblW w:w="0" w:type="auto"/>
        <w:jc w:val="center"/>
        <w:tblLook w:val="04A0" w:firstRow="1" w:lastRow="0" w:firstColumn="1" w:lastColumn="0" w:noHBand="0" w:noVBand="1"/>
      </w:tblPr>
      <w:tblGrid>
        <w:gridCol w:w="5040"/>
        <w:gridCol w:w="5040"/>
      </w:tblGrid>
      <w:tr w:rsidR="00E26AF9" w:rsidRPr="00E26AF9" w14:paraId="2A6E940F" w14:textId="77777777" w:rsidTr="00E26AF9">
        <w:trPr>
          <w:jc w:val="center"/>
        </w:trPr>
        <w:tc>
          <w:tcPr>
            <w:tcW w:w="5040" w:type="dxa"/>
            <w:shd w:val="clear" w:color="auto" w:fill="auto"/>
            <w:vAlign w:val="center"/>
          </w:tcPr>
          <w:p w14:paraId="40B22982"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Team ID</w:t>
            </w:r>
          </w:p>
        </w:tc>
        <w:tc>
          <w:tcPr>
            <w:tcW w:w="5040" w:type="dxa"/>
            <w:shd w:val="clear" w:color="auto" w:fill="auto"/>
            <w:vAlign w:val="center"/>
          </w:tcPr>
          <w:p w14:paraId="0DEF2517"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6ab7f27c8c7c66e7067292d1</w:t>
            </w:r>
          </w:p>
        </w:tc>
      </w:tr>
      <w:tr w:rsidR="00E26AF9" w:rsidRPr="00E26AF9" w14:paraId="63B3FE42" w14:textId="77777777" w:rsidTr="00E26AF9">
        <w:trPr>
          <w:jc w:val="center"/>
        </w:trPr>
        <w:tc>
          <w:tcPr>
            <w:tcW w:w="5040" w:type="dxa"/>
            <w:shd w:val="clear" w:color="auto" w:fill="auto"/>
            <w:vAlign w:val="center"/>
          </w:tcPr>
          <w:p w14:paraId="6F32DFD5"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Team Leader</w:t>
            </w:r>
          </w:p>
        </w:tc>
        <w:tc>
          <w:tcPr>
            <w:tcW w:w="5040" w:type="dxa"/>
            <w:shd w:val="clear" w:color="auto" w:fill="auto"/>
            <w:vAlign w:val="center"/>
          </w:tcPr>
          <w:p w14:paraId="0DC1ED29"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Gowsik Raja S</w:t>
            </w:r>
          </w:p>
        </w:tc>
      </w:tr>
      <w:tr w:rsidR="00E26AF9" w:rsidRPr="00E26AF9" w14:paraId="79D60D54" w14:textId="77777777" w:rsidTr="00E26AF9">
        <w:trPr>
          <w:jc w:val="center"/>
        </w:trPr>
        <w:tc>
          <w:tcPr>
            <w:tcW w:w="5040" w:type="dxa"/>
            <w:shd w:val="clear" w:color="auto" w:fill="auto"/>
            <w:vAlign w:val="center"/>
          </w:tcPr>
          <w:p w14:paraId="0B2E04F1"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Team Members</w:t>
            </w:r>
          </w:p>
        </w:tc>
        <w:tc>
          <w:tcPr>
            <w:tcW w:w="5040" w:type="dxa"/>
            <w:shd w:val="clear" w:color="auto" w:fill="auto"/>
            <w:vAlign w:val="center"/>
          </w:tcPr>
          <w:p w14:paraId="7F8058A7"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Shrija M; Swetha M; Sivaram A</w:t>
            </w:r>
          </w:p>
        </w:tc>
      </w:tr>
    </w:tbl>
    <w:p w14:paraId="429B6E9A"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1. Purpose</w:t>
      </w:r>
    </w:p>
    <w:p w14:paraId="5FEED133" w14:textId="77777777" w:rsidR="00872EC6" w:rsidRPr="00E26AF9" w:rsidRDefault="00BD46D4">
      <w:pPr>
        <w:rPr>
          <w:rFonts w:ascii="Times New Roman" w:hAnsi="Times New Roman" w:cs="Times New Roman"/>
        </w:rPr>
      </w:pPr>
      <w:r w:rsidRPr="00E26AF9">
        <w:rPr>
          <w:rFonts w:ascii="Times New Roman" w:hAnsi="Times New Roman" w:cs="Times New Roman"/>
        </w:rPr>
        <w:t>This document records validation relevant to import behavior and repeatability. The source guide demonstrates functional outcomes rather than measured response-time or throughput benchmarks.</w:t>
      </w:r>
    </w:p>
    <w:p w14:paraId="67DC87C3"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2. Test Scenarios</w:t>
      </w:r>
    </w:p>
    <w:tbl>
      <w:tblPr>
        <w:tblStyle w:val="TableGrid"/>
        <w:tblW w:w="0" w:type="auto"/>
        <w:jc w:val="center"/>
        <w:tblLook w:val="04A0" w:firstRow="1" w:lastRow="0" w:firstColumn="1" w:lastColumn="0" w:noHBand="0" w:noVBand="1"/>
      </w:tblPr>
      <w:tblGrid>
        <w:gridCol w:w="2520"/>
        <w:gridCol w:w="2520"/>
        <w:gridCol w:w="2520"/>
        <w:gridCol w:w="2520"/>
      </w:tblGrid>
      <w:tr w:rsidR="00E26AF9" w:rsidRPr="00E26AF9" w14:paraId="6A8D7091" w14:textId="77777777" w:rsidTr="00E26AF9">
        <w:trPr>
          <w:jc w:val="center"/>
        </w:trPr>
        <w:tc>
          <w:tcPr>
            <w:tcW w:w="2520" w:type="dxa"/>
            <w:shd w:val="clear" w:color="auto" w:fill="auto"/>
            <w:vAlign w:val="center"/>
          </w:tcPr>
          <w:p w14:paraId="125135CF"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Test ID</w:t>
            </w:r>
          </w:p>
        </w:tc>
        <w:tc>
          <w:tcPr>
            <w:tcW w:w="2520" w:type="dxa"/>
            <w:shd w:val="clear" w:color="auto" w:fill="auto"/>
            <w:vAlign w:val="center"/>
          </w:tcPr>
          <w:p w14:paraId="508A043D"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Scenario</w:t>
            </w:r>
          </w:p>
        </w:tc>
        <w:tc>
          <w:tcPr>
            <w:tcW w:w="2520" w:type="dxa"/>
            <w:shd w:val="clear" w:color="auto" w:fill="auto"/>
            <w:vAlign w:val="center"/>
          </w:tcPr>
          <w:p w14:paraId="59D18149"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Expected Result</w:t>
            </w:r>
          </w:p>
        </w:tc>
        <w:tc>
          <w:tcPr>
            <w:tcW w:w="2520" w:type="dxa"/>
            <w:shd w:val="clear" w:color="auto" w:fill="auto"/>
            <w:vAlign w:val="center"/>
          </w:tcPr>
          <w:p w14:paraId="5559A14A" w14:textId="77777777" w:rsidR="00872EC6" w:rsidRPr="00E26AF9" w:rsidRDefault="00BD46D4">
            <w:pPr>
              <w:rPr>
                <w:rFonts w:ascii="Times New Roman" w:hAnsi="Times New Roman" w:cs="Times New Roman"/>
                <w:szCs w:val="24"/>
              </w:rPr>
            </w:pPr>
            <w:r w:rsidRPr="00E26AF9">
              <w:rPr>
                <w:rFonts w:ascii="Times New Roman" w:hAnsi="Times New Roman" w:cs="Times New Roman"/>
                <w:b/>
                <w:szCs w:val="24"/>
              </w:rPr>
              <w:t>Guide-Supported Result</w:t>
            </w:r>
          </w:p>
        </w:tc>
      </w:tr>
      <w:tr w:rsidR="00E26AF9" w:rsidRPr="00E26AF9" w14:paraId="2ACA53B9" w14:textId="77777777" w:rsidTr="00E26AF9">
        <w:trPr>
          <w:jc w:val="center"/>
        </w:trPr>
        <w:tc>
          <w:tcPr>
            <w:tcW w:w="2520" w:type="dxa"/>
            <w:shd w:val="clear" w:color="auto" w:fill="auto"/>
            <w:vAlign w:val="center"/>
          </w:tcPr>
          <w:p w14:paraId="4F245EF7"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PT-01</w:t>
            </w:r>
          </w:p>
        </w:tc>
        <w:tc>
          <w:tcPr>
            <w:tcW w:w="2520" w:type="dxa"/>
            <w:shd w:val="clear" w:color="auto" w:fill="auto"/>
            <w:vAlign w:val="center"/>
          </w:tcPr>
          <w:p w14:paraId="415BFFF9"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 xml:space="preserve">Initial spreadsheet </w:t>
            </w:r>
            <w:proofErr w:type="gramStart"/>
            <w:r w:rsidRPr="00E26AF9">
              <w:rPr>
                <w:rFonts w:ascii="Times New Roman" w:hAnsi="Times New Roman" w:cs="Times New Roman"/>
                <w:szCs w:val="24"/>
              </w:rPr>
              <w:t>import</w:t>
            </w:r>
            <w:proofErr w:type="gramEnd"/>
            <w:r w:rsidRPr="00E26AF9">
              <w:rPr>
                <w:rFonts w:ascii="Times New Roman" w:hAnsi="Times New Roman" w:cs="Times New Roman"/>
                <w:szCs w:val="24"/>
              </w:rPr>
              <w:t xml:space="preserve"> and transform</w:t>
            </w:r>
          </w:p>
        </w:tc>
        <w:tc>
          <w:tcPr>
            <w:tcW w:w="2520" w:type="dxa"/>
            <w:shd w:val="clear" w:color="auto" w:fill="auto"/>
            <w:vAlign w:val="center"/>
          </w:tcPr>
          <w:p w14:paraId="0177CFEC"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Records are created in Employee Test.</w:t>
            </w:r>
          </w:p>
        </w:tc>
        <w:tc>
          <w:tcPr>
            <w:tcW w:w="2520" w:type="dxa"/>
            <w:shd w:val="clear" w:color="auto" w:fill="auto"/>
            <w:vAlign w:val="center"/>
          </w:tcPr>
          <w:p w14:paraId="6C7049C1"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Successful import and records created.</w:t>
            </w:r>
          </w:p>
        </w:tc>
      </w:tr>
      <w:tr w:rsidR="00E26AF9" w:rsidRPr="00E26AF9" w14:paraId="0304ABC7" w14:textId="77777777" w:rsidTr="00E26AF9">
        <w:trPr>
          <w:jc w:val="center"/>
        </w:trPr>
        <w:tc>
          <w:tcPr>
            <w:tcW w:w="2520" w:type="dxa"/>
            <w:shd w:val="clear" w:color="auto" w:fill="auto"/>
            <w:vAlign w:val="center"/>
          </w:tcPr>
          <w:p w14:paraId="2EFAA0B9"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PT-02</w:t>
            </w:r>
          </w:p>
        </w:tc>
        <w:tc>
          <w:tcPr>
            <w:tcW w:w="2520" w:type="dxa"/>
            <w:shd w:val="clear" w:color="auto" w:fill="auto"/>
            <w:vAlign w:val="center"/>
          </w:tcPr>
          <w:p w14:paraId="5FF49BBE"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 xml:space="preserve">Four-row repeat import with two new IDs and two changed </w:t>
            </w:r>
            <w:r w:rsidRPr="00E26AF9">
              <w:rPr>
                <w:rFonts w:ascii="Times New Roman" w:hAnsi="Times New Roman" w:cs="Times New Roman"/>
                <w:szCs w:val="24"/>
              </w:rPr>
              <w:t>existing records</w:t>
            </w:r>
          </w:p>
        </w:tc>
        <w:tc>
          <w:tcPr>
            <w:tcW w:w="2520" w:type="dxa"/>
            <w:shd w:val="clear" w:color="auto" w:fill="auto"/>
            <w:vAlign w:val="center"/>
          </w:tcPr>
          <w:p w14:paraId="4607AD40"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New IDs insert; matching IDs update.</w:t>
            </w:r>
          </w:p>
        </w:tc>
        <w:tc>
          <w:tcPr>
            <w:tcW w:w="2520" w:type="dxa"/>
            <w:shd w:val="clear" w:color="auto" w:fill="auto"/>
            <w:vAlign w:val="center"/>
          </w:tcPr>
          <w:p w14:paraId="2F8E594D"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2 inserted and 2 updated.</w:t>
            </w:r>
          </w:p>
        </w:tc>
      </w:tr>
      <w:tr w:rsidR="00E26AF9" w:rsidRPr="00E26AF9" w14:paraId="16C35048" w14:textId="77777777" w:rsidTr="00E26AF9">
        <w:trPr>
          <w:jc w:val="center"/>
        </w:trPr>
        <w:tc>
          <w:tcPr>
            <w:tcW w:w="2520" w:type="dxa"/>
            <w:shd w:val="clear" w:color="auto" w:fill="auto"/>
            <w:vAlign w:val="center"/>
          </w:tcPr>
          <w:p w14:paraId="653EABBC"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PT-03</w:t>
            </w:r>
          </w:p>
        </w:tc>
        <w:tc>
          <w:tcPr>
            <w:tcW w:w="2520" w:type="dxa"/>
            <w:shd w:val="clear" w:color="auto" w:fill="auto"/>
            <w:vAlign w:val="center"/>
          </w:tcPr>
          <w:p w14:paraId="304F3F37"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Repeat the same spreadsheet again</w:t>
            </w:r>
          </w:p>
        </w:tc>
        <w:tc>
          <w:tcPr>
            <w:tcW w:w="2520" w:type="dxa"/>
            <w:shd w:val="clear" w:color="auto" w:fill="auto"/>
            <w:vAlign w:val="center"/>
          </w:tcPr>
          <w:p w14:paraId="6B38EB62"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No new inserts or updates; rows are ignored as already matching.</w:t>
            </w:r>
          </w:p>
        </w:tc>
        <w:tc>
          <w:tcPr>
            <w:tcW w:w="2520" w:type="dxa"/>
            <w:shd w:val="clear" w:color="auto" w:fill="auto"/>
            <w:vAlign w:val="center"/>
          </w:tcPr>
          <w:p w14:paraId="01AAF69B"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4 ignored; 0 inserted and 0 updated.</w:t>
            </w:r>
          </w:p>
        </w:tc>
      </w:tr>
      <w:tr w:rsidR="00E26AF9" w:rsidRPr="00E26AF9" w14:paraId="53EA96B9" w14:textId="77777777" w:rsidTr="00E26AF9">
        <w:trPr>
          <w:jc w:val="center"/>
        </w:trPr>
        <w:tc>
          <w:tcPr>
            <w:tcW w:w="2520" w:type="dxa"/>
            <w:shd w:val="clear" w:color="auto" w:fill="auto"/>
            <w:vAlign w:val="center"/>
          </w:tcPr>
          <w:p w14:paraId="5DEBA7EF"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PT-04</w:t>
            </w:r>
          </w:p>
        </w:tc>
        <w:tc>
          <w:tcPr>
            <w:tcW w:w="2520" w:type="dxa"/>
            <w:shd w:val="clear" w:color="auto" w:fill="auto"/>
            <w:vAlign w:val="center"/>
          </w:tcPr>
          <w:p w14:paraId="34965B22"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Department report</w:t>
            </w:r>
          </w:p>
        </w:tc>
        <w:tc>
          <w:tcPr>
            <w:tcW w:w="2520" w:type="dxa"/>
            <w:shd w:val="clear" w:color="auto" w:fill="auto"/>
            <w:vAlign w:val="center"/>
          </w:tcPr>
          <w:p w14:paraId="073302FE"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Report groups Employee Test records by Department and counts them.</w:t>
            </w:r>
          </w:p>
        </w:tc>
        <w:tc>
          <w:tcPr>
            <w:tcW w:w="2520" w:type="dxa"/>
            <w:shd w:val="clear" w:color="auto" w:fill="auto"/>
            <w:vAlign w:val="center"/>
          </w:tcPr>
          <w:p w14:paraId="4B06835E"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Configured as documented.</w:t>
            </w:r>
          </w:p>
        </w:tc>
      </w:tr>
      <w:tr w:rsidR="00E26AF9" w:rsidRPr="00E26AF9" w14:paraId="297B5B53" w14:textId="77777777" w:rsidTr="00E26AF9">
        <w:trPr>
          <w:jc w:val="center"/>
        </w:trPr>
        <w:tc>
          <w:tcPr>
            <w:tcW w:w="2520" w:type="dxa"/>
            <w:shd w:val="clear" w:color="auto" w:fill="auto"/>
            <w:vAlign w:val="center"/>
          </w:tcPr>
          <w:p w14:paraId="69A50E6C"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PT-05</w:t>
            </w:r>
          </w:p>
        </w:tc>
        <w:tc>
          <w:tcPr>
            <w:tcW w:w="2520" w:type="dxa"/>
            <w:shd w:val="clear" w:color="auto" w:fill="auto"/>
            <w:vAlign w:val="center"/>
          </w:tcPr>
          <w:p w14:paraId="7C272F8E"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Location report</w:t>
            </w:r>
          </w:p>
        </w:tc>
        <w:tc>
          <w:tcPr>
            <w:tcW w:w="2520" w:type="dxa"/>
            <w:shd w:val="clear" w:color="auto" w:fill="auto"/>
            <w:vAlign w:val="center"/>
          </w:tcPr>
          <w:p w14:paraId="06585120"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Report groups records by Location and counts them.</w:t>
            </w:r>
          </w:p>
        </w:tc>
        <w:tc>
          <w:tcPr>
            <w:tcW w:w="2520" w:type="dxa"/>
            <w:shd w:val="clear" w:color="auto" w:fill="auto"/>
            <w:vAlign w:val="center"/>
          </w:tcPr>
          <w:p w14:paraId="052CF9E4"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Configured as documented.</w:t>
            </w:r>
          </w:p>
        </w:tc>
      </w:tr>
      <w:tr w:rsidR="00E26AF9" w:rsidRPr="00E26AF9" w14:paraId="05775335" w14:textId="77777777" w:rsidTr="00E26AF9">
        <w:trPr>
          <w:jc w:val="center"/>
        </w:trPr>
        <w:tc>
          <w:tcPr>
            <w:tcW w:w="2520" w:type="dxa"/>
            <w:shd w:val="clear" w:color="auto" w:fill="auto"/>
            <w:vAlign w:val="center"/>
          </w:tcPr>
          <w:p w14:paraId="7C6B3B2B"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PT-06</w:t>
            </w:r>
          </w:p>
        </w:tc>
        <w:tc>
          <w:tcPr>
            <w:tcW w:w="2520" w:type="dxa"/>
            <w:shd w:val="clear" w:color="auto" w:fill="auto"/>
            <w:vAlign w:val="center"/>
          </w:tcPr>
          <w:p w14:paraId="38C9CD6B"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Employee list report</w:t>
            </w:r>
          </w:p>
        </w:tc>
        <w:tc>
          <w:tcPr>
            <w:tcW w:w="2520" w:type="dxa"/>
            <w:shd w:val="clear" w:color="auto" w:fill="auto"/>
            <w:vAlign w:val="center"/>
          </w:tcPr>
          <w:p w14:paraId="30DA51D2"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List shows the five required employ</w:t>
            </w:r>
            <w:r w:rsidRPr="00E26AF9">
              <w:rPr>
                <w:rFonts w:ascii="Times New Roman" w:hAnsi="Times New Roman" w:cs="Times New Roman"/>
                <w:szCs w:val="24"/>
              </w:rPr>
              <w:t>ee columns.</w:t>
            </w:r>
          </w:p>
        </w:tc>
        <w:tc>
          <w:tcPr>
            <w:tcW w:w="2520" w:type="dxa"/>
            <w:shd w:val="clear" w:color="auto" w:fill="auto"/>
            <w:vAlign w:val="center"/>
          </w:tcPr>
          <w:p w14:paraId="4281B7DC" w14:textId="77777777" w:rsidR="00872EC6" w:rsidRPr="00E26AF9" w:rsidRDefault="00BD46D4">
            <w:pPr>
              <w:rPr>
                <w:rFonts w:ascii="Times New Roman" w:hAnsi="Times New Roman" w:cs="Times New Roman"/>
                <w:szCs w:val="24"/>
              </w:rPr>
            </w:pPr>
            <w:r w:rsidRPr="00E26AF9">
              <w:rPr>
                <w:rFonts w:ascii="Times New Roman" w:hAnsi="Times New Roman" w:cs="Times New Roman"/>
                <w:szCs w:val="24"/>
              </w:rPr>
              <w:t>Configured as documented.</w:t>
            </w:r>
          </w:p>
        </w:tc>
      </w:tr>
    </w:tbl>
    <w:p w14:paraId="54505B93"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3. Performance Measurement Limitation</w:t>
      </w:r>
    </w:p>
    <w:p w14:paraId="29D604D9" w14:textId="77777777" w:rsidR="00872EC6" w:rsidRPr="00E26AF9" w:rsidRDefault="00BD46D4">
      <w:pPr>
        <w:rPr>
          <w:rFonts w:ascii="Times New Roman" w:hAnsi="Times New Roman" w:cs="Times New Roman"/>
        </w:rPr>
      </w:pPr>
      <w:r w:rsidRPr="00E26AF9">
        <w:rPr>
          <w:rFonts w:ascii="Times New Roman" w:hAnsi="Times New Roman" w:cs="Times New Roman"/>
        </w:rPr>
        <w:t xml:space="preserve">No numerical response-time, throughput, concurrency, CPU, memory, or scalability benchmark is provided in the guide. The documented evidence is therefore limited to import </w:t>
      </w:r>
      <w:r w:rsidRPr="00E26AF9">
        <w:rPr>
          <w:rFonts w:ascii="Times New Roman" w:hAnsi="Times New Roman" w:cs="Times New Roman"/>
        </w:rPr>
        <w:t>outcomes and workflow validation.</w:t>
      </w:r>
    </w:p>
    <w:p w14:paraId="1284C8A2"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4. Test Strategy</w:t>
      </w:r>
    </w:p>
    <w:p w14:paraId="0B11B37D" w14:textId="77777777" w:rsidR="00872EC6" w:rsidRPr="00E26AF9" w:rsidRDefault="00BD46D4">
      <w:pPr>
        <w:spacing w:after="120"/>
        <w:rPr>
          <w:rFonts w:ascii="Times New Roman" w:hAnsi="Times New Roman" w:cs="Times New Roman"/>
        </w:rPr>
      </w:pPr>
      <w:r w:rsidRPr="00E26AF9">
        <w:rPr>
          <w:rFonts w:ascii="Times New Roman" w:hAnsi="Times New Roman" w:cs="Times New Roman"/>
        </w:rPr>
        <w:t>The project guide provides functional evidence of import and transformation outcomes rather than numerical performance measurements. The test strategy therefore concentrates on repeatability, correctness o</w:t>
      </w:r>
      <w:r w:rsidRPr="00E26AF9">
        <w:rPr>
          <w:rFonts w:ascii="Times New Roman" w:hAnsi="Times New Roman" w:cs="Times New Roman"/>
        </w:rPr>
        <w:t>f record handling, and the ability of the reporting layer to operate on the resulting target data.</w:t>
      </w:r>
    </w:p>
    <w:p w14:paraId="411F8492"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lastRenderedPageBreak/>
        <w:t>5. Detailed Test Procedure</w:t>
      </w:r>
    </w:p>
    <w:p w14:paraId="712DBDC9" w14:textId="77777777" w:rsidR="00872EC6" w:rsidRPr="00E26AF9" w:rsidRDefault="00BD46D4">
      <w:pPr>
        <w:spacing w:after="120"/>
        <w:rPr>
          <w:rFonts w:ascii="Times New Roman" w:hAnsi="Times New Roman" w:cs="Times New Roman"/>
        </w:rPr>
      </w:pPr>
      <w:r w:rsidRPr="00E26AF9">
        <w:rPr>
          <w:rFonts w:ascii="Times New Roman" w:hAnsi="Times New Roman" w:cs="Times New Roman"/>
        </w:rPr>
        <w:t>For the initial import, the spreadsheet is loaded into Employee Import and the Transform Map is executed. For repeat-import testin</w:t>
      </w:r>
      <w:r w:rsidRPr="00E26AF9">
        <w:rPr>
          <w:rFonts w:ascii="Times New Roman" w:hAnsi="Times New Roman" w:cs="Times New Roman"/>
        </w:rPr>
        <w:t>g, the guide uses four rows containing two new employee IDs and two existing IDs with changed values. The transform history is then reviewed. The same spreadsheet is subsequently submitted again to verify that previously handled rows are ignored.</w:t>
      </w:r>
    </w:p>
    <w:p w14:paraId="02D6C5AE"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 xml:space="preserve">6. </w:t>
      </w:r>
      <w:r w:rsidRPr="00E26AF9">
        <w:rPr>
          <w:rFonts w:ascii="Times New Roman" w:hAnsi="Times New Roman" w:cs="Times New Roman"/>
          <w:sz w:val="24"/>
        </w:rPr>
        <w:t>Result Interpretation</w:t>
      </w:r>
    </w:p>
    <w:p w14:paraId="046A48DB" w14:textId="77777777" w:rsidR="00872EC6" w:rsidRPr="00E26AF9" w:rsidRDefault="00BD46D4">
      <w:pPr>
        <w:spacing w:after="120"/>
        <w:rPr>
          <w:rFonts w:ascii="Times New Roman" w:hAnsi="Times New Roman" w:cs="Times New Roman"/>
        </w:rPr>
      </w:pPr>
      <w:r w:rsidRPr="00E26AF9">
        <w:rPr>
          <w:rFonts w:ascii="Times New Roman" w:hAnsi="Times New Roman" w:cs="Times New Roman"/>
        </w:rPr>
        <w:t>The documented 2-insert/2-update result demonstrates that Coalesce can distinguish new records from matching records when the imported values differ. The later 4-ignored result demonstrates the behavior when the exact same sheet is su</w:t>
      </w:r>
      <w:r w:rsidRPr="00E26AF9">
        <w:rPr>
          <w:rFonts w:ascii="Times New Roman" w:hAnsi="Times New Roman" w:cs="Times New Roman"/>
        </w:rPr>
        <w:t>bmitted again.</w:t>
      </w:r>
    </w:p>
    <w:p w14:paraId="7C79A637"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7. What Was Not Measured</w:t>
      </w:r>
    </w:p>
    <w:p w14:paraId="61EA86B4" w14:textId="77777777" w:rsidR="00872EC6" w:rsidRPr="00E26AF9" w:rsidRDefault="00BD46D4">
      <w:pPr>
        <w:spacing w:after="120"/>
        <w:rPr>
          <w:rFonts w:ascii="Times New Roman" w:hAnsi="Times New Roman" w:cs="Times New Roman"/>
        </w:rPr>
      </w:pPr>
      <w:r w:rsidRPr="00E26AF9">
        <w:rPr>
          <w:rFonts w:ascii="Times New Roman" w:hAnsi="Times New Roman" w:cs="Times New Roman"/>
        </w:rPr>
        <w:t>The guide contains no measured response time, maximum rows per import, throughput per minute, concurrent-user test, memory consumption, CPU utilization, or load-test results. These should not be inferred from the fun</w:t>
      </w:r>
      <w:r w:rsidRPr="00E26AF9">
        <w:rPr>
          <w:rFonts w:ascii="Times New Roman" w:hAnsi="Times New Roman" w:cs="Times New Roman"/>
        </w:rPr>
        <w:t>ctional results.</w:t>
      </w:r>
    </w:p>
    <w:p w14:paraId="7D3E8652" w14:textId="77777777" w:rsidR="00872EC6" w:rsidRPr="00E26AF9" w:rsidRDefault="00BD46D4" w:rsidP="00E26AF9">
      <w:pPr>
        <w:pStyle w:val="Heading1"/>
        <w:spacing w:line="360" w:lineRule="auto"/>
        <w:rPr>
          <w:rFonts w:ascii="Times New Roman" w:hAnsi="Times New Roman" w:cs="Times New Roman"/>
        </w:rPr>
      </w:pPr>
      <w:r w:rsidRPr="00E26AF9">
        <w:rPr>
          <w:rFonts w:ascii="Times New Roman" w:hAnsi="Times New Roman" w:cs="Times New Roman"/>
          <w:sz w:val="24"/>
        </w:rPr>
        <w:t>8. Recommendations for Future Measurement</w:t>
      </w:r>
    </w:p>
    <w:p w14:paraId="62B3FD4F" w14:textId="77777777" w:rsidR="00872EC6" w:rsidRPr="00E26AF9" w:rsidRDefault="00BD46D4">
      <w:pPr>
        <w:spacing w:after="120"/>
        <w:rPr>
          <w:rFonts w:ascii="Times New Roman" w:hAnsi="Times New Roman" w:cs="Times New Roman"/>
        </w:rPr>
      </w:pPr>
      <w:r w:rsidRPr="00E26AF9">
        <w:rPr>
          <w:rFonts w:ascii="Times New Roman" w:hAnsi="Times New Roman" w:cs="Times New Roman"/>
        </w:rPr>
        <w:t>If formal performance testing is later required, the project could record import duration, transformation duration, row counts, error counts, and results across increasing spreadsheet sizes. Such m</w:t>
      </w:r>
      <w:r w:rsidRPr="00E26AF9">
        <w:rPr>
          <w:rFonts w:ascii="Times New Roman" w:hAnsi="Times New Roman" w:cs="Times New Roman"/>
        </w:rPr>
        <w:t>easurements would be additional testing beyond the evidence supplied in the current guide.</w:t>
      </w:r>
    </w:p>
    <w:sectPr w:rsidR="00872EC6" w:rsidRPr="00E26AF9" w:rsidSect="00E26AF9">
      <w:footerReference w:type="default" r:id="rId8"/>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70A3D" w14:textId="77777777" w:rsidR="00BD46D4" w:rsidRDefault="00BD46D4">
      <w:pPr>
        <w:spacing w:after="0" w:line="240" w:lineRule="auto"/>
        <w:rPr>
          <w:rFonts w:hint="eastAsia"/>
        </w:rPr>
      </w:pPr>
      <w:r>
        <w:separator/>
      </w:r>
    </w:p>
  </w:endnote>
  <w:endnote w:type="continuationSeparator" w:id="0">
    <w:p w14:paraId="7D3F5933" w14:textId="77777777" w:rsidR="00BD46D4" w:rsidRDefault="00BD46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99CFF" w14:textId="3739655F" w:rsidR="00872EC6" w:rsidRDefault="00872EC6">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31A27" w14:textId="77777777" w:rsidR="00BD46D4" w:rsidRDefault="00BD46D4">
      <w:pPr>
        <w:spacing w:after="0" w:line="240" w:lineRule="auto"/>
        <w:rPr>
          <w:rFonts w:hint="eastAsia"/>
        </w:rPr>
      </w:pPr>
      <w:r>
        <w:separator/>
      </w:r>
    </w:p>
  </w:footnote>
  <w:footnote w:type="continuationSeparator" w:id="0">
    <w:p w14:paraId="1DC3ED07" w14:textId="77777777" w:rsidR="00BD46D4" w:rsidRDefault="00BD46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EC6"/>
    <w:rsid w:val="00AA1D8D"/>
    <w:rsid w:val="00B47730"/>
    <w:rsid w:val="00BD46D4"/>
    <w:rsid w:val="00CB0664"/>
    <w:rsid w:val="00E26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66342"/>
  <w14:defaultImageDpi w14:val="300"/>
  <w15:docId w15:val="{5E0B387E-7AD9-46A0-B59F-FFF37309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2026-10-01T01:19:00Z</dcterms:modified>
  <cp:category/>
</cp:coreProperties>
</file>