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A997" w14:textId="77777777" w:rsidR="00EC2518" w:rsidRPr="00CD4998" w:rsidRDefault="00535E24">
      <w:pPr>
        <w:pStyle w:val="Title"/>
        <w:jc w:val="center"/>
        <w:rPr>
          <w:rFonts w:ascii="Times New Roman" w:hAnsi="Times New Roman" w:cs="Times New Roman"/>
          <w:sz w:val="52"/>
          <w:szCs w:val="72"/>
        </w:rPr>
      </w:pPr>
      <w:r w:rsidRPr="00CD4998">
        <w:rPr>
          <w:rFonts w:ascii="Times New Roman" w:hAnsi="Times New Roman" w:cs="Times New Roman"/>
          <w:sz w:val="32"/>
          <w:szCs w:val="72"/>
        </w:rPr>
        <w:t>Project Development Phase</w:t>
      </w:r>
    </w:p>
    <w:p w14:paraId="4468E3CB" w14:textId="08FF38EC" w:rsidR="00EC2518" w:rsidRPr="00CD4998" w:rsidRDefault="00535E24" w:rsidP="00CD4998">
      <w:pPr>
        <w:jc w:val="center"/>
        <w:rPr>
          <w:rFonts w:ascii="Times New Roman" w:hAnsi="Times New Roman" w:cs="Times New Roman"/>
          <w:sz w:val="28"/>
          <w:szCs w:val="24"/>
        </w:rPr>
      </w:pPr>
      <w:r w:rsidRPr="00CD4998">
        <w:rPr>
          <w:rFonts w:ascii="Times New Roman" w:hAnsi="Times New Roman" w:cs="Times New Roman"/>
          <w:b/>
          <w:sz w:val="28"/>
          <w:szCs w:val="24"/>
        </w:rPr>
        <w:t>UAT Execution Report</w:t>
      </w:r>
    </w:p>
    <w:tbl>
      <w:tblPr>
        <w:tblStyle w:val="TableGrid"/>
        <w:tblW w:w="0" w:type="auto"/>
        <w:jc w:val="center"/>
        <w:tblLook w:val="04A0" w:firstRow="1" w:lastRow="0" w:firstColumn="1" w:lastColumn="0" w:noHBand="0" w:noVBand="1"/>
      </w:tblPr>
      <w:tblGrid>
        <w:gridCol w:w="5040"/>
        <w:gridCol w:w="5040"/>
      </w:tblGrid>
      <w:tr w:rsidR="00CD4998" w:rsidRPr="00CD4998" w14:paraId="3AE2FAE6" w14:textId="77777777" w:rsidTr="00CD4998">
        <w:trPr>
          <w:jc w:val="center"/>
        </w:trPr>
        <w:tc>
          <w:tcPr>
            <w:tcW w:w="5040" w:type="dxa"/>
            <w:shd w:val="clear" w:color="auto" w:fill="auto"/>
            <w:vAlign w:val="center"/>
          </w:tcPr>
          <w:p w14:paraId="06F7BDCA"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Team ID</w:t>
            </w:r>
          </w:p>
        </w:tc>
        <w:tc>
          <w:tcPr>
            <w:tcW w:w="5040" w:type="dxa"/>
            <w:shd w:val="clear" w:color="auto" w:fill="auto"/>
            <w:vAlign w:val="center"/>
          </w:tcPr>
          <w:p w14:paraId="69389618"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6ab7f27c8c7c66e7067292d1</w:t>
            </w:r>
          </w:p>
        </w:tc>
      </w:tr>
      <w:tr w:rsidR="00CD4998" w:rsidRPr="00CD4998" w14:paraId="098BE261" w14:textId="77777777" w:rsidTr="00CD4998">
        <w:trPr>
          <w:jc w:val="center"/>
        </w:trPr>
        <w:tc>
          <w:tcPr>
            <w:tcW w:w="5040" w:type="dxa"/>
            <w:shd w:val="clear" w:color="auto" w:fill="auto"/>
            <w:vAlign w:val="center"/>
          </w:tcPr>
          <w:p w14:paraId="30C01DC6"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Team Leader</w:t>
            </w:r>
          </w:p>
        </w:tc>
        <w:tc>
          <w:tcPr>
            <w:tcW w:w="5040" w:type="dxa"/>
            <w:shd w:val="clear" w:color="auto" w:fill="auto"/>
            <w:vAlign w:val="center"/>
          </w:tcPr>
          <w:p w14:paraId="55431510"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Gowsik Raja S</w:t>
            </w:r>
          </w:p>
        </w:tc>
      </w:tr>
      <w:tr w:rsidR="00CD4998" w:rsidRPr="00CD4998" w14:paraId="16EB4B87" w14:textId="77777777" w:rsidTr="00CD4998">
        <w:trPr>
          <w:jc w:val="center"/>
        </w:trPr>
        <w:tc>
          <w:tcPr>
            <w:tcW w:w="5040" w:type="dxa"/>
            <w:shd w:val="clear" w:color="auto" w:fill="auto"/>
            <w:vAlign w:val="center"/>
          </w:tcPr>
          <w:p w14:paraId="5678555D"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Team Members</w:t>
            </w:r>
          </w:p>
        </w:tc>
        <w:tc>
          <w:tcPr>
            <w:tcW w:w="5040" w:type="dxa"/>
            <w:shd w:val="clear" w:color="auto" w:fill="auto"/>
            <w:vAlign w:val="center"/>
          </w:tcPr>
          <w:p w14:paraId="616FBE7A"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Shrija M; Swetha M; Sivaram A</w:t>
            </w:r>
          </w:p>
        </w:tc>
      </w:tr>
    </w:tbl>
    <w:p w14:paraId="77F79ACC"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t>1. Execution Record</w:t>
      </w:r>
    </w:p>
    <w:p w14:paraId="70FA8D27" w14:textId="77777777" w:rsidR="00EC2518" w:rsidRPr="00CD4998" w:rsidRDefault="00535E24">
      <w:pPr>
        <w:rPr>
          <w:rFonts w:ascii="Times New Roman" w:hAnsi="Times New Roman" w:cs="Times New Roman"/>
        </w:rPr>
      </w:pPr>
      <w:r w:rsidRPr="00CD4998">
        <w:rPr>
          <w:rFonts w:ascii="Times New Roman" w:hAnsi="Times New Roman" w:cs="Times New Roman"/>
        </w:rPr>
        <w:t>The following execution record translates the project-guide workflow into a repeatable UAT sequence. It should be used alongside the screenshots/evidence in the Project Demonstration section.</w:t>
      </w:r>
    </w:p>
    <w:tbl>
      <w:tblPr>
        <w:tblStyle w:val="TableGrid"/>
        <w:tblW w:w="0" w:type="auto"/>
        <w:jc w:val="center"/>
        <w:tblLook w:val="04A0" w:firstRow="1" w:lastRow="0" w:firstColumn="1" w:lastColumn="0" w:noHBand="0" w:noVBand="1"/>
      </w:tblPr>
      <w:tblGrid>
        <w:gridCol w:w="2520"/>
        <w:gridCol w:w="2520"/>
        <w:gridCol w:w="2520"/>
        <w:gridCol w:w="2520"/>
      </w:tblGrid>
      <w:tr w:rsidR="00CD4998" w:rsidRPr="00CD4998" w14:paraId="15E3319A" w14:textId="77777777" w:rsidTr="00CD4998">
        <w:trPr>
          <w:jc w:val="center"/>
        </w:trPr>
        <w:tc>
          <w:tcPr>
            <w:tcW w:w="2520" w:type="dxa"/>
            <w:shd w:val="clear" w:color="auto" w:fill="auto"/>
            <w:vAlign w:val="center"/>
          </w:tcPr>
          <w:p w14:paraId="5705F38C"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Step</w:t>
            </w:r>
          </w:p>
        </w:tc>
        <w:tc>
          <w:tcPr>
            <w:tcW w:w="2520" w:type="dxa"/>
            <w:shd w:val="clear" w:color="auto" w:fill="auto"/>
            <w:vAlign w:val="center"/>
          </w:tcPr>
          <w:p w14:paraId="1A5D2EBC"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Exe</w:t>
            </w:r>
            <w:r w:rsidRPr="00CD4998">
              <w:rPr>
                <w:rFonts w:ascii="Times New Roman" w:hAnsi="Times New Roman" w:cs="Times New Roman"/>
                <w:b/>
                <w:szCs w:val="24"/>
              </w:rPr>
              <w:t>cution Action</w:t>
            </w:r>
          </w:p>
        </w:tc>
        <w:tc>
          <w:tcPr>
            <w:tcW w:w="2520" w:type="dxa"/>
            <w:shd w:val="clear" w:color="auto" w:fill="auto"/>
            <w:vAlign w:val="center"/>
          </w:tcPr>
          <w:p w14:paraId="03D692DB"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Evidence to Check</w:t>
            </w:r>
          </w:p>
        </w:tc>
        <w:tc>
          <w:tcPr>
            <w:tcW w:w="2520" w:type="dxa"/>
            <w:shd w:val="clear" w:color="auto" w:fill="auto"/>
            <w:vAlign w:val="center"/>
          </w:tcPr>
          <w:p w14:paraId="59CC83A5" w14:textId="77777777" w:rsidR="00EC2518" w:rsidRPr="00CD4998" w:rsidRDefault="00535E24">
            <w:pPr>
              <w:rPr>
                <w:rFonts w:ascii="Times New Roman" w:hAnsi="Times New Roman" w:cs="Times New Roman"/>
                <w:szCs w:val="24"/>
              </w:rPr>
            </w:pPr>
            <w:r w:rsidRPr="00CD4998">
              <w:rPr>
                <w:rFonts w:ascii="Times New Roman" w:hAnsi="Times New Roman" w:cs="Times New Roman"/>
                <w:b/>
                <w:szCs w:val="24"/>
              </w:rPr>
              <w:t>Outcome</w:t>
            </w:r>
          </w:p>
        </w:tc>
      </w:tr>
      <w:tr w:rsidR="00CD4998" w:rsidRPr="00CD4998" w14:paraId="0C5F38A7" w14:textId="77777777" w:rsidTr="00CD4998">
        <w:trPr>
          <w:jc w:val="center"/>
        </w:trPr>
        <w:tc>
          <w:tcPr>
            <w:tcW w:w="2520" w:type="dxa"/>
            <w:shd w:val="clear" w:color="auto" w:fill="auto"/>
            <w:vAlign w:val="center"/>
          </w:tcPr>
          <w:p w14:paraId="47F2A08F"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1</w:t>
            </w:r>
          </w:p>
        </w:tc>
        <w:tc>
          <w:tcPr>
            <w:tcW w:w="2520" w:type="dxa"/>
            <w:shd w:val="clear" w:color="auto" w:fill="auto"/>
            <w:vAlign w:val="center"/>
          </w:tcPr>
          <w:p w14:paraId="42066FF5"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Prepare Sample Spreadsheet.xlsx</w:t>
            </w:r>
          </w:p>
        </w:tc>
        <w:tc>
          <w:tcPr>
            <w:tcW w:w="2520" w:type="dxa"/>
            <w:shd w:val="clear" w:color="auto" w:fill="auto"/>
            <w:vAlign w:val="center"/>
          </w:tcPr>
          <w:p w14:paraId="0C01D3F6"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Spreadsheet contains employee fields/data.</w:t>
            </w:r>
          </w:p>
        </w:tc>
        <w:tc>
          <w:tcPr>
            <w:tcW w:w="2520" w:type="dxa"/>
            <w:shd w:val="clear" w:color="auto" w:fill="auto"/>
            <w:vAlign w:val="center"/>
          </w:tcPr>
          <w:p w14:paraId="3D2D428F"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r w:rsidR="00CD4998" w:rsidRPr="00CD4998" w14:paraId="466C526D" w14:textId="77777777" w:rsidTr="00CD4998">
        <w:trPr>
          <w:jc w:val="center"/>
        </w:trPr>
        <w:tc>
          <w:tcPr>
            <w:tcW w:w="2520" w:type="dxa"/>
            <w:shd w:val="clear" w:color="auto" w:fill="auto"/>
            <w:vAlign w:val="center"/>
          </w:tcPr>
          <w:p w14:paraId="3C0D03D5"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2</w:t>
            </w:r>
          </w:p>
        </w:tc>
        <w:tc>
          <w:tcPr>
            <w:tcW w:w="2520" w:type="dxa"/>
            <w:shd w:val="clear" w:color="auto" w:fill="auto"/>
            <w:vAlign w:val="center"/>
          </w:tcPr>
          <w:p w14:paraId="5A58DFD0"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Create Employee Test</w:t>
            </w:r>
          </w:p>
        </w:tc>
        <w:tc>
          <w:tcPr>
            <w:tcW w:w="2520" w:type="dxa"/>
            <w:shd w:val="clear" w:color="auto" w:fill="auto"/>
            <w:vAlign w:val="center"/>
          </w:tcPr>
          <w:p w14:paraId="1E8F1BCF"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Target fields exist and are visible.</w:t>
            </w:r>
          </w:p>
        </w:tc>
        <w:tc>
          <w:tcPr>
            <w:tcW w:w="2520" w:type="dxa"/>
            <w:shd w:val="clear" w:color="auto" w:fill="auto"/>
            <w:vAlign w:val="center"/>
          </w:tcPr>
          <w:p w14:paraId="732AA797"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r w:rsidR="00CD4998" w:rsidRPr="00CD4998" w14:paraId="229F99F1" w14:textId="77777777" w:rsidTr="00CD4998">
        <w:trPr>
          <w:jc w:val="center"/>
        </w:trPr>
        <w:tc>
          <w:tcPr>
            <w:tcW w:w="2520" w:type="dxa"/>
            <w:shd w:val="clear" w:color="auto" w:fill="auto"/>
            <w:vAlign w:val="center"/>
          </w:tcPr>
          <w:p w14:paraId="44A30221"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3</w:t>
            </w:r>
          </w:p>
        </w:tc>
        <w:tc>
          <w:tcPr>
            <w:tcW w:w="2520" w:type="dxa"/>
            <w:shd w:val="clear" w:color="auto" w:fill="auto"/>
            <w:vAlign w:val="center"/>
          </w:tcPr>
          <w:p w14:paraId="3C95805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Load Employee Import</w:t>
            </w:r>
          </w:p>
        </w:tc>
        <w:tc>
          <w:tcPr>
            <w:tcW w:w="2520" w:type="dxa"/>
            <w:shd w:val="clear" w:color="auto" w:fill="auto"/>
            <w:vAlign w:val="center"/>
          </w:tcPr>
          <w:p w14:paraId="4E6A1121"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Import Set state and success message.</w:t>
            </w:r>
          </w:p>
        </w:tc>
        <w:tc>
          <w:tcPr>
            <w:tcW w:w="2520" w:type="dxa"/>
            <w:shd w:val="clear" w:color="auto" w:fill="auto"/>
            <w:vAlign w:val="center"/>
          </w:tcPr>
          <w:p w14:paraId="561FF24F"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 Success documented.</w:t>
            </w:r>
          </w:p>
        </w:tc>
      </w:tr>
      <w:tr w:rsidR="00CD4998" w:rsidRPr="00CD4998" w14:paraId="71354795" w14:textId="77777777" w:rsidTr="00CD4998">
        <w:trPr>
          <w:jc w:val="center"/>
        </w:trPr>
        <w:tc>
          <w:tcPr>
            <w:tcW w:w="2520" w:type="dxa"/>
            <w:shd w:val="clear" w:color="auto" w:fill="auto"/>
            <w:vAlign w:val="center"/>
          </w:tcPr>
          <w:p w14:paraId="5FE172D6"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4</w:t>
            </w:r>
          </w:p>
        </w:tc>
        <w:tc>
          <w:tcPr>
            <w:tcW w:w="2520" w:type="dxa"/>
            <w:shd w:val="clear" w:color="auto" w:fill="auto"/>
            <w:vAlign w:val="center"/>
          </w:tcPr>
          <w:p w14:paraId="66FF7619"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Create Sample Spreadsheet Import</w:t>
            </w:r>
          </w:p>
        </w:tc>
        <w:tc>
          <w:tcPr>
            <w:tcW w:w="2520" w:type="dxa"/>
            <w:shd w:val="clear" w:color="auto" w:fill="auto"/>
            <w:vAlign w:val="center"/>
          </w:tcPr>
          <w:p w14:paraId="71628EA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Source and target tables are correct.</w:t>
            </w:r>
          </w:p>
        </w:tc>
        <w:tc>
          <w:tcPr>
            <w:tcW w:w="2520" w:type="dxa"/>
            <w:shd w:val="clear" w:color="auto" w:fill="auto"/>
            <w:vAlign w:val="center"/>
          </w:tcPr>
          <w:p w14:paraId="6D084468"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r w:rsidR="00CD4998" w:rsidRPr="00CD4998" w14:paraId="10734DF2" w14:textId="77777777" w:rsidTr="00CD4998">
        <w:trPr>
          <w:jc w:val="center"/>
        </w:trPr>
        <w:tc>
          <w:tcPr>
            <w:tcW w:w="2520" w:type="dxa"/>
            <w:shd w:val="clear" w:color="auto" w:fill="auto"/>
            <w:vAlign w:val="center"/>
          </w:tcPr>
          <w:p w14:paraId="24081E6F"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5</w:t>
            </w:r>
          </w:p>
        </w:tc>
        <w:tc>
          <w:tcPr>
            <w:tcW w:w="2520" w:type="dxa"/>
            <w:shd w:val="clear" w:color="auto" w:fill="auto"/>
            <w:vAlign w:val="center"/>
          </w:tcPr>
          <w:p w14:paraId="6684532D"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Map fields and transform</w:t>
            </w:r>
          </w:p>
        </w:tc>
        <w:tc>
          <w:tcPr>
            <w:tcW w:w="2520" w:type="dxa"/>
            <w:shd w:val="clear" w:color="auto" w:fill="auto"/>
            <w:vAlign w:val="center"/>
          </w:tcPr>
          <w:p w14:paraId="7D77D0CB"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Transform success and target records.</w:t>
            </w:r>
          </w:p>
        </w:tc>
        <w:tc>
          <w:tcPr>
            <w:tcW w:w="2520" w:type="dxa"/>
            <w:shd w:val="clear" w:color="auto" w:fill="auto"/>
            <w:vAlign w:val="center"/>
          </w:tcPr>
          <w:p w14:paraId="7891E7B7"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 xml:space="preserve">Completed / </w:t>
            </w:r>
            <w:r w:rsidRPr="00CD4998">
              <w:rPr>
                <w:rFonts w:ascii="Times New Roman" w:hAnsi="Times New Roman" w:cs="Times New Roman"/>
                <w:szCs w:val="24"/>
              </w:rPr>
              <w:t>Success documented.</w:t>
            </w:r>
          </w:p>
        </w:tc>
      </w:tr>
      <w:tr w:rsidR="00CD4998" w:rsidRPr="00CD4998" w14:paraId="172D83B3" w14:textId="77777777" w:rsidTr="00CD4998">
        <w:trPr>
          <w:jc w:val="center"/>
        </w:trPr>
        <w:tc>
          <w:tcPr>
            <w:tcW w:w="2520" w:type="dxa"/>
            <w:shd w:val="clear" w:color="auto" w:fill="auto"/>
            <w:vAlign w:val="center"/>
          </w:tcPr>
          <w:p w14:paraId="3281F722"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6</w:t>
            </w:r>
          </w:p>
        </w:tc>
        <w:tc>
          <w:tcPr>
            <w:tcW w:w="2520" w:type="dxa"/>
            <w:shd w:val="clear" w:color="auto" w:fill="auto"/>
            <w:vAlign w:val="center"/>
          </w:tcPr>
          <w:p w14:paraId="3EF2B25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Enable Coalesce</w:t>
            </w:r>
          </w:p>
        </w:tc>
        <w:tc>
          <w:tcPr>
            <w:tcW w:w="2520" w:type="dxa"/>
            <w:shd w:val="clear" w:color="auto" w:fill="auto"/>
            <w:vAlign w:val="center"/>
          </w:tcPr>
          <w:p w14:paraId="7FB1598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Selected field map shows Coalesce=True.</w:t>
            </w:r>
          </w:p>
        </w:tc>
        <w:tc>
          <w:tcPr>
            <w:tcW w:w="2520" w:type="dxa"/>
            <w:shd w:val="clear" w:color="auto" w:fill="auto"/>
            <w:vAlign w:val="center"/>
          </w:tcPr>
          <w:p w14:paraId="51C53FCD"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r w:rsidR="00CD4998" w:rsidRPr="00CD4998" w14:paraId="0DAA7E1B" w14:textId="77777777" w:rsidTr="00CD4998">
        <w:trPr>
          <w:jc w:val="center"/>
        </w:trPr>
        <w:tc>
          <w:tcPr>
            <w:tcW w:w="2520" w:type="dxa"/>
            <w:shd w:val="clear" w:color="auto" w:fill="auto"/>
            <w:vAlign w:val="center"/>
          </w:tcPr>
          <w:p w14:paraId="482236E7"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7</w:t>
            </w:r>
          </w:p>
        </w:tc>
        <w:tc>
          <w:tcPr>
            <w:tcW w:w="2520" w:type="dxa"/>
            <w:shd w:val="clear" w:color="auto" w:fill="auto"/>
            <w:vAlign w:val="center"/>
          </w:tcPr>
          <w:p w14:paraId="63A123B1"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Import changed/new rows</w:t>
            </w:r>
          </w:p>
        </w:tc>
        <w:tc>
          <w:tcPr>
            <w:tcW w:w="2520" w:type="dxa"/>
            <w:shd w:val="clear" w:color="auto" w:fill="auto"/>
            <w:vAlign w:val="center"/>
          </w:tcPr>
          <w:p w14:paraId="37E32D18"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Transform history shows inserts and updates.</w:t>
            </w:r>
          </w:p>
        </w:tc>
        <w:tc>
          <w:tcPr>
            <w:tcW w:w="2520" w:type="dxa"/>
            <w:shd w:val="clear" w:color="auto" w:fill="auto"/>
            <w:vAlign w:val="center"/>
          </w:tcPr>
          <w:p w14:paraId="2145CBD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2 inserted + 2 updated documented.</w:t>
            </w:r>
          </w:p>
        </w:tc>
      </w:tr>
      <w:tr w:rsidR="00CD4998" w:rsidRPr="00CD4998" w14:paraId="42A619D4" w14:textId="77777777" w:rsidTr="00CD4998">
        <w:trPr>
          <w:jc w:val="center"/>
        </w:trPr>
        <w:tc>
          <w:tcPr>
            <w:tcW w:w="2520" w:type="dxa"/>
            <w:shd w:val="clear" w:color="auto" w:fill="auto"/>
            <w:vAlign w:val="center"/>
          </w:tcPr>
          <w:p w14:paraId="60B49AB6"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8</w:t>
            </w:r>
          </w:p>
        </w:tc>
        <w:tc>
          <w:tcPr>
            <w:tcW w:w="2520" w:type="dxa"/>
            <w:shd w:val="clear" w:color="auto" w:fill="auto"/>
            <w:vAlign w:val="center"/>
          </w:tcPr>
          <w:p w14:paraId="0BA02E35"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Repeat same file</w:t>
            </w:r>
          </w:p>
        </w:tc>
        <w:tc>
          <w:tcPr>
            <w:tcW w:w="2520" w:type="dxa"/>
            <w:shd w:val="clear" w:color="auto" w:fill="auto"/>
            <w:vAlign w:val="center"/>
          </w:tcPr>
          <w:p w14:paraId="1B1964E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 xml:space="preserve">Transform history shows </w:t>
            </w:r>
            <w:r w:rsidRPr="00CD4998">
              <w:rPr>
                <w:rFonts w:ascii="Times New Roman" w:hAnsi="Times New Roman" w:cs="Times New Roman"/>
                <w:szCs w:val="24"/>
              </w:rPr>
              <w:t>ignored rows.</w:t>
            </w:r>
          </w:p>
        </w:tc>
        <w:tc>
          <w:tcPr>
            <w:tcW w:w="2520" w:type="dxa"/>
            <w:shd w:val="clear" w:color="auto" w:fill="auto"/>
            <w:vAlign w:val="center"/>
          </w:tcPr>
          <w:p w14:paraId="38417805"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4 ignored documented.</w:t>
            </w:r>
          </w:p>
        </w:tc>
      </w:tr>
      <w:tr w:rsidR="00CD4998" w:rsidRPr="00CD4998" w14:paraId="051E9B2F" w14:textId="77777777" w:rsidTr="00CD4998">
        <w:trPr>
          <w:jc w:val="center"/>
        </w:trPr>
        <w:tc>
          <w:tcPr>
            <w:tcW w:w="2520" w:type="dxa"/>
            <w:shd w:val="clear" w:color="auto" w:fill="auto"/>
            <w:vAlign w:val="center"/>
          </w:tcPr>
          <w:p w14:paraId="7939B4D3"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9</w:t>
            </w:r>
          </w:p>
        </w:tc>
        <w:tc>
          <w:tcPr>
            <w:tcW w:w="2520" w:type="dxa"/>
            <w:shd w:val="clear" w:color="auto" w:fill="auto"/>
            <w:vAlign w:val="center"/>
          </w:tcPr>
          <w:p w14:paraId="35DB088D"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Create reports</w:t>
            </w:r>
          </w:p>
        </w:tc>
        <w:tc>
          <w:tcPr>
            <w:tcW w:w="2520" w:type="dxa"/>
            <w:shd w:val="clear" w:color="auto" w:fill="auto"/>
            <w:vAlign w:val="center"/>
          </w:tcPr>
          <w:p w14:paraId="2EE3D37A"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Three reports execute and save.</w:t>
            </w:r>
          </w:p>
        </w:tc>
        <w:tc>
          <w:tcPr>
            <w:tcW w:w="2520" w:type="dxa"/>
            <w:shd w:val="clear" w:color="auto" w:fill="auto"/>
            <w:vAlign w:val="center"/>
          </w:tcPr>
          <w:p w14:paraId="7534C962"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r w:rsidR="00CD4998" w:rsidRPr="00CD4998" w14:paraId="2B0A8D61" w14:textId="77777777" w:rsidTr="00CD4998">
        <w:trPr>
          <w:jc w:val="center"/>
        </w:trPr>
        <w:tc>
          <w:tcPr>
            <w:tcW w:w="2520" w:type="dxa"/>
            <w:shd w:val="clear" w:color="auto" w:fill="auto"/>
            <w:vAlign w:val="center"/>
          </w:tcPr>
          <w:p w14:paraId="023400D1"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10</w:t>
            </w:r>
          </w:p>
        </w:tc>
        <w:tc>
          <w:tcPr>
            <w:tcW w:w="2520" w:type="dxa"/>
            <w:shd w:val="clear" w:color="auto" w:fill="auto"/>
            <w:vAlign w:val="center"/>
          </w:tcPr>
          <w:p w14:paraId="201001E2"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Create dashboard and add reports</w:t>
            </w:r>
          </w:p>
        </w:tc>
        <w:tc>
          <w:tcPr>
            <w:tcW w:w="2520" w:type="dxa"/>
            <w:shd w:val="clear" w:color="auto" w:fill="auto"/>
            <w:vAlign w:val="center"/>
          </w:tcPr>
          <w:p w14:paraId="2124F82C"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Dashboard contains all three reports.</w:t>
            </w:r>
          </w:p>
        </w:tc>
        <w:tc>
          <w:tcPr>
            <w:tcW w:w="2520" w:type="dxa"/>
            <w:shd w:val="clear" w:color="auto" w:fill="auto"/>
            <w:vAlign w:val="center"/>
          </w:tcPr>
          <w:p w14:paraId="22517BE4" w14:textId="77777777" w:rsidR="00EC2518" w:rsidRPr="00CD4998" w:rsidRDefault="00535E24">
            <w:pPr>
              <w:rPr>
                <w:rFonts w:ascii="Times New Roman" w:hAnsi="Times New Roman" w:cs="Times New Roman"/>
                <w:szCs w:val="24"/>
              </w:rPr>
            </w:pPr>
            <w:r w:rsidRPr="00CD4998">
              <w:rPr>
                <w:rFonts w:ascii="Times New Roman" w:hAnsi="Times New Roman" w:cs="Times New Roman"/>
                <w:szCs w:val="24"/>
              </w:rPr>
              <w:t>Completed per guide.</w:t>
            </w:r>
          </w:p>
        </w:tc>
      </w:tr>
    </w:tbl>
    <w:p w14:paraId="4CE87F02"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t>2. Execution Notes</w:t>
      </w:r>
    </w:p>
    <w:p w14:paraId="0E5D3E54" w14:textId="77777777" w:rsidR="00EC2518" w:rsidRPr="00CD4998" w:rsidRDefault="00535E24">
      <w:pPr>
        <w:rPr>
          <w:rFonts w:ascii="Times New Roman" w:hAnsi="Times New Roman" w:cs="Times New Roman"/>
        </w:rPr>
      </w:pPr>
      <w:r w:rsidRPr="00CD4998">
        <w:rPr>
          <w:rFonts w:ascii="Times New Roman" w:hAnsi="Times New Roman" w:cs="Times New Roman"/>
        </w:rPr>
        <w:t xml:space="preserve">The source guide does not </w:t>
      </w:r>
      <w:r w:rsidRPr="00CD4998">
        <w:rPr>
          <w:rFonts w:ascii="Times New Roman" w:hAnsi="Times New Roman" w:cs="Times New Roman"/>
        </w:rPr>
        <w:t>provide timestamps, tester signatures, defect IDs, or formal execution environment metadata. These fields are intentionally not fabricated.</w:t>
      </w:r>
    </w:p>
    <w:p w14:paraId="2A2CE4C0"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t>3. Execution Method</w:t>
      </w:r>
    </w:p>
    <w:p w14:paraId="17505120" w14:textId="77777777" w:rsidR="00EC2518" w:rsidRPr="00CD4998" w:rsidRDefault="00535E24">
      <w:pPr>
        <w:spacing w:after="120"/>
        <w:rPr>
          <w:rFonts w:ascii="Times New Roman" w:hAnsi="Times New Roman" w:cs="Times New Roman"/>
        </w:rPr>
      </w:pPr>
      <w:r w:rsidRPr="00CD4998">
        <w:rPr>
          <w:rFonts w:ascii="Times New Roman" w:hAnsi="Times New Roman" w:cs="Times New Roman"/>
        </w:rPr>
        <w:t>Each UAT step should be executed in the same order as the source guide because later steps depen</w:t>
      </w:r>
      <w:r w:rsidRPr="00CD4998">
        <w:rPr>
          <w:rFonts w:ascii="Times New Roman" w:hAnsi="Times New Roman" w:cs="Times New Roman"/>
        </w:rPr>
        <w:t>d on earlier configuration. Evidence should be captured at the import, transformation, transform-history, reporting, and dashboard stages.</w:t>
      </w:r>
    </w:p>
    <w:p w14:paraId="7F44F503"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lastRenderedPageBreak/>
        <w:t>4. Detailed Execution Checks</w:t>
      </w:r>
    </w:p>
    <w:p w14:paraId="137883BB" w14:textId="77777777" w:rsidR="00EC2518" w:rsidRPr="00CD4998" w:rsidRDefault="00535E24">
      <w:pPr>
        <w:spacing w:after="120"/>
        <w:rPr>
          <w:rFonts w:ascii="Times New Roman" w:hAnsi="Times New Roman" w:cs="Times New Roman"/>
        </w:rPr>
      </w:pPr>
      <w:r w:rsidRPr="00CD4998">
        <w:rPr>
          <w:rFonts w:ascii="Times New Roman" w:hAnsi="Times New Roman" w:cs="Times New Roman"/>
        </w:rPr>
        <w:t>Before execution, verify that Employee Test contains the required fields and that Employ</w:t>
      </w:r>
      <w:r w:rsidRPr="00CD4998">
        <w:rPr>
          <w:rFonts w:ascii="Times New Roman" w:hAnsi="Times New Roman" w:cs="Times New Roman"/>
        </w:rPr>
        <w:t>ee Import is available. During import, verify the state and success indication. Before transformation, verify the source and target tables in Sample Spreadsheet Import and review the field mappings. After transformation, inspect Employee Test. During repea</w:t>
      </w:r>
      <w:r w:rsidRPr="00CD4998">
        <w:rPr>
          <w:rFonts w:ascii="Times New Roman" w:hAnsi="Times New Roman" w:cs="Times New Roman"/>
        </w:rPr>
        <w:t>t-import validation, inspect Transform History for inserted, updated, and ignored counts.</w:t>
      </w:r>
    </w:p>
    <w:p w14:paraId="1162585B"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t>5. Evidence Recording Guidance</w:t>
      </w:r>
    </w:p>
    <w:p w14:paraId="04E4501D" w14:textId="77777777" w:rsidR="00EC2518" w:rsidRPr="00CD4998" w:rsidRDefault="00535E24">
      <w:pPr>
        <w:spacing w:after="120"/>
        <w:rPr>
          <w:rFonts w:ascii="Times New Roman" w:hAnsi="Times New Roman" w:cs="Times New Roman"/>
        </w:rPr>
      </w:pPr>
      <w:r w:rsidRPr="00CD4998">
        <w:rPr>
          <w:rFonts w:ascii="Times New Roman" w:hAnsi="Times New Roman" w:cs="Times New Roman"/>
        </w:rPr>
        <w:t>For each execution step, the corresponding milestone screenshot can be used as evidence. The screenshot should be associated with the s</w:t>
      </w:r>
      <w:r w:rsidRPr="00CD4998">
        <w:rPr>
          <w:rFonts w:ascii="Times New Roman" w:hAnsi="Times New Roman" w:cs="Times New Roman"/>
        </w:rPr>
        <w:t>tep it demonstrates rather than treated as a substitute for the written expected result.</w:t>
      </w:r>
    </w:p>
    <w:p w14:paraId="45E20CBA" w14:textId="77777777" w:rsidR="00EC2518" w:rsidRPr="00CD4998" w:rsidRDefault="00535E24" w:rsidP="00CD4998">
      <w:pPr>
        <w:pStyle w:val="Heading1"/>
        <w:spacing w:line="360" w:lineRule="auto"/>
        <w:rPr>
          <w:rFonts w:ascii="Times New Roman" w:hAnsi="Times New Roman" w:cs="Times New Roman"/>
        </w:rPr>
      </w:pPr>
      <w:r w:rsidRPr="00CD4998">
        <w:rPr>
          <w:rFonts w:ascii="Times New Roman" w:hAnsi="Times New Roman" w:cs="Times New Roman"/>
          <w:sz w:val="24"/>
        </w:rPr>
        <w:t>6. Execution Conclusion</w:t>
      </w:r>
    </w:p>
    <w:p w14:paraId="0C0F0B26" w14:textId="77777777" w:rsidR="00EC2518" w:rsidRPr="00CD4998" w:rsidRDefault="00535E24">
      <w:pPr>
        <w:spacing w:after="120"/>
        <w:rPr>
          <w:rFonts w:ascii="Times New Roman" w:hAnsi="Times New Roman" w:cs="Times New Roman"/>
        </w:rPr>
      </w:pPr>
      <w:r w:rsidRPr="00CD4998">
        <w:rPr>
          <w:rFonts w:ascii="Times New Roman" w:hAnsi="Times New Roman" w:cs="Times New Roman"/>
        </w:rPr>
        <w:t>The execution sequence provides a practical checklist for demonstrating the project consistently. The guide-supported outcomes are retained exa</w:t>
      </w:r>
      <w:r w:rsidRPr="00CD4998">
        <w:rPr>
          <w:rFonts w:ascii="Times New Roman" w:hAnsi="Times New Roman" w:cs="Times New Roman"/>
        </w:rPr>
        <w:t>ctly where they are available; additional execution metadata should be filled only when actually observed by the project team.</w:t>
      </w:r>
    </w:p>
    <w:sectPr w:rsidR="00EC2518" w:rsidRPr="00CD4998" w:rsidSect="00CD4998">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6E84B" w14:textId="77777777" w:rsidR="00535E24" w:rsidRDefault="00535E24">
      <w:pPr>
        <w:spacing w:after="0" w:line="240" w:lineRule="auto"/>
        <w:rPr>
          <w:rFonts w:hint="eastAsia"/>
        </w:rPr>
      </w:pPr>
      <w:r>
        <w:separator/>
      </w:r>
    </w:p>
  </w:endnote>
  <w:endnote w:type="continuationSeparator" w:id="0">
    <w:p w14:paraId="2CAC7B6F" w14:textId="77777777" w:rsidR="00535E24" w:rsidRDefault="00535E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13E60" w14:textId="77777777" w:rsidR="00535E24" w:rsidRDefault="00535E24">
      <w:pPr>
        <w:spacing w:after="0" w:line="240" w:lineRule="auto"/>
        <w:rPr>
          <w:rFonts w:hint="eastAsia"/>
        </w:rPr>
      </w:pPr>
      <w:r>
        <w:separator/>
      </w:r>
    </w:p>
  </w:footnote>
  <w:footnote w:type="continuationSeparator" w:id="0">
    <w:p w14:paraId="5012F225" w14:textId="77777777" w:rsidR="00535E24" w:rsidRDefault="00535E2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E24"/>
    <w:rsid w:val="00AA1D8D"/>
    <w:rsid w:val="00B47730"/>
    <w:rsid w:val="00CB0664"/>
    <w:rsid w:val="00CD4998"/>
    <w:rsid w:val="00EC25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1A25C"/>
  <w14:defaultImageDpi w14:val="300"/>
  <w15:docId w15:val="{55D50166-7E87-4F2E-973F-3DB47C42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2026-10-01T01:22:00Z</dcterms:modified>
  <cp:category/>
</cp:coreProperties>
</file>