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6BC9B" w14:textId="77777777" w:rsidR="009E42FB" w:rsidRPr="007773EF" w:rsidRDefault="00252C3F">
      <w:pPr>
        <w:pStyle w:val="Title"/>
        <w:jc w:val="center"/>
        <w:rPr>
          <w:rFonts w:ascii="Times New Roman" w:hAnsi="Times New Roman" w:cs="Times New Roman"/>
          <w:sz w:val="52"/>
          <w:szCs w:val="72"/>
        </w:rPr>
      </w:pPr>
      <w:r w:rsidRPr="007773EF">
        <w:rPr>
          <w:rFonts w:ascii="Times New Roman" w:hAnsi="Times New Roman" w:cs="Times New Roman"/>
          <w:sz w:val="32"/>
          <w:szCs w:val="72"/>
        </w:rPr>
        <w:t>Project Development Phase</w:t>
      </w:r>
    </w:p>
    <w:p w14:paraId="68DDFEC8" w14:textId="313A8566" w:rsidR="009E42FB" w:rsidRPr="007773EF" w:rsidRDefault="00252C3F" w:rsidP="007773EF">
      <w:pPr>
        <w:jc w:val="center"/>
        <w:rPr>
          <w:rFonts w:ascii="Times New Roman" w:hAnsi="Times New Roman" w:cs="Times New Roman"/>
          <w:sz w:val="28"/>
          <w:szCs w:val="24"/>
        </w:rPr>
      </w:pPr>
      <w:r w:rsidRPr="007773EF">
        <w:rPr>
          <w:rFonts w:ascii="Times New Roman" w:hAnsi="Times New Roman" w:cs="Times New Roman"/>
          <w:b/>
          <w:sz w:val="28"/>
          <w:szCs w:val="24"/>
        </w:rPr>
        <w:t>User Acceptance Testing – UAT Report</w:t>
      </w:r>
    </w:p>
    <w:tbl>
      <w:tblPr>
        <w:tblStyle w:val="TableGrid"/>
        <w:tblW w:w="0" w:type="auto"/>
        <w:jc w:val="center"/>
        <w:tblLook w:val="04A0" w:firstRow="1" w:lastRow="0" w:firstColumn="1" w:lastColumn="0" w:noHBand="0" w:noVBand="1"/>
      </w:tblPr>
      <w:tblGrid>
        <w:gridCol w:w="5040"/>
        <w:gridCol w:w="5040"/>
      </w:tblGrid>
      <w:tr w:rsidR="007773EF" w:rsidRPr="007773EF" w14:paraId="3DCE4FD1" w14:textId="77777777" w:rsidTr="007773EF">
        <w:trPr>
          <w:jc w:val="center"/>
        </w:trPr>
        <w:tc>
          <w:tcPr>
            <w:tcW w:w="5040" w:type="dxa"/>
            <w:shd w:val="clear" w:color="auto" w:fill="auto"/>
            <w:vAlign w:val="center"/>
          </w:tcPr>
          <w:p w14:paraId="27841F8F"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Team ID</w:t>
            </w:r>
          </w:p>
        </w:tc>
        <w:tc>
          <w:tcPr>
            <w:tcW w:w="5040" w:type="dxa"/>
            <w:shd w:val="clear" w:color="auto" w:fill="auto"/>
            <w:vAlign w:val="center"/>
          </w:tcPr>
          <w:p w14:paraId="12BB7D9B"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6ab7f27c8c7c66e7067292d1</w:t>
            </w:r>
          </w:p>
        </w:tc>
      </w:tr>
      <w:tr w:rsidR="007773EF" w:rsidRPr="007773EF" w14:paraId="7FF3D2AA" w14:textId="77777777" w:rsidTr="007773EF">
        <w:trPr>
          <w:jc w:val="center"/>
        </w:trPr>
        <w:tc>
          <w:tcPr>
            <w:tcW w:w="5040" w:type="dxa"/>
            <w:shd w:val="clear" w:color="auto" w:fill="auto"/>
            <w:vAlign w:val="center"/>
          </w:tcPr>
          <w:p w14:paraId="2ED8DAB8"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Team Leader</w:t>
            </w:r>
          </w:p>
        </w:tc>
        <w:tc>
          <w:tcPr>
            <w:tcW w:w="5040" w:type="dxa"/>
            <w:shd w:val="clear" w:color="auto" w:fill="auto"/>
            <w:vAlign w:val="center"/>
          </w:tcPr>
          <w:p w14:paraId="504B9DDC"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Gowsik Raja S</w:t>
            </w:r>
          </w:p>
        </w:tc>
      </w:tr>
      <w:tr w:rsidR="007773EF" w:rsidRPr="007773EF" w14:paraId="6765C340" w14:textId="77777777" w:rsidTr="007773EF">
        <w:trPr>
          <w:jc w:val="center"/>
        </w:trPr>
        <w:tc>
          <w:tcPr>
            <w:tcW w:w="5040" w:type="dxa"/>
            <w:shd w:val="clear" w:color="auto" w:fill="auto"/>
            <w:vAlign w:val="center"/>
          </w:tcPr>
          <w:p w14:paraId="47E5CA7B"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Team Members</w:t>
            </w:r>
          </w:p>
        </w:tc>
        <w:tc>
          <w:tcPr>
            <w:tcW w:w="5040" w:type="dxa"/>
            <w:shd w:val="clear" w:color="auto" w:fill="auto"/>
            <w:vAlign w:val="center"/>
          </w:tcPr>
          <w:p w14:paraId="55959AF0"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Shrija M; Swetha M; Sivaram A</w:t>
            </w:r>
          </w:p>
        </w:tc>
      </w:tr>
    </w:tbl>
    <w:p w14:paraId="00BF6F5C"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1. UAT Objective</w:t>
      </w:r>
    </w:p>
    <w:p w14:paraId="4B1FC422" w14:textId="77777777" w:rsidR="009E42FB" w:rsidRPr="007773EF" w:rsidRDefault="00252C3F">
      <w:pPr>
        <w:rPr>
          <w:rFonts w:ascii="Times New Roman" w:hAnsi="Times New Roman" w:cs="Times New Roman"/>
        </w:rPr>
      </w:pPr>
      <w:r w:rsidRPr="007773EF">
        <w:rPr>
          <w:rFonts w:ascii="Times New Roman" w:hAnsi="Times New Roman" w:cs="Times New Roman"/>
        </w:rPr>
        <w:t>Verify that the implemented ServiceNow workflow satisfies the documented employee spreadsheet import, transformation, matching, reporting, and dashboard requirements.</w:t>
      </w:r>
    </w:p>
    <w:p w14:paraId="1CB43089"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2. UAT Test Cases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773EF" w:rsidRPr="007773EF" w14:paraId="5A352508" w14:textId="77777777" w:rsidTr="007773EF">
        <w:trPr>
          <w:jc w:val="center"/>
        </w:trPr>
        <w:tc>
          <w:tcPr>
            <w:tcW w:w="2016" w:type="dxa"/>
            <w:shd w:val="clear" w:color="auto" w:fill="auto"/>
            <w:vAlign w:val="center"/>
          </w:tcPr>
          <w:p w14:paraId="47B6B117"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 xml:space="preserve">UAT </w:t>
            </w:r>
            <w:r w:rsidRPr="007773EF">
              <w:rPr>
                <w:rFonts w:ascii="Times New Roman" w:hAnsi="Times New Roman" w:cs="Times New Roman"/>
                <w:b/>
                <w:szCs w:val="24"/>
              </w:rPr>
              <w:t>ID</w:t>
            </w:r>
          </w:p>
        </w:tc>
        <w:tc>
          <w:tcPr>
            <w:tcW w:w="2016" w:type="dxa"/>
            <w:shd w:val="clear" w:color="auto" w:fill="auto"/>
            <w:vAlign w:val="center"/>
          </w:tcPr>
          <w:p w14:paraId="46B49779"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Test</w:t>
            </w:r>
          </w:p>
        </w:tc>
        <w:tc>
          <w:tcPr>
            <w:tcW w:w="2016" w:type="dxa"/>
            <w:shd w:val="clear" w:color="auto" w:fill="auto"/>
            <w:vAlign w:val="center"/>
          </w:tcPr>
          <w:p w14:paraId="1923C7D0"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Expected</w:t>
            </w:r>
          </w:p>
        </w:tc>
        <w:tc>
          <w:tcPr>
            <w:tcW w:w="2016" w:type="dxa"/>
            <w:shd w:val="clear" w:color="auto" w:fill="auto"/>
            <w:vAlign w:val="center"/>
          </w:tcPr>
          <w:p w14:paraId="0CB53BA6"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Observed / Documented Outcome</w:t>
            </w:r>
          </w:p>
        </w:tc>
        <w:tc>
          <w:tcPr>
            <w:tcW w:w="2016" w:type="dxa"/>
            <w:shd w:val="clear" w:color="auto" w:fill="auto"/>
            <w:vAlign w:val="center"/>
          </w:tcPr>
          <w:p w14:paraId="1FBE14EA" w14:textId="77777777" w:rsidR="009E42FB" w:rsidRPr="007773EF" w:rsidRDefault="00252C3F">
            <w:pPr>
              <w:rPr>
                <w:rFonts w:ascii="Times New Roman" w:hAnsi="Times New Roman" w:cs="Times New Roman"/>
                <w:szCs w:val="24"/>
              </w:rPr>
            </w:pPr>
            <w:r w:rsidRPr="007773EF">
              <w:rPr>
                <w:rFonts w:ascii="Times New Roman" w:hAnsi="Times New Roman" w:cs="Times New Roman"/>
                <w:b/>
                <w:szCs w:val="24"/>
              </w:rPr>
              <w:t>Status</w:t>
            </w:r>
          </w:p>
        </w:tc>
      </w:tr>
      <w:tr w:rsidR="007773EF" w:rsidRPr="007773EF" w14:paraId="78339733" w14:textId="77777777" w:rsidTr="007773EF">
        <w:trPr>
          <w:jc w:val="center"/>
        </w:trPr>
        <w:tc>
          <w:tcPr>
            <w:tcW w:w="2016" w:type="dxa"/>
            <w:shd w:val="clear" w:color="auto" w:fill="auto"/>
            <w:vAlign w:val="center"/>
          </w:tcPr>
          <w:p w14:paraId="43DA7D72"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UAT-01</w:t>
            </w:r>
          </w:p>
        </w:tc>
        <w:tc>
          <w:tcPr>
            <w:tcW w:w="2016" w:type="dxa"/>
            <w:shd w:val="clear" w:color="auto" w:fill="auto"/>
            <w:vAlign w:val="center"/>
          </w:tcPr>
          <w:p w14:paraId="300B5A94"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Load spreadsheet into Employee Import</w:t>
            </w:r>
          </w:p>
        </w:tc>
        <w:tc>
          <w:tcPr>
            <w:tcW w:w="2016" w:type="dxa"/>
            <w:shd w:val="clear" w:color="auto" w:fill="auto"/>
            <w:vAlign w:val="center"/>
          </w:tcPr>
          <w:p w14:paraId="3E9EA347"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Import completes successfully.</w:t>
            </w:r>
          </w:p>
        </w:tc>
        <w:tc>
          <w:tcPr>
            <w:tcW w:w="2016" w:type="dxa"/>
            <w:shd w:val="clear" w:color="auto" w:fill="auto"/>
            <w:vAlign w:val="center"/>
          </w:tcPr>
          <w:p w14:paraId="66EAA784"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Guide documents Completed and Success.</w:t>
            </w:r>
          </w:p>
        </w:tc>
        <w:tc>
          <w:tcPr>
            <w:tcW w:w="2016" w:type="dxa"/>
            <w:shd w:val="clear" w:color="auto" w:fill="auto"/>
            <w:vAlign w:val="center"/>
          </w:tcPr>
          <w:p w14:paraId="53297328"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7CCD1F41" w14:textId="77777777" w:rsidTr="007773EF">
        <w:trPr>
          <w:jc w:val="center"/>
        </w:trPr>
        <w:tc>
          <w:tcPr>
            <w:tcW w:w="2016" w:type="dxa"/>
            <w:shd w:val="clear" w:color="auto" w:fill="auto"/>
            <w:vAlign w:val="center"/>
          </w:tcPr>
          <w:p w14:paraId="6E3C7F47"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UAT-02</w:t>
            </w:r>
          </w:p>
        </w:tc>
        <w:tc>
          <w:tcPr>
            <w:tcW w:w="2016" w:type="dxa"/>
            <w:shd w:val="clear" w:color="auto" w:fill="auto"/>
            <w:vAlign w:val="center"/>
          </w:tcPr>
          <w:p w14:paraId="21EBBB75"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Transform Employee Import to Employee Test</w:t>
            </w:r>
          </w:p>
        </w:tc>
        <w:tc>
          <w:tcPr>
            <w:tcW w:w="2016" w:type="dxa"/>
            <w:shd w:val="clear" w:color="auto" w:fill="auto"/>
            <w:vAlign w:val="center"/>
          </w:tcPr>
          <w:p w14:paraId="6B834A4C"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 xml:space="preserve">Records are created in </w:t>
            </w:r>
            <w:r w:rsidRPr="007773EF">
              <w:rPr>
                <w:rFonts w:ascii="Times New Roman" w:hAnsi="Times New Roman" w:cs="Times New Roman"/>
                <w:szCs w:val="24"/>
              </w:rPr>
              <w:t>target table.</w:t>
            </w:r>
          </w:p>
        </w:tc>
        <w:tc>
          <w:tcPr>
            <w:tcW w:w="2016" w:type="dxa"/>
            <w:shd w:val="clear" w:color="auto" w:fill="auto"/>
            <w:vAlign w:val="center"/>
          </w:tcPr>
          <w:p w14:paraId="26C63ACD"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Guide documents successful transformation and records in Employee Test.</w:t>
            </w:r>
          </w:p>
        </w:tc>
        <w:tc>
          <w:tcPr>
            <w:tcW w:w="2016" w:type="dxa"/>
            <w:shd w:val="clear" w:color="auto" w:fill="auto"/>
            <w:vAlign w:val="center"/>
          </w:tcPr>
          <w:p w14:paraId="1DCA813F"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1A3D0F54" w14:textId="77777777" w:rsidTr="007773EF">
        <w:trPr>
          <w:jc w:val="center"/>
        </w:trPr>
        <w:tc>
          <w:tcPr>
            <w:tcW w:w="2016" w:type="dxa"/>
            <w:shd w:val="clear" w:color="auto" w:fill="auto"/>
            <w:vAlign w:val="center"/>
          </w:tcPr>
          <w:p w14:paraId="64350ADB"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UAT-03</w:t>
            </w:r>
          </w:p>
        </w:tc>
        <w:tc>
          <w:tcPr>
            <w:tcW w:w="2016" w:type="dxa"/>
            <w:shd w:val="clear" w:color="auto" w:fill="auto"/>
            <w:vAlign w:val="center"/>
          </w:tcPr>
          <w:p w14:paraId="61EE5257"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Enable Coalesce and re-import changed/new data</w:t>
            </w:r>
          </w:p>
        </w:tc>
        <w:tc>
          <w:tcPr>
            <w:tcW w:w="2016" w:type="dxa"/>
            <w:shd w:val="clear" w:color="auto" w:fill="auto"/>
            <w:vAlign w:val="center"/>
          </w:tcPr>
          <w:p w14:paraId="0ED9CB32"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Existing matches update; new IDs insert.</w:t>
            </w:r>
          </w:p>
        </w:tc>
        <w:tc>
          <w:tcPr>
            <w:tcW w:w="2016" w:type="dxa"/>
            <w:shd w:val="clear" w:color="auto" w:fill="auto"/>
            <w:vAlign w:val="center"/>
          </w:tcPr>
          <w:p w14:paraId="5454ECBE"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2 inserted and 2 updated in the documented four-row test.</w:t>
            </w:r>
          </w:p>
        </w:tc>
        <w:tc>
          <w:tcPr>
            <w:tcW w:w="2016" w:type="dxa"/>
            <w:shd w:val="clear" w:color="auto" w:fill="auto"/>
            <w:vAlign w:val="center"/>
          </w:tcPr>
          <w:p w14:paraId="590B1BF9"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34A5CE14" w14:textId="77777777" w:rsidTr="007773EF">
        <w:trPr>
          <w:jc w:val="center"/>
        </w:trPr>
        <w:tc>
          <w:tcPr>
            <w:tcW w:w="2016" w:type="dxa"/>
            <w:shd w:val="clear" w:color="auto" w:fill="auto"/>
            <w:vAlign w:val="center"/>
          </w:tcPr>
          <w:p w14:paraId="3381C443"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UAT-04</w:t>
            </w:r>
          </w:p>
        </w:tc>
        <w:tc>
          <w:tcPr>
            <w:tcW w:w="2016" w:type="dxa"/>
            <w:shd w:val="clear" w:color="auto" w:fill="auto"/>
            <w:vAlign w:val="center"/>
          </w:tcPr>
          <w:p w14:paraId="14530167"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Repeat the same sheet</w:t>
            </w:r>
          </w:p>
        </w:tc>
        <w:tc>
          <w:tcPr>
            <w:tcW w:w="2016" w:type="dxa"/>
            <w:shd w:val="clear" w:color="auto" w:fill="auto"/>
            <w:vAlign w:val="center"/>
          </w:tcPr>
          <w:p w14:paraId="4F6995B2"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Duplicate rows are not inserted/updated.</w:t>
            </w:r>
          </w:p>
        </w:tc>
        <w:tc>
          <w:tcPr>
            <w:tcW w:w="2016" w:type="dxa"/>
            <w:shd w:val="clear" w:color="auto" w:fill="auto"/>
            <w:vAlign w:val="center"/>
          </w:tcPr>
          <w:p w14:paraId="20A0C03B"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4 rows ignored; 0 inserted and 0 updated.</w:t>
            </w:r>
          </w:p>
        </w:tc>
        <w:tc>
          <w:tcPr>
            <w:tcW w:w="2016" w:type="dxa"/>
            <w:shd w:val="clear" w:color="auto" w:fill="auto"/>
            <w:vAlign w:val="center"/>
          </w:tcPr>
          <w:p w14:paraId="51FB66DB"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43050DB5" w14:textId="77777777" w:rsidTr="007773EF">
        <w:trPr>
          <w:jc w:val="center"/>
        </w:trPr>
        <w:tc>
          <w:tcPr>
            <w:tcW w:w="2016" w:type="dxa"/>
            <w:shd w:val="clear" w:color="auto" w:fill="auto"/>
            <w:vAlign w:val="center"/>
          </w:tcPr>
          <w:p w14:paraId="57DFAC08"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UAT-05</w:t>
            </w:r>
          </w:p>
        </w:tc>
        <w:tc>
          <w:tcPr>
            <w:tcW w:w="2016" w:type="dxa"/>
            <w:shd w:val="clear" w:color="auto" w:fill="auto"/>
            <w:vAlign w:val="center"/>
          </w:tcPr>
          <w:p w14:paraId="3AD795C9"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Run department report</w:t>
            </w:r>
          </w:p>
        </w:tc>
        <w:tc>
          <w:tcPr>
            <w:tcW w:w="2016" w:type="dxa"/>
            <w:shd w:val="clear" w:color="auto" w:fill="auto"/>
            <w:vAlign w:val="center"/>
          </w:tcPr>
          <w:p w14:paraId="7B9A028D"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Pie chart groups by Department with Count.</w:t>
            </w:r>
          </w:p>
        </w:tc>
        <w:tc>
          <w:tcPr>
            <w:tcW w:w="2016" w:type="dxa"/>
            <w:shd w:val="clear" w:color="auto" w:fill="auto"/>
            <w:vAlign w:val="center"/>
          </w:tcPr>
          <w:p w14:paraId="5E60E6D0"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Configured as documented.</w:t>
            </w:r>
          </w:p>
        </w:tc>
        <w:tc>
          <w:tcPr>
            <w:tcW w:w="2016" w:type="dxa"/>
            <w:shd w:val="clear" w:color="auto" w:fill="auto"/>
            <w:vAlign w:val="center"/>
          </w:tcPr>
          <w:p w14:paraId="4683A2B0"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2E7C440F" w14:textId="77777777" w:rsidTr="007773EF">
        <w:trPr>
          <w:jc w:val="center"/>
        </w:trPr>
        <w:tc>
          <w:tcPr>
            <w:tcW w:w="2016" w:type="dxa"/>
            <w:shd w:val="clear" w:color="auto" w:fill="auto"/>
            <w:vAlign w:val="center"/>
          </w:tcPr>
          <w:p w14:paraId="33EBB571"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UAT-06</w:t>
            </w:r>
          </w:p>
        </w:tc>
        <w:tc>
          <w:tcPr>
            <w:tcW w:w="2016" w:type="dxa"/>
            <w:shd w:val="clear" w:color="auto" w:fill="auto"/>
            <w:vAlign w:val="center"/>
          </w:tcPr>
          <w:p w14:paraId="749C7DF9"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Run location report</w:t>
            </w:r>
          </w:p>
        </w:tc>
        <w:tc>
          <w:tcPr>
            <w:tcW w:w="2016" w:type="dxa"/>
            <w:shd w:val="clear" w:color="auto" w:fill="auto"/>
            <w:vAlign w:val="center"/>
          </w:tcPr>
          <w:p w14:paraId="3299B610"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 xml:space="preserve">Bar </w:t>
            </w:r>
            <w:r w:rsidRPr="007773EF">
              <w:rPr>
                <w:rFonts w:ascii="Times New Roman" w:hAnsi="Times New Roman" w:cs="Times New Roman"/>
                <w:szCs w:val="24"/>
              </w:rPr>
              <w:t>chart groups by Location with Count.</w:t>
            </w:r>
          </w:p>
        </w:tc>
        <w:tc>
          <w:tcPr>
            <w:tcW w:w="2016" w:type="dxa"/>
            <w:shd w:val="clear" w:color="auto" w:fill="auto"/>
            <w:vAlign w:val="center"/>
          </w:tcPr>
          <w:p w14:paraId="4DEA6059"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Configured as documented.</w:t>
            </w:r>
          </w:p>
        </w:tc>
        <w:tc>
          <w:tcPr>
            <w:tcW w:w="2016" w:type="dxa"/>
            <w:shd w:val="clear" w:color="auto" w:fill="auto"/>
            <w:vAlign w:val="center"/>
          </w:tcPr>
          <w:p w14:paraId="337F1CAF"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65E03360" w14:textId="77777777" w:rsidTr="007773EF">
        <w:trPr>
          <w:jc w:val="center"/>
        </w:trPr>
        <w:tc>
          <w:tcPr>
            <w:tcW w:w="2016" w:type="dxa"/>
            <w:shd w:val="clear" w:color="auto" w:fill="auto"/>
            <w:vAlign w:val="center"/>
          </w:tcPr>
          <w:p w14:paraId="704BCF29"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UAT-07</w:t>
            </w:r>
          </w:p>
        </w:tc>
        <w:tc>
          <w:tcPr>
            <w:tcW w:w="2016" w:type="dxa"/>
            <w:shd w:val="clear" w:color="auto" w:fill="auto"/>
            <w:vAlign w:val="center"/>
          </w:tcPr>
          <w:p w14:paraId="27573E53"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Run employee list report</w:t>
            </w:r>
          </w:p>
        </w:tc>
        <w:tc>
          <w:tcPr>
            <w:tcW w:w="2016" w:type="dxa"/>
            <w:shd w:val="clear" w:color="auto" w:fill="auto"/>
            <w:vAlign w:val="center"/>
          </w:tcPr>
          <w:p w14:paraId="58FEB551"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Required five columns are shown.</w:t>
            </w:r>
          </w:p>
        </w:tc>
        <w:tc>
          <w:tcPr>
            <w:tcW w:w="2016" w:type="dxa"/>
            <w:shd w:val="clear" w:color="auto" w:fill="auto"/>
            <w:vAlign w:val="center"/>
          </w:tcPr>
          <w:p w14:paraId="3E7EC2FC"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Configured as documented.</w:t>
            </w:r>
          </w:p>
        </w:tc>
        <w:tc>
          <w:tcPr>
            <w:tcW w:w="2016" w:type="dxa"/>
            <w:shd w:val="clear" w:color="auto" w:fill="auto"/>
            <w:vAlign w:val="center"/>
          </w:tcPr>
          <w:p w14:paraId="200B203B"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r w:rsidR="007773EF" w:rsidRPr="007773EF" w14:paraId="0CCA5A75" w14:textId="77777777" w:rsidTr="007773EF">
        <w:trPr>
          <w:jc w:val="center"/>
        </w:trPr>
        <w:tc>
          <w:tcPr>
            <w:tcW w:w="2016" w:type="dxa"/>
            <w:shd w:val="clear" w:color="auto" w:fill="auto"/>
            <w:vAlign w:val="center"/>
          </w:tcPr>
          <w:p w14:paraId="651FCFB3"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UAT-08</w:t>
            </w:r>
          </w:p>
        </w:tc>
        <w:tc>
          <w:tcPr>
            <w:tcW w:w="2016" w:type="dxa"/>
            <w:shd w:val="clear" w:color="auto" w:fill="auto"/>
            <w:vAlign w:val="center"/>
          </w:tcPr>
          <w:p w14:paraId="10700077"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Add reports to dashboard</w:t>
            </w:r>
          </w:p>
        </w:tc>
        <w:tc>
          <w:tcPr>
            <w:tcW w:w="2016" w:type="dxa"/>
            <w:shd w:val="clear" w:color="auto" w:fill="auto"/>
            <w:vAlign w:val="center"/>
          </w:tcPr>
          <w:p w14:paraId="33CE8111"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 xml:space="preserve">All three reports appear on Employee Analytics </w:t>
            </w:r>
            <w:r w:rsidRPr="007773EF">
              <w:rPr>
                <w:rFonts w:ascii="Times New Roman" w:hAnsi="Times New Roman" w:cs="Times New Roman"/>
                <w:szCs w:val="24"/>
              </w:rPr>
              <w:t>Dashboards.</w:t>
            </w:r>
          </w:p>
        </w:tc>
        <w:tc>
          <w:tcPr>
            <w:tcW w:w="2016" w:type="dxa"/>
            <w:shd w:val="clear" w:color="auto" w:fill="auto"/>
            <w:vAlign w:val="center"/>
          </w:tcPr>
          <w:p w14:paraId="143A269F"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Configured as documented.</w:t>
            </w:r>
          </w:p>
        </w:tc>
        <w:tc>
          <w:tcPr>
            <w:tcW w:w="2016" w:type="dxa"/>
            <w:shd w:val="clear" w:color="auto" w:fill="auto"/>
            <w:vAlign w:val="center"/>
          </w:tcPr>
          <w:p w14:paraId="15E85324" w14:textId="77777777" w:rsidR="009E42FB" w:rsidRPr="007773EF" w:rsidRDefault="00252C3F">
            <w:pPr>
              <w:rPr>
                <w:rFonts w:ascii="Times New Roman" w:hAnsi="Times New Roman" w:cs="Times New Roman"/>
                <w:szCs w:val="24"/>
              </w:rPr>
            </w:pPr>
            <w:r w:rsidRPr="007773EF">
              <w:rPr>
                <w:rFonts w:ascii="Times New Roman" w:hAnsi="Times New Roman" w:cs="Times New Roman"/>
                <w:szCs w:val="24"/>
              </w:rPr>
              <w:t>Pass</w:t>
            </w:r>
          </w:p>
        </w:tc>
      </w:tr>
    </w:tbl>
    <w:p w14:paraId="49FCEDD4" w14:textId="2AEF0999" w:rsidR="009E42FB" w:rsidRPr="007773EF" w:rsidRDefault="007773EF" w:rsidP="007773EF">
      <w:pPr>
        <w:tabs>
          <w:tab w:val="left" w:pos="4130"/>
        </w:tabs>
        <w:rPr>
          <w:rFonts w:ascii="Times New Roman" w:hAnsi="Times New Roman" w:cs="Times New Roman"/>
        </w:rPr>
      </w:pPr>
      <w:r>
        <w:rPr>
          <w:rFonts w:ascii="Times New Roman" w:hAnsi="Times New Roman" w:cs="Times New Roman"/>
        </w:rPr>
        <w:tab/>
      </w:r>
    </w:p>
    <w:p w14:paraId="073CC81E"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lastRenderedPageBreak/>
        <w:t>3. UAT Sign-off</w:t>
      </w:r>
    </w:p>
    <w:p w14:paraId="41D5E22B" w14:textId="77777777" w:rsidR="009E42FB" w:rsidRPr="007773EF" w:rsidRDefault="00252C3F">
      <w:pPr>
        <w:rPr>
          <w:rFonts w:ascii="Times New Roman" w:hAnsi="Times New Roman" w:cs="Times New Roman"/>
        </w:rPr>
      </w:pPr>
      <w:r w:rsidRPr="007773EF">
        <w:rPr>
          <w:rFonts w:ascii="Times New Roman" w:hAnsi="Times New Roman" w:cs="Times New Roman"/>
        </w:rPr>
        <w:t>Formal tester names, dates, signatures, and defect records are not provided in the source guide; they are therefore left unspecified rather than invented.</w:t>
      </w:r>
    </w:p>
    <w:p w14:paraId="45525919"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4. UAT Scope</w:t>
      </w:r>
    </w:p>
    <w:p w14:paraId="0330E6E2" w14:textId="77777777" w:rsidR="009E42FB" w:rsidRPr="007773EF" w:rsidRDefault="00252C3F">
      <w:pPr>
        <w:spacing w:after="120"/>
        <w:rPr>
          <w:rFonts w:ascii="Times New Roman" w:hAnsi="Times New Roman" w:cs="Times New Roman"/>
        </w:rPr>
      </w:pPr>
      <w:r w:rsidRPr="007773EF">
        <w:rPr>
          <w:rFonts w:ascii="Times New Roman" w:hAnsi="Times New Roman" w:cs="Times New Roman"/>
        </w:rPr>
        <w:t>The UAT scope covers the us</w:t>
      </w:r>
      <w:r w:rsidRPr="007773EF">
        <w:rPr>
          <w:rFonts w:ascii="Times New Roman" w:hAnsi="Times New Roman" w:cs="Times New Roman"/>
        </w:rPr>
        <w:t>er-visible workflow from spreadsheet loading through dashboard presentation. It focuses on whether the configured ServiceNow objects perform the operations described in the project guide and whether the documented outcomes are observable.</w:t>
      </w:r>
    </w:p>
    <w:p w14:paraId="06161491"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5. Detailed Accep</w:t>
      </w:r>
      <w:r w:rsidRPr="007773EF">
        <w:rPr>
          <w:rFonts w:ascii="Times New Roman" w:hAnsi="Times New Roman" w:cs="Times New Roman"/>
          <w:sz w:val="24"/>
        </w:rPr>
        <w:t>tance Conditions</w:t>
      </w:r>
    </w:p>
    <w:p w14:paraId="181FB574" w14:textId="77777777" w:rsidR="009E42FB" w:rsidRPr="007773EF" w:rsidRDefault="00252C3F">
      <w:pPr>
        <w:spacing w:after="120"/>
        <w:rPr>
          <w:rFonts w:ascii="Times New Roman" w:hAnsi="Times New Roman" w:cs="Times New Roman"/>
        </w:rPr>
      </w:pPr>
      <w:r w:rsidRPr="007773EF">
        <w:rPr>
          <w:rFonts w:ascii="Times New Roman" w:hAnsi="Times New Roman" w:cs="Times New Roman"/>
        </w:rPr>
        <w:t>Acceptance requires successful data loading, correct source-to-target mapping, successful transformation, visible records in Employee Test, correct Coalesce behavior during a repeat import, successful creation of all three reports, and ava</w:t>
      </w:r>
      <w:r w:rsidRPr="007773EF">
        <w:rPr>
          <w:rFonts w:ascii="Times New Roman" w:hAnsi="Times New Roman" w:cs="Times New Roman"/>
        </w:rPr>
        <w:t>ilability of those reports in Employee Analytics Dashboards.</w:t>
      </w:r>
    </w:p>
    <w:p w14:paraId="1380E525"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6. UAT Evidence Interpretation</w:t>
      </w:r>
    </w:p>
    <w:p w14:paraId="52E38801" w14:textId="77777777" w:rsidR="009E42FB" w:rsidRPr="007773EF" w:rsidRDefault="00252C3F">
      <w:pPr>
        <w:spacing w:after="120"/>
        <w:rPr>
          <w:rFonts w:ascii="Times New Roman" w:hAnsi="Times New Roman" w:cs="Times New Roman"/>
        </w:rPr>
      </w:pPr>
      <w:r w:rsidRPr="007773EF">
        <w:rPr>
          <w:rFonts w:ascii="Times New Roman" w:hAnsi="Times New Roman" w:cs="Times New Roman"/>
        </w:rPr>
        <w:t>The project guide supplies explicit evidence for the import and repeat-import scenarios: a four-row test produces two inserts and two updates, while a subsequent id</w:t>
      </w:r>
      <w:r w:rsidRPr="007773EF">
        <w:rPr>
          <w:rFonts w:ascii="Times New Roman" w:hAnsi="Times New Roman" w:cs="Times New Roman"/>
        </w:rPr>
        <w:t>entical submission produces four ignored rows. This provides a concrete basis for accepting the matching behavior.</w:t>
      </w:r>
    </w:p>
    <w:p w14:paraId="7DE58276"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7. UAT Limitations</w:t>
      </w:r>
    </w:p>
    <w:p w14:paraId="68CAE732" w14:textId="77777777" w:rsidR="009E42FB" w:rsidRPr="007773EF" w:rsidRDefault="00252C3F">
      <w:pPr>
        <w:spacing w:after="120"/>
        <w:rPr>
          <w:rFonts w:ascii="Times New Roman" w:hAnsi="Times New Roman" w:cs="Times New Roman"/>
        </w:rPr>
      </w:pPr>
      <w:r w:rsidRPr="007773EF">
        <w:rPr>
          <w:rFonts w:ascii="Times New Roman" w:hAnsi="Times New Roman" w:cs="Times New Roman"/>
        </w:rPr>
        <w:t>Formal tester identity, execution date, signature, defect severity, defect IDs, and approval records are not included in t</w:t>
      </w:r>
      <w:r w:rsidRPr="007773EF">
        <w:rPr>
          <w:rFonts w:ascii="Times New Roman" w:hAnsi="Times New Roman" w:cs="Times New Roman"/>
        </w:rPr>
        <w:t>he source material. The UAT document therefore records the functional outcomes without inventing sign-off information.</w:t>
      </w:r>
    </w:p>
    <w:p w14:paraId="4B144C98" w14:textId="77777777" w:rsidR="009E42FB" w:rsidRPr="007773EF" w:rsidRDefault="00252C3F" w:rsidP="007773EF">
      <w:pPr>
        <w:pStyle w:val="Heading1"/>
        <w:spacing w:line="360" w:lineRule="auto"/>
        <w:rPr>
          <w:rFonts w:ascii="Times New Roman" w:hAnsi="Times New Roman" w:cs="Times New Roman"/>
        </w:rPr>
      </w:pPr>
      <w:r w:rsidRPr="007773EF">
        <w:rPr>
          <w:rFonts w:ascii="Times New Roman" w:hAnsi="Times New Roman" w:cs="Times New Roman"/>
          <w:sz w:val="24"/>
        </w:rPr>
        <w:t>8. UAT Conclusion</w:t>
      </w:r>
    </w:p>
    <w:p w14:paraId="64CB3E7B" w14:textId="77777777" w:rsidR="009E42FB" w:rsidRPr="007773EF" w:rsidRDefault="00252C3F">
      <w:pPr>
        <w:spacing w:after="120"/>
        <w:rPr>
          <w:rFonts w:ascii="Times New Roman" w:hAnsi="Times New Roman" w:cs="Times New Roman"/>
        </w:rPr>
      </w:pPr>
      <w:r w:rsidRPr="007773EF">
        <w:rPr>
          <w:rFonts w:ascii="Times New Roman" w:hAnsi="Times New Roman" w:cs="Times New Roman"/>
        </w:rPr>
        <w:t xml:space="preserve">Based on the documented workflow and outcomes, the implemented configuration satisfies the functional </w:t>
      </w:r>
      <w:r w:rsidRPr="007773EF">
        <w:rPr>
          <w:rFonts w:ascii="Times New Roman" w:hAnsi="Times New Roman" w:cs="Times New Roman"/>
        </w:rPr>
        <w:t>scenarios represented in the supplied guide.</w:t>
      </w:r>
    </w:p>
    <w:sectPr w:rsidR="009E42FB" w:rsidRPr="007773EF" w:rsidSect="007773EF">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0F2F0" w14:textId="77777777" w:rsidR="00252C3F" w:rsidRDefault="00252C3F">
      <w:pPr>
        <w:spacing w:after="0" w:line="240" w:lineRule="auto"/>
        <w:rPr>
          <w:rFonts w:hint="eastAsia"/>
        </w:rPr>
      </w:pPr>
      <w:r>
        <w:separator/>
      </w:r>
    </w:p>
  </w:endnote>
  <w:endnote w:type="continuationSeparator" w:id="0">
    <w:p w14:paraId="24937E5C" w14:textId="77777777" w:rsidR="00252C3F" w:rsidRDefault="00252C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6F941" w14:textId="77777777" w:rsidR="00252C3F" w:rsidRDefault="00252C3F">
      <w:pPr>
        <w:spacing w:after="0" w:line="240" w:lineRule="auto"/>
        <w:rPr>
          <w:rFonts w:hint="eastAsia"/>
        </w:rPr>
      </w:pPr>
      <w:r>
        <w:separator/>
      </w:r>
    </w:p>
  </w:footnote>
  <w:footnote w:type="continuationSeparator" w:id="0">
    <w:p w14:paraId="65D3A8A4" w14:textId="77777777" w:rsidR="00252C3F" w:rsidRDefault="00252C3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C3F"/>
    <w:rsid w:val="0029639D"/>
    <w:rsid w:val="00326F90"/>
    <w:rsid w:val="007773EF"/>
    <w:rsid w:val="009E42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7D390"/>
  <w14:defaultImageDpi w14:val="300"/>
  <w15:docId w15:val="{1B435565-0148-4937-89FB-B6B0AA1F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2026-10-01T01:26:00Z</dcterms:modified>
  <cp:category/>
</cp:coreProperties>
</file>