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160" w:line="279"/>
        <w:ind w:right="0" w:left="0" w:firstLine="0"/>
        <w:jc w:val="center"/>
        <w:rPr>
          <w:rFonts w:ascii="Aptos" w:hAnsi="Aptos" w:cs="Aptos" w:eastAsia="Aptos"/>
          <w:color w:val="auto"/>
          <w:spacing w:val="0"/>
          <w:position w:val="0"/>
          <w:sz w:val="40"/>
          <w:u w:val="single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40"/>
          <w:u w:val="single"/>
          <w:shd w:fill="auto" w:val="clear"/>
        </w:rPr>
        <w:t xml:space="preserve">Medical Store System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36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36"/>
          <w:shd w:fill="auto" w:val="clear"/>
        </w:rPr>
        <w:t xml:space="preserve">Introduction: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32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32"/>
          <w:shd w:fill="auto" w:val="clear"/>
        </w:rPr>
        <w:t xml:space="preserve">This document is to capture the functional and non-functional requirements of the Medical Store System.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36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36"/>
          <w:shd w:fill="auto" w:val="clear"/>
        </w:rPr>
        <w:t xml:space="preserve">Purpose: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32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32"/>
          <w:shd w:fill="auto" w:val="clear"/>
        </w:rPr>
        <w:t xml:space="preserve">The purpose of this document is to present the functional and non-functional requirements of the User and Admin / Cashier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32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32"/>
          <w:shd w:fill="auto" w:val="clear"/>
        </w:rPr>
        <w:t xml:space="preserve">For a medical store system in medical store.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36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