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Test Coverage Report</w:t>
      </w:r>
    </w:p>
    <w:p>
      <w:r>
        <w:t>Generated: 21 May 2026 15:16</w:t>
      </w:r>
    </w:p>
    <w:p/>
    <w:p>
      <w:pPr>
        <w:pStyle w:val="Heading1"/>
      </w:pPr>
      <w:r>
        <w:t>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TCs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Uncovered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Uncovered Flows</w:t>
      </w:r>
    </w:p>
    <w:p>
      <w:pPr>
        <w:pStyle w:val="Heading2"/>
      </w:pPr>
      <w:r>
        <w:t>Dashboard and Reports Data Synchronisation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AMCC-7099</w:t>
            </w:r>
          </w:p>
        </w:tc>
        <w:tc>
          <w:tcPr>
            <w:tcW w:type="dxa" w:w="4320"/>
          </w:tcPr>
          <w:p>
            <w:r>
              <w:t>Data Not in Sync: Dashboard Widgets vs. Reports</w:t>
            </w:r>
          </w:p>
        </w:tc>
      </w:tr>
    </w:tbl>
    <w:p/>
    <w:p>
      <w:pPr>
        <w:pStyle w:val="Heading1"/>
      </w:pPr>
      <w:r>
        <w:t>Feature File Coverage</w:t>
      </w:r>
    </w:p>
    <w:p>
      <w:pPr>
        <w:pStyle w:val="ListBullet"/>
      </w:pPr>
      <w:r>
        <w:t>AMCC2880.feature — 5 scenarios</w:t>
      </w:r>
    </w:p>
    <w:p>
      <w:pPr>
        <w:pStyle w:val="ListBullet"/>
      </w:pPr>
      <w:r>
        <w:t>AMCC2881.feature — 7 scenarios</w:t>
      </w:r>
    </w:p>
    <w:p>
      <w:pPr>
        <w:pStyle w:val="ListBullet"/>
      </w:pPr>
      <w:r>
        <w:t>AMCC2882.feature — 10 scenarios</w:t>
      </w:r>
    </w:p>
    <w:p>
      <w:pPr>
        <w:pStyle w:val="ListBullet"/>
      </w:pPr>
      <w:r>
        <w:t>AMCC3410.feature — 6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