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Nectar Intelligent Facilities Platform</w:t>
      </w:r>
    </w:p>
    <w:p>
      <w:pPr>
        <w:pStyle w:val="Heading1"/>
        <w:jc w:val="center"/>
      </w:pPr>
      <w:r>
        <w:t>Data Scientist Challenge — Technical Report</w:t>
      </w:r>
    </w:p>
    <w:p>
      <w:r>
        <w:t>Reproducible report generated from the current model/metric artifacts. Data is synthetic because no challenge dataset was attached.</w:t>
      </w:r>
    </w:p>
    <w:p>
      <w:pPr>
        <w:pStyle w:val="Heading1"/>
      </w:pPr>
      <w:r>
        <w:t>1. Problem Understanding</w:t>
      </w:r>
    </w:p>
    <w:p>
      <w:r>
        <w:t>The solution converts connected-building telemetry into four operational capabilities: proactive equipment-failure prediction, building energy forecasting, unsupervised anomaly detection, and multi-asset failure-impact analysis. A reproducible synthetic IoT fleet was generated because the supplied challenge package did not include telemetry files.</w:t>
      </w:r>
    </w:p>
    <w:p>
      <w:r>
        <w:t>The generated fleet contains 56 assets across 3 sites and 7 buildings, with 60,453 telemetry rows. The generator intentionally includes clock jitter, communication gaps, missing sensor values, duplicate publications, multiple physically plausible fault signatures, independent sensor drift, and connectivity data-quality defects.</w:t>
      </w:r>
    </w:p>
    <w:p>
      <w:pPr>
        <w:pStyle w:val="Heading1"/>
      </w:pPr>
      <w:r>
        <w:t>2. Exploratory Data Analysis</w:t>
      </w:r>
    </w:p>
    <w:p>
      <w:r>
        <w:t>The raw-data audit identifies 48 duplicate (asset_id, timestamp) rows, irregular sampling caused by device clock jitter and communication outages, and approximately 1.3% missingness in key sensor fields. Duplicate rows are retained for the audit but deduplicated before modeling. The highest average energy draw is from chillers; business-hours energy is approximately 2.57x the trough-hour level.</w:t>
      </w:r>
    </w:p>
    <w:p>
      <w:r>
        <w:drawing>
          <wp:inline xmlns:a="http://schemas.openxmlformats.org/drawingml/2006/main" xmlns:pic="http://schemas.openxmlformats.org/drawingml/2006/picture">
            <wp:extent cx="5943600" cy="2122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temporal_patter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2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t>Chillers are the dominant energy-consuming asset type.</w:t>
      </w:r>
    </w:p>
    <w:p>
      <w:pPr>
        <w:pStyle w:val="ListBullet"/>
      </w:pPr>
      <w:r>
        <w:t>Faults are intentionally heterogeneous: belt slippage, filter fouling, refrigerant leak, electrical fault, bearing wear and cavitation use different sensor signatures.</w:t>
      </w:r>
    </w:p>
    <w:p>
      <w:pPr>
        <w:pStyle w:val="ListBullet"/>
      </w:pPr>
      <w:r>
        <w:t>Pre-fault behaviour shows useful separation in vibration, temperature and power, motivating multivariate predictive features.</w:t>
      </w:r>
    </w:p>
    <w:p>
      <w:r>
        <w:drawing>
          <wp:inline xmlns:a="http://schemas.openxmlformats.org/drawingml/2006/main" xmlns:pic="http://schemas.openxmlformats.org/drawingml/2006/picture">
            <wp:extent cx="5943600" cy="17830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prefault_behavi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3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3. Predictive Maintenance</w:t>
      </w:r>
    </w:p>
    <w:p>
      <w:r>
        <w:t>Objective: predict whether a non-faulting asset will experience its next observed fault within the next 24 clock hours. The target is timestamp-based rather than 'next 24 rows', so communication gaps cannot silently stretch or compress the prediction horizon. Rows already in an active fault are excluded.</w:t>
      </w:r>
    </w:p>
    <w:p>
      <w:pPr>
        <w:pStyle w:val="ListBullet"/>
      </w:pPr>
      <w:r>
        <w:t>Causal feature engineering: current values, timestamp-aware 6h/24h rolling statistics, first differences, short-vs-long trend, asset type, operating mode and calendar features.</w:t>
      </w:r>
    </w:p>
    <w:p>
      <w:pPr>
        <w:pStyle w:val="ListBullet"/>
      </w:pPr>
      <w:r>
        <w:t>Missing values are forward-filled only; remaining values are imputed with statistics learned from the training period. No future-value backfill is used.</w:t>
      </w:r>
    </w:p>
    <w:p>
      <w:pPr>
        <w:pStyle w:val="ListBullet"/>
      </w:pPr>
      <w:r>
        <w:t>The split is chronological. A 24-hour embargo is applied before the test period so a training label cannot look into the evaluation window.</w:t>
      </w:r>
    </w:p>
    <w:p>
      <w:pPr>
        <w:pStyle w:val="ListBullet"/>
      </w:pPr>
      <w:r>
        <w:t>The alert threshold (0.65) is tuned on a chronological validation slice inside training data and then frozen for test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</w:tcPr>
          <w:p>
            <w:r>
              <w:t>Model</w:t>
            </w:r>
          </w:p>
        </w:tc>
        <w:tc>
          <w:tcPr>
            <w:tcW w:type="dxa" w:w="2074"/>
          </w:tcPr>
          <w:p>
            <w:r>
              <w:t>Precision</w:t>
            </w:r>
          </w:p>
        </w:tc>
        <w:tc>
          <w:tcPr>
            <w:tcW w:type="dxa" w:w="2074"/>
          </w:tcPr>
          <w:p>
            <w:r>
              <w:t>Recall</w:t>
            </w:r>
          </w:p>
        </w:tc>
        <w:tc>
          <w:tcPr>
            <w:tcW w:type="dxa" w:w="2074"/>
          </w:tcPr>
          <w:p>
            <w:r>
              <w:t>F1</w:t>
            </w:r>
          </w:p>
        </w:tc>
        <w:tc>
          <w:tcPr>
            <w:tcW w:type="dxa" w:w="2074"/>
          </w:tcPr>
          <w:p>
            <w:r>
              <w:t>ROC-AUC</w:t>
            </w:r>
          </w:p>
        </w:tc>
      </w:tr>
      <w:tr>
        <w:tc>
          <w:tcPr>
            <w:tcW w:type="dxa" w:w="2074"/>
          </w:tcPr>
          <w:p>
            <w:r>
              <w:t>RandomForest</w:t>
            </w:r>
          </w:p>
        </w:tc>
        <w:tc>
          <w:tcPr>
            <w:tcW w:type="dxa" w:w="2074"/>
          </w:tcPr>
          <w:p>
            <w:r>
              <w:t>0.790</w:t>
            </w:r>
          </w:p>
        </w:tc>
        <w:tc>
          <w:tcPr>
            <w:tcW w:type="dxa" w:w="2074"/>
          </w:tcPr>
          <w:p>
            <w:r>
              <w:t>0.602</w:t>
            </w:r>
          </w:p>
        </w:tc>
        <w:tc>
          <w:tcPr>
            <w:tcW w:type="dxa" w:w="2074"/>
          </w:tcPr>
          <w:p>
            <w:r>
              <w:t>0.683</w:t>
            </w:r>
          </w:p>
        </w:tc>
        <w:tc>
          <w:tcPr>
            <w:tcW w:type="dxa" w:w="2074"/>
          </w:tcPr>
          <w:p>
            <w:r>
              <w:t>0.921</w:t>
            </w:r>
          </w:p>
        </w:tc>
      </w:tr>
      <w:tr>
        <w:tc>
          <w:tcPr>
            <w:tcW w:type="dxa" w:w="2074"/>
          </w:tcPr>
          <w:p>
            <w:r>
              <w:t>XGBoost</w:t>
            </w:r>
          </w:p>
        </w:tc>
        <w:tc>
          <w:tcPr>
            <w:tcW w:type="dxa" w:w="2074"/>
          </w:tcPr>
          <w:p>
            <w:r>
              <w:t>0.689</w:t>
            </w:r>
          </w:p>
        </w:tc>
        <w:tc>
          <w:tcPr>
            <w:tcW w:type="dxa" w:w="2074"/>
          </w:tcPr>
          <w:p>
            <w:r>
              <w:t>0.708</w:t>
            </w:r>
          </w:p>
        </w:tc>
        <w:tc>
          <w:tcPr>
            <w:tcW w:type="dxa" w:w="2074"/>
          </w:tcPr>
          <w:p>
            <w:r>
              <w:t>0.699</w:t>
            </w:r>
          </w:p>
        </w:tc>
        <w:tc>
          <w:tcPr>
            <w:tcW w:type="dxa" w:w="2074"/>
          </w:tcPr>
          <w:p>
            <w:r>
              <w:t>0.952</w:t>
            </w:r>
          </w:p>
        </w:tc>
      </w:tr>
    </w:tbl>
    <w:p>
      <w:r>
        <w:t>XGBoost is selected by held-out F1. On the untouched test period it achieves 68.9% precision, 70.8% recall, 0.699 F1 and 0.952 ROC-AUC. These figures are materially more conservative than the previous stale report and are the numbers reproduced by the current code.</w:t>
      </w:r>
    </w:p>
    <w:p>
      <w:r>
        <w:drawing>
          <wp:inline xmlns:a="http://schemas.openxmlformats.org/drawingml/2006/main" xmlns:pic="http://schemas.openxmlformats.org/drawingml/2006/picture">
            <wp:extent cx="5943600" cy="17481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7_predictive_maintenance_diagnostic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8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4. Energy Consumption Forecasting</w:t>
      </w:r>
    </w:p>
    <w:p>
      <w:r>
        <w:t>The forecasting task is implemented as a direct multi-horizon model: every forecast origin produces 24 separate predictions for horizons 1 through 24 hours. Only information available at the origin is used for lag/rolling features; target-time calendar fields are known in advance. The final seven days of forecast origins form the holdout.</w:t>
      </w:r>
    </w:p>
    <w:p>
      <w:pPr>
        <w:pStyle w:val="ListBullet"/>
      </w:pPr>
      <w:r>
        <w:t>Building-hour energy is created after deduplicating and nearest-hour bucketing of jittered asset telemetry.</w:t>
      </w:r>
    </w:p>
    <w:p>
      <w:pPr>
        <w:pStyle w:val="ListBullet"/>
      </w:pPr>
      <w:r>
        <w:t>Lag features: 1h, 2h, 3h, 24h, 48h and 168h; causal rolling mean/std; origin and target calendar features; building identifier.</w:t>
      </w:r>
    </w:p>
    <w:p>
      <w:pPr>
        <w:pStyle w:val="ListBullet"/>
      </w:pPr>
      <w:r>
        <w:t>No future interpolation/backfill is used for the target. Samples with missing target or baseline values are excluded from evaluation.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Metric</w:t>
            </w:r>
          </w:p>
        </w:tc>
        <w:tc>
          <w:tcPr>
            <w:tcW w:type="dxa" w:w="3456"/>
          </w:tcPr>
          <w:p>
            <w:r>
              <w:t>Model</w:t>
            </w:r>
          </w:p>
        </w:tc>
        <w:tc>
          <w:tcPr>
            <w:tcW w:type="dxa" w:w="3456"/>
          </w:tcPr>
          <w:p>
            <w:r>
              <w:t>Naive same-hour-yesterday</w:t>
            </w:r>
          </w:p>
        </w:tc>
      </w:tr>
      <w:tr>
        <w:tc>
          <w:tcPr>
            <w:tcW w:type="dxa" w:w="3456"/>
          </w:tcPr>
          <w:p>
            <w:r>
              <w:t>MAE (kWh)</w:t>
            </w:r>
          </w:p>
        </w:tc>
        <w:tc>
          <w:tcPr>
            <w:tcW w:type="dxa" w:w="3456"/>
          </w:tcPr>
          <w:p>
            <w:r>
              <w:t>11.57</w:t>
            </w:r>
          </w:p>
        </w:tc>
        <w:tc>
          <w:tcPr>
            <w:tcW w:type="dxa" w:w="3456"/>
          </w:tcPr>
          <w:p>
            <w:r>
              <w:t>41.68</w:t>
            </w:r>
          </w:p>
        </w:tc>
      </w:tr>
      <w:tr>
        <w:tc>
          <w:tcPr>
            <w:tcW w:type="dxa" w:w="3456"/>
          </w:tcPr>
          <w:p>
            <w:r>
              <w:t>RMSE (kWh)</w:t>
            </w:r>
          </w:p>
        </w:tc>
        <w:tc>
          <w:tcPr>
            <w:tcW w:type="dxa" w:w="3456"/>
          </w:tcPr>
          <w:p>
            <w:r>
              <w:t>21.00</w:t>
            </w:r>
          </w:p>
        </w:tc>
        <w:tc>
          <w:tcPr>
            <w:tcW w:type="dxa" w:w="3456"/>
          </w:tcPr>
          <w:p>
            <w:r>
              <w:t>82.88</w:t>
            </w:r>
          </w:p>
        </w:tc>
      </w:tr>
      <w:tr>
        <w:tc>
          <w:tcPr>
            <w:tcW w:type="dxa" w:w="3456"/>
          </w:tcPr>
          <w:p>
            <w:r>
              <w:t>MAPE</w:t>
            </w:r>
          </w:p>
        </w:tc>
        <w:tc>
          <w:tcPr>
            <w:tcW w:type="dxa" w:w="3456"/>
          </w:tcPr>
          <w:p>
            <w:r>
              <w:t>9.34%</w:t>
            </w:r>
          </w:p>
        </w:tc>
        <w:tc>
          <w:tcPr>
            <w:tcW w:type="dxa" w:w="3456"/>
          </w:tcPr>
          <w:p>
            <w:r>
              <w:t>—</w:t>
            </w:r>
          </w:p>
        </w:tc>
      </w:tr>
    </w:tbl>
    <w:p>
      <w:r>
        <w:t>The direct multi-horizon model reduces MAE by 72.2% versus the seasonal baseline. This result should be described as a genuine 1–24h multi-horizon holdout, not as a one-step-ahead model.</w:t>
      </w:r>
    </w:p>
    <w:p>
      <w:r>
        <w:drawing>
          <wp:inline xmlns:a="http://schemas.openxmlformats.org/drawingml/2006/main" xmlns:pic="http://schemas.openxmlformats.org/drawingml/2006/picture">
            <wp:extent cx="5943600" cy="31699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8_forecast_actual_vs_pr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Anomaly Detection</w:t>
      </w:r>
    </w:p>
    <w:p>
      <w:r>
        <w:t>Three complementary unsupervised checks are retained: per-asset-type Isolation Forest for multivariate outliers, a 48-hour rolling z-score for explainable point anomalies, and a short-vs-long rolling-mean drift detector. Sensor imputation is causal.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Method</w:t>
            </w:r>
          </w:p>
        </w:tc>
        <w:tc>
          <w:tcPr>
            <w:tcW w:type="dxa" w:w="5184"/>
          </w:tcPr>
          <w:p>
            <w:r>
              <w:t>Flagged</w:t>
            </w:r>
          </w:p>
        </w:tc>
      </w:tr>
      <w:tr>
        <w:tc>
          <w:tcPr>
            <w:tcW w:type="dxa" w:w="5184"/>
          </w:tcPr>
          <w:p>
            <w:r>
              <w:t>Isolation Forest</w:t>
            </w:r>
          </w:p>
        </w:tc>
        <w:tc>
          <w:tcPr>
            <w:tcW w:type="dxa" w:w="5184"/>
          </w:tcPr>
          <w:p>
            <w:r>
              <w:t>607</w:t>
            </w:r>
          </w:p>
        </w:tc>
      </w:tr>
      <w:tr>
        <w:tc>
          <w:tcPr>
            <w:tcW w:type="dxa" w:w="5184"/>
          </w:tcPr>
          <w:p>
            <w:r>
              <w:t>Rolling z-score</w:t>
            </w:r>
          </w:p>
        </w:tc>
        <w:tc>
          <w:tcPr>
            <w:tcW w:type="dxa" w:w="5184"/>
          </w:tcPr>
          <w:p>
            <w:r>
              <w:t>1210</w:t>
            </w:r>
          </w:p>
        </w:tc>
      </w:tr>
      <w:tr>
        <w:tc>
          <w:tcPr>
            <w:tcW w:type="dxa" w:w="5184"/>
          </w:tcPr>
          <w:p>
            <w:r>
              <w:t>Drift/change-point</w:t>
            </w:r>
          </w:p>
        </w:tc>
        <w:tc>
          <w:tcPr>
            <w:tcW w:type="dxa" w:w="5184"/>
          </w:tcPr>
          <w:p>
            <w:r>
              <w:t>588</w:t>
            </w:r>
          </w:p>
        </w:tc>
      </w:tr>
      <w:tr>
        <w:tc>
          <w:tcPr>
            <w:tcW w:type="dxa" w:w="5184"/>
          </w:tcPr>
          <w:p>
            <w:r>
              <w:t>Union</w:t>
            </w:r>
          </w:p>
        </w:tc>
        <w:tc>
          <w:tcPr>
            <w:tcW w:type="dxa" w:w="5184"/>
          </w:tcPr>
          <w:p>
            <w:r>
              <w:t>2172</w:t>
            </w:r>
          </w:p>
        </w:tc>
      </w:tr>
    </w:tbl>
    <w:p>
      <w:r>
        <w:t>The union contains 2172 readings (3.59% of telemetry). Only 1.2% overlap a labeled fault event; this is not treated as accuracy because anomaly detection is intentionally designed to surface non-fault outliers and early warnings as well.</w:t>
      </w:r>
    </w:p>
    <w:p>
      <w:r>
        <w:drawing>
          <wp:inline xmlns:a="http://schemas.openxmlformats.org/drawingml/2006/main" xmlns:pic="http://schemas.openxmlformats.org/drawingml/2006/picture">
            <wp:extent cx="5943600" cy="29718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anomaly_exampl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Multi-Asset Connectivity</w:t>
      </w:r>
    </w:p>
    <w:p>
      <w:r>
        <w:t>A directed graph combines parent_asset_id hierarchy with explicit connectivity edges. The current analysis is correctly framed as downstream failure-impact/reachability analysis rather than a probabilistic failure-propagation model.</w:t>
      </w:r>
    </w:p>
    <w:p>
      <w:r>
        <w:t>Example: failure of AST_0001 impacts 3 downstream assets: AST_0004, AST_0005, AST_0008.</w:t>
      </w:r>
    </w:p>
    <w:p>
      <w:r>
        <w:drawing>
          <wp:inline xmlns:a="http://schemas.openxmlformats.org/drawingml/2006/main" xmlns:pic="http://schemas.openxmlformats.org/drawingml/2006/picture">
            <wp:extent cx="5943600" cy="41148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connectivity_grap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Data-quality issue</w:t>
            </w:r>
          </w:p>
        </w:tc>
        <w:tc>
          <w:tcPr>
            <w:tcW w:type="dxa" w:w="5184"/>
          </w:tcPr>
          <w:p>
            <w:r>
              <w:t>Count</w:t>
            </w:r>
          </w:p>
        </w:tc>
      </w:tr>
      <w:tr>
        <w:tc>
          <w:tcPr>
            <w:tcW w:type="dxa" w:w="5184"/>
          </w:tcPr>
          <w:p>
            <w:r>
              <w:t>Duplicate connectivity edges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  <w:tr>
        <w:tc>
          <w:tcPr>
            <w:tcW w:type="dxa" w:w="5184"/>
          </w:tcPr>
          <w:p>
            <w:r>
              <w:t>Invalid parent references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  <w:tr>
        <w:tc>
          <w:tcPr>
            <w:tcW w:type="dxa" w:w="5184"/>
          </w:tcPr>
          <w:p>
            <w:r>
              <w:t>Orphan assets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  <w:tr>
        <w:tc>
          <w:tcPr>
            <w:tcW w:type="dxa" w:w="5184"/>
          </w:tcPr>
          <w:p>
            <w:r>
              <w:t>Missing relationships</w:t>
            </w:r>
          </w:p>
        </w:tc>
        <w:tc>
          <w:tcPr>
            <w:tcW w:type="dxa" w:w="5184"/>
          </w:tcPr>
          <w:p>
            <w:r>
              <w:t>1</w:t>
            </w:r>
          </w:p>
        </w:tc>
      </w:tr>
    </w:tbl>
    <w:p>
      <w:pPr>
        <w:pStyle w:val="Heading1"/>
      </w:pPr>
      <w:r>
        <w:t>7. Deployment &amp; Engineering</w:t>
      </w:r>
    </w:p>
    <w:p>
      <w:pPr>
        <w:pStyle w:val="ListBullet"/>
      </w:pPr>
      <w:r>
        <w:t>FastAPI exposes /predict_failure and uses the same shared causal feature-engineering module as the training pipeline.</w:t>
      </w:r>
    </w:p>
    <w:p>
      <w:pPr>
        <w:pStyle w:val="ListBullet"/>
      </w:pPr>
      <w:r>
        <w:t>The API loads the persisted alert threshold and training-only imputation medians, eliminating the previous train/serve preprocessing mismatch.</w:t>
      </w:r>
    </w:p>
    <w:p>
      <w:pPr>
        <w:pStyle w:val="ListBullet"/>
      </w:pPr>
      <w:r>
        <w:t>The Streamlit dashboard scores each asset using its available historical telemetry rather than fabricated rolling statistics.</w:t>
      </w:r>
    </w:p>
    <w:p>
      <w:pPr>
        <w:pStyle w:val="ListBullet"/>
      </w:pPr>
      <w:r>
        <w:t>Project paths are derived from the repository root, so the package is portable across machines and execution directories.</w:t>
      </w:r>
    </w:p>
    <w:p>
      <w:pPr>
        <w:pStyle w:val="ListBullet"/>
      </w:pPr>
      <w:r>
        <w:t>Kafka remains a scoped ingestion demo: producer → broker → consumer/SQLite, with live model scoring deliberately outside the demo boundary.</w:t>
      </w:r>
    </w:p>
    <w:p>
      <w:pPr>
        <w:pStyle w:val="Heading1"/>
      </w:pPr>
      <w:r>
        <w:t>8. Limitations &amp; Next Steps</w:t>
      </w:r>
    </w:p>
    <w:p>
      <w:pPr>
        <w:pStyle w:val="ListBullet"/>
      </w:pPr>
      <w:r>
        <w:t>The data is synthetic; metrics must be revalidated on real telemetry.</w:t>
      </w:r>
    </w:p>
    <w:p>
      <w:pPr>
        <w:pStyle w:val="ListBullet"/>
      </w:pPr>
      <w:r>
        <w:t>The predictive model's alert threshold should ultimately be tuned using the business cost of false negatives versus false positives.</w:t>
      </w:r>
    </w:p>
    <w:p>
      <w:pPr>
        <w:pStyle w:val="ListBullet"/>
      </w:pPr>
      <w:r>
        <w:t>Anomaly thresholds should be calibrated with technician feedback and known incident labels.</w:t>
      </w:r>
    </w:p>
    <w:p>
      <w:pPr>
        <w:pStyle w:val="ListBullet"/>
      </w:pPr>
      <w:r>
        <w:t>Connectivity impact is deterministic reachability. A production version could add edge probabilities and Monte Carlo propagation if probabilistic cascading-risk estimates are required.</w:t>
      </w:r>
    </w:p>
    <w:p>
      <w:pPr>
        <w:pStyle w:val="ListBullet"/>
      </w:pPr>
      <w:r>
        <w:t>Forecasting can be improved with exogenous variables such as weather, tariffs, occupancy forecasts and planned equipment schedules.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